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52FCDB" w14:textId="77777777" w:rsidR="009E6BDF" w:rsidRDefault="001825C3">
      <w:pPr>
        <w:pStyle w:val="Title"/>
      </w:pPr>
      <w:r>
        <w:t>Hydrofluorocarbon Production Community Characteristics</w:t>
      </w:r>
    </w:p>
    <w:p w14:paraId="2A52FCDC" w14:textId="77777777" w:rsidR="009E6BDF" w:rsidRDefault="001825C3">
      <w:pPr>
        <w:pStyle w:val="Author"/>
      </w:pPr>
      <w:r>
        <w:t>NCEE</w:t>
      </w:r>
    </w:p>
    <w:p w14:paraId="2A52FCDD" w14:textId="77777777" w:rsidR="009E6BDF" w:rsidRDefault="001825C3">
      <w:pPr>
        <w:pStyle w:val="Date"/>
      </w:pPr>
      <w:r>
        <w:t>2/28/2021</w:t>
      </w:r>
    </w:p>
    <w:p w14:paraId="2A52FCDE" w14:textId="77777777" w:rsidR="009E6BDF" w:rsidRDefault="001825C3">
      <w:pPr>
        <w:pStyle w:val="Heading2"/>
      </w:pPr>
      <w:bookmarkStart w:id="0" w:name="X214703b45721a9e3e58463de00713deb711d8dc"/>
      <w:r>
        <w:t>Characteristics of Communities with Hydrofluorocarbon Production Facilities</w:t>
      </w:r>
    </w:p>
    <w:p w14:paraId="2A52FCDF" w14:textId="77777777" w:rsidR="009E6BDF" w:rsidRDefault="001825C3">
      <w:pPr>
        <w:pStyle w:val="FirstParagraph"/>
      </w:pPr>
      <w:r>
        <w:t>Hydrofluorocarbon (HFC) production facilities are identified as the 15 facilities reporting activities in 2019 under the Greenhouse Gas (GHG) Reporting Program (the most recent year available). The production facility community is defined as those Census b</w:t>
      </w:r>
      <w:r>
        <w:t>lock groups located within 1 miles of the facility location as reported in the GHG Reporting Program. Socioeconomic and demographic data is based on the American Community Survey 5-Year data release for 2019 (the most recent year available). Community canc</w:t>
      </w:r>
      <w:r>
        <w:t>er risk estimates due to air toxics exposure is based on the National Air Toxic Assessment (NATA) of 2018 (the most recent year available). The NATA estimates are only available at the Census Tract level.</w:t>
      </w:r>
    </w:p>
    <w:p w14:paraId="2A52FCE0" w14:textId="77777777" w:rsidR="009E6BDF" w:rsidRDefault="001825C3">
      <w:pPr>
        <w:pStyle w:val="BodyText"/>
      </w:pPr>
      <w:r>
        <w:t>The following table presents summary information fo</w:t>
      </w:r>
      <w:r>
        <w:t>r the production facility communities compared to the national average. For the production facility communities these values reflect a population weighted average across the Census block groups within the buffer distance of the facility.</w:t>
      </w:r>
    </w:p>
    <w:tbl>
      <w:tblPr>
        <w:tblStyle w:val="Table"/>
        <w:tblW w:w="0" w:type="pct"/>
        <w:tblLook w:val="0020" w:firstRow="1" w:lastRow="0" w:firstColumn="0" w:lastColumn="0" w:noHBand="0" w:noVBand="0"/>
      </w:tblPr>
      <w:tblGrid>
        <w:gridCol w:w="3630"/>
        <w:gridCol w:w="1089"/>
        <w:gridCol w:w="2776"/>
      </w:tblGrid>
      <w:tr w:rsidR="009E6BDF" w14:paraId="2A52FCE4"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2A52FCE1" w14:textId="77777777" w:rsidR="009E6BDF" w:rsidRDefault="001825C3">
            <w:pPr>
              <w:pStyle w:val="Compact"/>
            </w:pPr>
            <w:r>
              <w:t>Variable</w:t>
            </w:r>
          </w:p>
        </w:tc>
        <w:tc>
          <w:tcPr>
            <w:tcW w:w="0" w:type="auto"/>
          </w:tcPr>
          <w:p w14:paraId="2A52FCE2" w14:textId="77777777" w:rsidR="009E6BDF" w:rsidRDefault="001825C3">
            <w:pPr>
              <w:pStyle w:val="Compact"/>
              <w:jc w:val="right"/>
            </w:pPr>
            <w:r>
              <w:t>National</w:t>
            </w:r>
          </w:p>
        </w:tc>
        <w:tc>
          <w:tcPr>
            <w:tcW w:w="0" w:type="auto"/>
          </w:tcPr>
          <w:p w14:paraId="2A52FCE3" w14:textId="77777777" w:rsidR="009E6BDF" w:rsidRDefault="001825C3">
            <w:pPr>
              <w:pStyle w:val="Compact"/>
              <w:jc w:val="right"/>
            </w:pPr>
            <w:r>
              <w:t>Production Communities</w:t>
            </w:r>
          </w:p>
        </w:tc>
      </w:tr>
      <w:tr w:rsidR="009E6BDF" w14:paraId="2A52FCE8" w14:textId="77777777">
        <w:tc>
          <w:tcPr>
            <w:tcW w:w="0" w:type="auto"/>
          </w:tcPr>
          <w:p w14:paraId="2A52FCE5" w14:textId="77777777" w:rsidR="009E6BDF" w:rsidRDefault="001825C3">
            <w:pPr>
              <w:pStyle w:val="Compact"/>
            </w:pPr>
            <w:r>
              <w:t>% Minority [EJ Screen Definition]</w:t>
            </w:r>
          </w:p>
        </w:tc>
        <w:tc>
          <w:tcPr>
            <w:tcW w:w="0" w:type="auto"/>
          </w:tcPr>
          <w:p w14:paraId="2A52FCE6" w14:textId="77777777" w:rsidR="009E6BDF" w:rsidRDefault="001825C3">
            <w:pPr>
              <w:pStyle w:val="Compact"/>
              <w:jc w:val="right"/>
            </w:pPr>
            <w:r>
              <w:t>39.000</w:t>
            </w:r>
          </w:p>
        </w:tc>
        <w:tc>
          <w:tcPr>
            <w:tcW w:w="0" w:type="auto"/>
          </w:tcPr>
          <w:p w14:paraId="2A52FCE7" w14:textId="77777777" w:rsidR="009E6BDF" w:rsidRDefault="001825C3">
            <w:pPr>
              <w:pStyle w:val="Compact"/>
              <w:jc w:val="right"/>
            </w:pPr>
            <w:r>
              <w:t>30.000</w:t>
            </w:r>
          </w:p>
        </w:tc>
      </w:tr>
      <w:tr w:rsidR="009E6BDF" w14:paraId="2A52FCEC" w14:textId="77777777">
        <w:tc>
          <w:tcPr>
            <w:tcW w:w="0" w:type="auto"/>
          </w:tcPr>
          <w:p w14:paraId="2A52FCE9" w14:textId="77777777" w:rsidR="009E6BDF" w:rsidRDefault="001825C3">
            <w:pPr>
              <w:pStyle w:val="Compact"/>
            </w:pPr>
            <w:r>
              <w:t>Median Income [1,000 2019$]</w:t>
            </w:r>
          </w:p>
        </w:tc>
        <w:tc>
          <w:tcPr>
            <w:tcW w:w="0" w:type="auto"/>
          </w:tcPr>
          <w:p w14:paraId="2A52FCEA" w14:textId="77777777" w:rsidR="009E6BDF" w:rsidRDefault="001825C3">
            <w:pPr>
              <w:pStyle w:val="Compact"/>
              <w:jc w:val="right"/>
            </w:pPr>
            <w:r>
              <w:t>71.000</w:t>
            </w:r>
          </w:p>
        </w:tc>
        <w:tc>
          <w:tcPr>
            <w:tcW w:w="0" w:type="auto"/>
          </w:tcPr>
          <w:p w14:paraId="2A52FCEB" w14:textId="77777777" w:rsidR="009E6BDF" w:rsidRDefault="001825C3">
            <w:pPr>
              <w:pStyle w:val="Compact"/>
              <w:jc w:val="right"/>
            </w:pPr>
            <w:r>
              <w:t>73.000</w:t>
            </w:r>
          </w:p>
        </w:tc>
      </w:tr>
      <w:tr w:rsidR="009E6BDF" w14:paraId="2A52FCF0" w14:textId="77777777">
        <w:tc>
          <w:tcPr>
            <w:tcW w:w="0" w:type="auto"/>
          </w:tcPr>
          <w:p w14:paraId="2A52FCED" w14:textId="77777777" w:rsidR="009E6BDF" w:rsidRDefault="001825C3">
            <w:pPr>
              <w:pStyle w:val="Compact"/>
            </w:pPr>
            <w:r>
              <w:t>% Below Poverty Line</w:t>
            </w:r>
          </w:p>
        </w:tc>
        <w:tc>
          <w:tcPr>
            <w:tcW w:w="0" w:type="auto"/>
          </w:tcPr>
          <w:p w14:paraId="2A52FCEE" w14:textId="77777777" w:rsidR="009E6BDF" w:rsidRDefault="001825C3">
            <w:pPr>
              <w:pStyle w:val="Compact"/>
              <w:jc w:val="right"/>
            </w:pPr>
            <w:r>
              <w:t>7.300</w:t>
            </w:r>
          </w:p>
        </w:tc>
        <w:tc>
          <w:tcPr>
            <w:tcW w:w="0" w:type="auto"/>
          </w:tcPr>
          <w:p w14:paraId="2A52FCEF" w14:textId="77777777" w:rsidR="009E6BDF" w:rsidRDefault="001825C3">
            <w:pPr>
              <w:pStyle w:val="Compact"/>
              <w:jc w:val="right"/>
            </w:pPr>
            <w:r>
              <w:t>6.100</w:t>
            </w:r>
          </w:p>
        </w:tc>
      </w:tr>
      <w:tr w:rsidR="009E6BDF" w14:paraId="2A52FCF4" w14:textId="77777777">
        <w:tc>
          <w:tcPr>
            <w:tcW w:w="0" w:type="auto"/>
          </w:tcPr>
          <w:p w14:paraId="2A52FCF1" w14:textId="77777777" w:rsidR="009E6BDF" w:rsidRDefault="001825C3">
            <w:pPr>
              <w:pStyle w:val="Compact"/>
            </w:pPr>
            <w:r>
              <w:t>% Below Half the Poverty Line</w:t>
            </w:r>
          </w:p>
        </w:tc>
        <w:tc>
          <w:tcPr>
            <w:tcW w:w="0" w:type="auto"/>
          </w:tcPr>
          <w:p w14:paraId="2A52FCF2" w14:textId="77777777" w:rsidR="009E6BDF" w:rsidRDefault="001825C3">
            <w:pPr>
              <w:pStyle w:val="Compact"/>
              <w:jc w:val="right"/>
            </w:pPr>
            <w:r>
              <w:t>5.800</w:t>
            </w:r>
          </w:p>
        </w:tc>
        <w:tc>
          <w:tcPr>
            <w:tcW w:w="0" w:type="auto"/>
          </w:tcPr>
          <w:p w14:paraId="2A52FCF3" w14:textId="77777777" w:rsidR="009E6BDF" w:rsidRDefault="001825C3">
            <w:pPr>
              <w:pStyle w:val="Compact"/>
              <w:jc w:val="right"/>
            </w:pPr>
            <w:r>
              <w:t>5.000</w:t>
            </w:r>
          </w:p>
        </w:tc>
      </w:tr>
      <w:tr w:rsidR="009E6BDF" w14:paraId="2A52FCF8" w14:textId="77777777">
        <w:tc>
          <w:tcPr>
            <w:tcW w:w="0" w:type="auto"/>
          </w:tcPr>
          <w:p w14:paraId="2A52FCF5" w14:textId="77777777" w:rsidR="009E6BDF" w:rsidRDefault="001825C3">
            <w:pPr>
              <w:pStyle w:val="Compact"/>
            </w:pPr>
            <w:r>
              <w:t>Total Cancer Risk (per million)</w:t>
            </w:r>
          </w:p>
        </w:tc>
        <w:tc>
          <w:tcPr>
            <w:tcW w:w="0" w:type="auto"/>
          </w:tcPr>
          <w:p w14:paraId="2A52FCF6" w14:textId="77777777" w:rsidR="009E6BDF" w:rsidRDefault="001825C3">
            <w:pPr>
              <w:pStyle w:val="Compact"/>
              <w:jc w:val="right"/>
            </w:pPr>
            <w:r>
              <w:t>32.000</w:t>
            </w:r>
          </w:p>
        </w:tc>
        <w:tc>
          <w:tcPr>
            <w:tcW w:w="0" w:type="auto"/>
          </w:tcPr>
          <w:p w14:paraId="2A52FCF7" w14:textId="77777777" w:rsidR="009E6BDF" w:rsidRDefault="001825C3">
            <w:pPr>
              <w:pStyle w:val="Compact"/>
              <w:jc w:val="right"/>
            </w:pPr>
            <w:r>
              <w:t>48.000</w:t>
            </w:r>
          </w:p>
        </w:tc>
      </w:tr>
      <w:tr w:rsidR="009E6BDF" w14:paraId="2A52FCFC" w14:textId="77777777">
        <w:tc>
          <w:tcPr>
            <w:tcW w:w="0" w:type="auto"/>
          </w:tcPr>
          <w:p w14:paraId="2A52FCF9" w14:textId="77777777" w:rsidR="009E6BDF" w:rsidRDefault="001825C3">
            <w:pPr>
              <w:pStyle w:val="Compact"/>
            </w:pPr>
            <w:r>
              <w:t>Trichloroethylene Cancer Risk</w:t>
            </w:r>
          </w:p>
        </w:tc>
        <w:tc>
          <w:tcPr>
            <w:tcW w:w="0" w:type="auto"/>
          </w:tcPr>
          <w:p w14:paraId="2A52FCFA" w14:textId="77777777" w:rsidR="009E6BDF" w:rsidRDefault="001825C3">
            <w:pPr>
              <w:pStyle w:val="Compact"/>
              <w:jc w:val="right"/>
            </w:pPr>
            <w:r>
              <w:t>0.081</w:t>
            </w:r>
          </w:p>
        </w:tc>
        <w:tc>
          <w:tcPr>
            <w:tcW w:w="0" w:type="auto"/>
          </w:tcPr>
          <w:p w14:paraId="2A52FCFB" w14:textId="77777777" w:rsidR="009E6BDF" w:rsidRDefault="001825C3">
            <w:pPr>
              <w:pStyle w:val="Compact"/>
              <w:jc w:val="right"/>
            </w:pPr>
            <w:r>
              <w:t>0.052</w:t>
            </w:r>
          </w:p>
        </w:tc>
      </w:tr>
    </w:tbl>
    <w:p w14:paraId="2A52FCFD" w14:textId="77777777" w:rsidR="009E6BDF" w:rsidRDefault="001825C3">
      <w:pPr>
        <w:pStyle w:val="BodyText"/>
      </w:pPr>
      <w:r>
        <w:t xml:space="preserve">In general, across all HFC production facilities the communities, based on the 1 mile buffer distance, are general the same as national averages across the socio-economic characteristics, but have a substantially </w:t>
      </w:r>
      <w:r>
        <w:t>higher cumulative cancer risk from air toxics. However, this result is driven primarily from the 0 facilities located in Louisiana in areas with elevated levels of air toxics emissions. The following tables separate out the community characteristics for th</w:t>
      </w:r>
      <w:r>
        <w:t>e HFC production facilities outside Louisiana and inside the state.</w:t>
      </w:r>
    </w:p>
    <w:tbl>
      <w:tblPr>
        <w:tblStyle w:val="Table"/>
        <w:tblW w:w="0" w:type="pct"/>
        <w:tblLook w:val="0020" w:firstRow="1" w:lastRow="0" w:firstColumn="0" w:lastColumn="0" w:noHBand="0" w:noVBand="0"/>
      </w:tblPr>
      <w:tblGrid>
        <w:gridCol w:w="3630"/>
        <w:gridCol w:w="1089"/>
        <w:gridCol w:w="2053"/>
        <w:gridCol w:w="1895"/>
      </w:tblGrid>
      <w:tr w:rsidR="009E6BDF" w14:paraId="2A52FD02"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2A52FCFE" w14:textId="77777777" w:rsidR="009E6BDF" w:rsidRDefault="001825C3">
            <w:pPr>
              <w:pStyle w:val="Compact"/>
            </w:pPr>
            <w:r>
              <w:t>Variable</w:t>
            </w:r>
          </w:p>
        </w:tc>
        <w:tc>
          <w:tcPr>
            <w:tcW w:w="0" w:type="auto"/>
          </w:tcPr>
          <w:p w14:paraId="2A52FCFF" w14:textId="77777777" w:rsidR="009E6BDF" w:rsidRDefault="001825C3">
            <w:pPr>
              <w:pStyle w:val="Compact"/>
              <w:jc w:val="right"/>
            </w:pPr>
            <w:r>
              <w:t>National</w:t>
            </w:r>
          </w:p>
        </w:tc>
        <w:tc>
          <w:tcPr>
            <w:tcW w:w="0" w:type="auto"/>
          </w:tcPr>
          <w:p w14:paraId="2A52FD00" w14:textId="77777777" w:rsidR="009E6BDF" w:rsidRDefault="001825C3">
            <w:pPr>
              <w:pStyle w:val="Compact"/>
              <w:jc w:val="right"/>
            </w:pPr>
            <w:r>
              <w:t>Outside Louisiana</w:t>
            </w:r>
          </w:p>
        </w:tc>
        <w:tc>
          <w:tcPr>
            <w:tcW w:w="0" w:type="auto"/>
          </w:tcPr>
          <w:p w14:paraId="2A52FD01" w14:textId="77777777" w:rsidR="009E6BDF" w:rsidRDefault="001825C3">
            <w:pPr>
              <w:pStyle w:val="Compact"/>
              <w:jc w:val="right"/>
            </w:pPr>
            <w:r>
              <w:t>Inside Louisiana</w:t>
            </w:r>
          </w:p>
        </w:tc>
      </w:tr>
      <w:tr w:rsidR="009E6BDF" w14:paraId="2A52FD07" w14:textId="77777777">
        <w:tc>
          <w:tcPr>
            <w:tcW w:w="0" w:type="auto"/>
          </w:tcPr>
          <w:p w14:paraId="2A52FD03" w14:textId="77777777" w:rsidR="009E6BDF" w:rsidRDefault="001825C3">
            <w:pPr>
              <w:pStyle w:val="Compact"/>
            </w:pPr>
            <w:r>
              <w:t>% Minority [EJ Screen Definition]</w:t>
            </w:r>
          </w:p>
        </w:tc>
        <w:tc>
          <w:tcPr>
            <w:tcW w:w="0" w:type="auto"/>
          </w:tcPr>
          <w:p w14:paraId="2A52FD04" w14:textId="77777777" w:rsidR="009E6BDF" w:rsidRDefault="001825C3">
            <w:pPr>
              <w:pStyle w:val="Compact"/>
              <w:jc w:val="right"/>
            </w:pPr>
            <w:r>
              <w:t>39.000</w:t>
            </w:r>
          </w:p>
        </w:tc>
        <w:tc>
          <w:tcPr>
            <w:tcW w:w="0" w:type="auto"/>
          </w:tcPr>
          <w:p w14:paraId="2A52FD05" w14:textId="77777777" w:rsidR="009E6BDF" w:rsidRDefault="001825C3">
            <w:pPr>
              <w:pStyle w:val="Compact"/>
              <w:jc w:val="right"/>
            </w:pPr>
            <w:r>
              <w:t>20.000</w:t>
            </w:r>
          </w:p>
        </w:tc>
        <w:tc>
          <w:tcPr>
            <w:tcW w:w="0" w:type="auto"/>
          </w:tcPr>
          <w:p w14:paraId="2A52FD06" w14:textId="77777777" w:rsidR="009E6BDF" w:rsidRDefault="001825C3">
            <w:pPr>
              <w:pStyle w:val="Compact"/>
              <w:jc w:val="right"/>
            </w:pPr>
            <w:r>
              <w:t>65.000</w:t>
            </w:r>
          </w:p>
        </w:tc>
      </w:tr>
      <w:tr w:rsidR="009E6BDF" w14:paraId="2A52FD0C" w14:textId="77777777">
        <w:tc>
          <w:tcPr>
            <w:tcW w:w="0" w:type="auto"/>
          </w:tcPr>
          <w:p w14:paraId="2A52FD08" w14:textId="77777777" w:rsidR="009E6BDF" w:rsidRDefault="001825C3">
            <w:pPr>
              <w:pStyle w:val="Compact"/>
            </w:pPr>
            <w:r>
              <w:t>Median Income [1,000 2019$]</w:t>
            </w:r>
          </w:p>
        </w:tc>
        <w:tc>
          <w:tcPr>
            <w:tcW w:w="0" w:type="auto"/>
          </w:tcPr>
          <w:p w14:paraId="2A52FD09" w14:textId="77777777" w:rsidR="009E6BDF" w:rsidRDefault="001825C3">
            <w:pPr>
              <w:pStyle w:val="Compact"/>
              <w:jc w:val="right"/>
            </w:pPr>
            <w:r>
              <w:t>71.000</w:t>
            </w:r>
          </w:p>
        </w:tc>
        <w:tc>
          <w:tcPr>
            <w:tcW w:w="0" w:type="auto"/>
          </w:tcPr>
          <w:p w14:paraId="2A52FD0A" w14:textId="77777777" w:rsidR="009E6BDF" w:rsidRDefault="001825C3">
            <w:pPr>
              <w:pStyle w:val="Compact"/>
              <w:jc w:val="right"/>
            </w:pPr>
            <w:r>
              <w:t>77.000</w:t>
            </w:r>
          </w:p>
        </w:tc>
        <w:tc>
          <w:tcPr>
            <w:tcW w:w="0" w:type="auto"/>
          </w:tcPr>
          <w:p w14:paraId="2A52FD0B" w14:textId="77777777" w:rsidR="009E6BDF" w:rsidRDefault="001825C3">
            <w:pPr>
              <w:pStyle w:val="Compact"/>
              <w:jc w:val="right"/>
            </w:pPr>
            <w:r>
              <w:t>60.000</w:t>
            </w:r>
          </w:p>
        </w:tc>
      </w:tr>
      <w:tr w:rsidR="009E6BDF" w14:paraId="2A52FD11" w14:textId="77777777">
        <w:tc>
          <w:tcPr>
            <w:tcW w:w="0" w:type="auto"/>
          </w:tcPr>
          <w:p w14:paraId="2A52FD0D" w14:textId="77777777" w:rsidR="009E6BDF" w:rsidRDefault="001825C3">
            <w:pPr>
              <w:pStyle w:val="Compact"/>
            </w:pPr>
            <w:r>
              <w:t>% Below Poverty Line</w:t>
            </w:r>
          </w:p>
        </w:tc>
        <w:tc>
          <w:tcPr>
            <w:tcW w:w="0" w:type="auto"/>
          </w:tcPr>
          <w:p w14:paraId="2A52FD0E" w14:textId="77777777" w:rsidR="009E6BDF" w:rsidRDefault="001825C3">
            <w:pPr>
              <w:pStyle w:val="Compact"/>
              <w:jc w:val="right"/>
            </w:pPr>
            <w:r>
              <w:t>7.300</w:t>
            </w:r>
          </w:p>
        </w:tc>
        <w:tc>
          <w:tcPr>
            <w:tcW w:w="0" w:type="auto"/>
          </w:tcPr>
          <w:p w14:paraId="2A52FD0F" w14:textId="77777777" w:rsidR="009E6BDF" w:rsidRDefault="001825C3">
            <w:pPr>
              <w:pStyle w:val="Compact"/>
              <w:jc w:val="right"/>
            </w:pPr>
            <w:r>
              <w:t>6.100</w:t>
            </w:r>
          </w:p>
        </w:tc>
        <w:tc>
          <w:tcPr>
            <w:tcW w:w="0" w:type="auto"/>
          </w:tcPr>
          <w:p w14:paraId="2A52FD10" w14:textId="77777777" w:rsidR="009E6BDF" w:rsidRDefault="001825C3">
            <w:pPr>
              <w:pStyle w:val="Compact"/>
              <w:jc w:val="right"/>
            </w:pPr>
            <w:r>
              <w:t>6.300</w:t>
            </w:r>
          </w:p>
        </w:tc>
      </w:tr>
      <w:tr w:rsidR="009E6BDF" w14:paraId="2A52FD16" w14:textId="77777777">
        <w:tc>
          <w:tcPr>
            <w:tcW w:w="0" w:type="auto"/>
          </w:tcPr>
          <w:p w14:paraId="2A52FD12" w14:textId="77777777" w:rsidR="009E6BDF" w:rsidRDefault="001825C3">
            <w:pPr>
              <w:pStyle w:val="Compact"/>
            </w:pPr>
            <w:r>
              <w:lastRenderedPageBreak/>
              <w:t>% Below Half the Poverty Line</w:t>
            </w:r>
          </w:p>
        </w:tc>
        <w:tc>
          <w:tcPr>
            <w:tcW w:w="0" w:type="auto"/>
          </w:tcPr>
          <w:p w14:paraId="2A52FD13" w14:textId="77777777" w:rsidR="009E6BDF" w:rsidRDefault="001825C3">
            <w:pPr>
              <w:pStyle w:val="Compact"/>
              <w:jc w:val="right"/>
            </w:pPr>
            <w:r>
              <w:t>5.800</w:t>
            </w:r>
          </w:p>
        </w:tc>
        <w:tc>
          <w:tcPr>
            <w:tcW w:w="0" w:type="auto"/>
          </w:tcPr>
          <w:p w14:paraId="2A52FD14" w14:textId="77777777" w:rsidR="009E6BDF" w:rsidRDefault="001825C3">
            <w:pPr>
              <w:pStyle w:val="Compact"/>
              <w:jc w:val="right"/>
            </w:pPr>
            <w:r>
              <w:t>3.700</w:t>
            </w:r>
          </w:p>
        </w:tc>
        <w:tc>
          <w:tcPr>
            <w:tcW w:w="0" w:type="auto"/>
          </w:tcPr>
          <w:p w14:paraId="2A52FD15" w14:textId="77777777" w:rsidR="009E6BDF" w:rsidRDefault="001825C3">
            <w:pPr>
              <w:pStyle w:val="Compact"/>
              <w:jc w:val="right"/>
            </w:pPr>
            <w:r>
              <w:t>9.800</w:t>
            </w:r>
          </w:p>
        </w:tc>
      </w:tr>
      <w:tr w:rsidR="009E6BDF" w14:paraId="2A52FD1B" w14:textId="77777777">
        <w:tc>
          <w:tcPr>
            <w:tcW w:w="0" w:type="auto"/>
          </w:tcPr>
          <w:p w14:paraId="2A52FD17" w14:textId="77777777" w:rsidR="009E6BDF" w:rsidRDefault="001825C3">
            <w:pPr>
              <w:pStyle w:val="Compact"/>
            </w:pPr>
            <w:r>
              <w:t>Total Cancer Risk (per million)</w:t>
            </w:r>
          </w:p>
        </w:tc>
        <w:tc>
          <w:tcPr>
            <w:tcW w:w="0" w:type="auto"/>
          </w:tcPr>
          <w:p w14:paraId="2A52FD18" w14:textId="77777777" w:rsidR="009E6BDF" w:rsidRDefault="001825C3">
            <w:pPr>
              <w:pStyle w:val="Compact"/>
              <w:jc w:val="right"/>
            </w:pPr>
            <w:r>
              <w:t>32.000</w:t>
            </w:r>
          </w:p>
        </w:tc>
        <w:tc>
          <w:tcPr>
            <w:tcW w:w="0" w:type="auto"/>
          </w:tcPr>
          <w:p w14:paraId="2A52FD19" w14:textId="77777777" w:rsidR="009E6BDF" w:rsidRDefault="001825C3">
            <w:pPr>
              <w:pStyle w:val="Compact"/>
              <w:jc w:val="right"/>
            </w:pPr>
            <w:r>
              <w:t>32.000</w:t>
            </w:r>
          </w:p>
        </w:tc>
        <w:tc>
          <w:tcPr>
            <w:tcW w:w="0" w:type="auto"/>
          </w:tcPr>
          <w:p w14:paraId="2A52FD1A" w14:textId="77777777" w:rsidR="009E6BDF" w:rsidRDefault="001825C3">
            <w:pPr>
              <w:pStyle w:val="Compact"/>
              <w:jc w:val="right"/>
            </w:pPr>
            <w:r>
              <w:t>100.000</w:t>
            </w:r>
          </w:p>
        </w:tc>
      </w:tr>
      <w:tr w:rsidR="009E6BDF" w14:paraId="2A52FD20" w14:textId="77777777">
        <w:tc>
          <w:tcPr>
            <w:tcW w:w="0" w:type="auto"/>
          </w:tcPr>
          <w:p w14:paraId="2A52FD1C" w14:textId="77777777" w:rsidR="009E6BDF" w:rsidRDefault="001825C3">
            <w:pPr>
              <w:pStyle w:val="Compact"/>
            </w:pPr>
            <w:r>
              <w:t>Trichloroethylene Cancer Risk</w:t>
            </w:r>
          </w:p>
        </w:tc>
        <w:tc>
          <w:tcPr>
            <w:tcW w:w="0" w:type="auto"/>
          </w:tcPr>
          <w:p w14:paraId="2A52FD1D" w14:textId="77777777" w:rsidR="009E6BDF" w:rsidRDefault="001825C3">
            <w:pPr>
              <w:pStyle w:val="Compact"/>
              <w:jc w:val="right"/>
            </w:pPr>
            <w:r>
              <w:t>0.081</w:t>
            </w:r>
          </w:p>
        </w:tc>
        <w:tc>
          <w:tcPr>
            <w:tcW w:w="0" w:type="auto"/>
          </w:tcPr>
          <w:p w14:paraId="2A52FD1E" w14:textId="77777777" w:rsidR="009E6BDF" w:rsidRDefault="001825C3">
            <w:pPr>
              <w:pStyle w:val="Compact"/>
              <w:jc w:val="right"/>
            </w:pPr>
            <w:r>
              <w:t>0.053</w:t>
            </w:r>
          </w:p>
        </w:tc>
        <w:tc>
          <w:tcPr>
            <w:tcW w:w="0" w:type="auto"/>
          </w:tcPr>
          <w:p w14:paraId="2A52FD1F" w14:textId="77777777" w:rsidR="009E6BDF" w:rsidRDefault="001825C3">
            <w:pPr>
              <w:pStyle w:val="Compact"/>
              <w:jc w:val="right"/>
            </w:pPr>
            <w:r>
              <w:t>0.052</w:t>
            </w:r>
          </w:p>
        </w:tc>
      </w:tr>
      <w:bookmarkEnd w:id="0"/>
    </w:tbl>
    <w:p w14:paraId="2A52FD21" w14:textId="77777777" w:rsidR="00000000" w:rsidRDefault="001825C3"/>
    <w:sectPr w:rsidR="0000000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52FD25" w14:textId="77777777" w:rsidR="00000000" w:rsidRDefault="001825C3">
      <w:pPr>
        <w:spacing w:after="0"/>
      </w:pPr>
      <w:r>
        <w:separator/>
      </w:r>
    </w:p>
  </w:endnote>
  <w:endnote w:type="continuationSeparator" w:id="0">
    <w:p w14:paraId="2A52FD27" w14:textId="77777777" w:rsidR="00000000" w:rsidRDefault="001825C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52FD21" w14:textId="77777777" w:rsidR="009E6BDF" w:rsidRDefault="001825C3">
      <w:r>
        <w:separator/>
      </w:r>
    </w:p>
  </w:footnote>
  <w:footnote w:type="continuationSeparator" w:id="0">
    <w:p w14:paraId="2A52FD22" w14:textId="77777777" w:rsidR="009E6BDF" w:rsidRDefault="001825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9974897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825C3"/>
    <w:rsid w:val="004E29B3"/>
    <w:rsid w:val="00590D07"/>
    <w:rsid w:val="00784D58"/>
    <w:rsid w:val="008D6863"/>
    <w:rsid w:val="009E6BDF"/>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2FCDB"/>
  <w15:docId w15:val="{F3A17F11-6773-4865-9B53-73676A556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349</Words>
  <Characters>1995</Characters>
  <Application>Microsoft Office Word</Application>
  <DocSecurity>0</DocSecurity>
  <Lines>16</Lines>
  <Paragraphs>4</Paragraphs>
  <ScaleCrop>false</ScaleCrop>
  <Company/>
  <LinksUpToDate>false</LinksUpToDate>
  <CharactersWithSpaces>2340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Hydrofluorocarbon Production Community Characteristics</dc:title>
  <dc:creator>NCEE</dc:creator>
  <cp:keywords/>
  <cp:lastModifiedBy>Griffiths, Charles</cp:lastModifiedBy>
  <cp:revision>2</cp:revision>
  <dcterms:created xsi:type="dcterms:W3CDTF">2021-03-01T16:29:00Z</dcterms:created>
  <dcterms:modified xsi:type="dcterms:W3CDTF">2021-03-01T16:29:00Z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2/28/2021</vt:lpwstr>
  </property>
  <property fmtid="{D5CDD505-2E9C-101B-9397-08002B2CF9AE}" pid="3" name="output">
    <vt:lpwstr>word_document</vt:lpwstr>
  </property>
</Properties>
</file>