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B716F" w:rsidP="000745A6" w:rsidRDefault="00314B53" w14:paraId="3D179D61" w14:textId="77777777">
      <w:pPr>
        <w:pStyle w:val="Heading1"/>
        <w:spacing w:before="3600"/>
      </w:pPr>
      <w:r w:rsidRPr="005A34D2">
        <w:t>MAT 243 Project One Summary Report</w:t>
      </w:r>
    </w:p>
    <w:p w:rsidRPr="005A34D2" w:rsidR="005A34D2" w:rsidP="005A34D2" w:rsidRDefault="005A34D2" w14:paraId="4DFD5E11" w14:textId="77777777"/>
    <w:p w:rsidR="78DA9A02" w:rsidP="4942AAE2" w:rsidRDefault="78DA9A02" w14:paraId="189C1E2A" w14:textId="5E262A0C">
      <w:pPr>
        <w:pStyle w:val="Normal"/>
        <w:bidi w:val="0"/>
        <w:spacing w:before="0" w:beforeAutospacing="off" w:after="0" w:afterAutospacing="off" w:line="240" w:lineRule="auto"/>
        <w:ind w:left="0" w:right="0"/>
        <w:contextualSpacing/>
        <w:jc w:val="center"/>
        <w:rPr>
          <w:rFonts w:ascii="Calibri" w:hAnsi="Calibri" w:cs="Calibri"/>
        </w:rPr>
      </w:pPr>
      <w:r w:rsidRPr="4942AAE2" w:rsidR="78DA9A02">
        <w:rPr>
          <w:rFonts w:ascii="Calibri" w:hAnsi="Calibri" w:cs="Calibri"/>
        </w:rPr>
        <w:t>Jared Baker</w:t>
      </w:r>
    </w:p>
    <w:p w:rsidR="78DA9A02" w:rsidP="4942AAE2" w:rsidRDefault="78DA9A02" w14:paraId="379EB278" w14:textId="532F8EF7">
      <w:pPr>
        <w:pStyle w:val="Normal"/>
        <w:bidi w:val="0"/>
        <w:spacing w:before="0" w:beforeAutospacing="off" w:after="0" w:afterAutospacing="off" w:line="240" w:lineRule="auto"/>
        <w:ind w:left="0" w:right="0"/>
        <w:contextualSpacing/>
        <w:jc w:val="center"/>
      </w:pPr>
      <w:r w:rsidRPr="4942AAE2" w:rsidR="78DA9A02">
        <w:rPr>
          <w:rFonts w:ascii="Calibri" w:hAnsi="Calibri" w:cs="Calibri"/>
        </w:rPr>
        <w:t>Jared.baker@snhu.edu</w:t>
      </w:r>
    </w:p>
    <w:p w:rsidRPr="005A34D2" w:rsidR="00DB716F" w:rsidP="005A34D2" w:rsidRDefault="00314B53" w14:paraId="744D6212" w14:textId="77777777">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rsidRPr="005A34D2" w:rsidR="00DB716F" w:rsidP="005A34D2" w:rsidRDefault="00314B53" w14:paraId="57B84506" w14:textId="77777777">
      <w:pPr>
        <w:suppressAutoHyphens/>
        <w:spacing w:line="240" w:lineRule="auto"/>
        <w:contextualSpacing/>
        <w:jc w:val="center"/>
        <w:rPr>
          <w:rFonts w:ascii="Calibri" w:hAnsi="Calibri" w:cs="Calibri"/>
        </w:rPr>
      </w:pPr>
      <w:r w:rsidRPr="244F5894">
        <w:rPr>
          <w:rFonts w:ascii="Calibri" w:hAnsi="Calibri" w:cs="Calibri"/>
        </w:rPr>
        <w:br w:type="page"/>
      </w:r>
    </w:p>
    <w:p w:rsidRPr="009C6649" w:rsidR="009C6649" w:rsidP="009C6649" w:rsidRDefault="009C6649" w14:paraId="5F9E7950" w14:textId="77777777"/>
    <w:p w:rsidR="00DB716F" w:rsidP="005A34D2" w:rsidRDefault="00314B53" w14:paraId="5DA0E66D" w14:textId="77777777">
      <w:pPr>
        <w:pStyle w:val="Heading2"/>
        <w:rPr/>
      </w:pPr>
      <w:r w:rsidR="00314B53">
        <w:rPr/>
        <w:t>Introduction: Problem Statement</w:t>
      </w:r>
    </w:p>
    <w:p w:rsidR="244F5894" w:rsidP="244F5894" w:rsidRDefault="244F5894" w14:paraId="3D538F4D" w14:textId="05031818">
      <w:pPr>
        <w:pStyle w:val="Normal"/>
      </w:pPr>
    </w:p>
    <w:p w:rsidR="372F1DC3" w:rsidP="244F5894" w:rsidRDefault="372F1DC3" w14:paraId="1D52B5DB" w14:textId="37A5C3D3">
      <w:pPr>
        <w:pStyle w:val="Normal"/>
      </w:pPr>
      <w:r w:rsidR="372F1DC3">
        <w:rPr/>
        <w:t>I have been assigned the task of using data analytics to to provide descriptive statistics and data visual</w:t>
      </w:r>
      <w:r w:rsidR="75D402F4">
        <w:rPr/>
        <w:t xml:space="preserve">ization </w:t>
      </w:r>
      <w:r w:rsidR="4CF51DE3">
        <w:rPr/>
        <w:t xml:space="preserve">in comparing NBA teams. I am using the data set of </w:t>
      </w:r>
      <w:r w:rsidR="455CA1AA">
        <w:rPr/>
        <w:t>all NBA teams, their scores, wins &amp; losses, and whether they were home or away</w:t>
      </w:r>
      <w:r w:rsidR="76B13E31">
        <w:rPr/>
        <w:t>. I will be using python to visualize the data, assess points of central tendency, a</w:t>
      </w:r>
      <w:r w:rsidR="6AEC75AD">
        <w:rPr/>
        <w:t xml:space="preserve">nd provide confidence intervals for average relative skill of teams (elo). </w:t>
      </w:r>
    </w:p>
    <w:p w:rsidRPr="005A34D2" w:rsidR="005A34D2" w:rsidP="005A34D2" w:rsidRDefault="005A34D2" w14:paraId="00B4C0D0" w14:textId="77777777">
      <w:pPr>
        <w:suppressAutoHyphens/>
        <w:spacing w:line="240" w:lineRule="auto"/>
        <w:ind w:left="360"/>
        <w:contextualSpacing/>
        <w:rPr>
          <w:rFonts w:ascii="Calibri" w:hAnsi="Calibri" w:cs="Calibri"/>
          <w:b/>
        </w:rPr>
      </w:pPr>
    </w:p>
    <w:p w:rsidRPr="005A34D2" w:rsidR="00DB716F" w:rsidP="005A34D2" w:rsidRDefault="00DB716F" w14:paraId="6EB8C07A" w14:textId="77777777">
      <w:pPr>
        <w:suppressAutoHyphens/>
        <w:spacing w:line="240" w:lineRule="auto"/>
        <w:contextualSpacing/>
        <w:rPr>
          <w:rFonts w:ascii="Calibri" w:hAnsi="Calibri" w:cs="Calibri"/>
          <w:i/>
        </w:rPr>
      </w:pPr>
    </w:p>
    <w:p w:rsidR="00DB716F" w:rsidP="005A34D2" w:rsidRDefault="00314B53" w14:paraId="40BCEF1F" w14:textId="77777777">
      <w:pPr>
        <w:pStyle w:val="Heading2"/>
        <w:rPr/>
      </w:pPr>
      <w:r w:rsidR="00314B53">
        <w:rPr/>
        <w:t>Introduction: Your Team and the Assigned Team</w:t>
      </w:r>
    </w:p>
    <w:p w:rsidRPr="005A34D2" w:rsidR="00DB716F" w:rsidP="244F5894" w:rsidRDefault="00DB716F" w14:paraId="11AFE33D" w14:textId="394F88AC">
      <w:pPr>
        <w:pStyle w:val="Normal"/>
      </w:pPr>
    </w:p>
    <w:p w:rsidR="00DB716F" w:rsidP="005A34D2" w:rsidRDefault="00314B53" w14:paraId="23AD48F2" w14:textId="77777777">
      <w:pPr>
        <w:suppressAutoHyphens/>
        <w:spacing w:line="240" w:lineRule="auto"/>
        <w:contextualSpacing/>
        <w:jc w:val="center"/>
        <w:rPr>
          <w:rFonts w:ascii="Calibri" w:hAnsi="Calibri" w:cs="Calibri"/>
        </w:rPr>
      </w:pPr>
      <w:r w:rsidRPr="005A34D2">
        <w:rPr>
          <w:rFonts w:ascii="Calibri" w:hAnsi="Calibri" w:cs="Calibri"/>
        </w:rPr>
        <w:t>Table 1. Information on the Teams</w:t>
      </w:r>
    </w:p>
    <w:p w:rsidRPr="005A34D2" w:rsidR="002D755F" w:rsidP="005A34D2" w:rsidRDefault="002D755F" w14:paraId="49D41EB7" w14:textId="77777777">
      <w:pPr>
        <w:suppressAutoHyphens/>
        <w:spacing w:line="240" w:lineRule="auto"/>
        <w:contextualSpacing/>
        <w:jc w:val="center"/>
        <w:rPr>
          <w:rFonts w:ascii="Calibri" w:hAnsi="Calibri" w:cs="Calibri"/>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5A34D2" w:rsidR="005A34D2" w:rsidTr="244F5894" w14:paraId="01FB9906"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DB716F" w14:paraId="69AB3229" w14:textId="77777777">
            <w:pPr>
              <w:suppressAutoHyphens/>
              <w:spacing w:line="240" w:lineRule="auto"/>
              <w:contextualSpacing/>
              <w:rPr>
                <w:rFonts w:ascii="Calibri" w:hAnsi="Calibri" w:cs="Calibri"/>
                <w:b/>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314B53" w14:paraId="67B04D5F" w14:textId="77777777">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EF7AD4" w14:paraId="719526BA" w14:textId="77777777">
            <w:pPr>
              <w:suppressAutoHyphens/>
              <w:spacing w:line="240" w:lineRule="auto"/>
              <w:contextualSpacing/>
              <w:rPr>
                <w:rFonts w:ascii="Calibri" w:hAnsi="Calibri" w:cs="Calibri"/>
                <w:b/>
              </w:rPr>
            </w:pPr>
            <w:r>
              <w:rPr>
                <w:rFonts w:ascii="Calibri" w:hAnsi="Calibri" w:cs="Calibri"/>
                <w:b/>
              </w:rPr>
              <w:t>Assigned Years</w:t>
            </w:r>
          </w:p>
        </w:tc>
      </w:tr>
      <w:tr w:rsidRPr="005A34D2" w:rsidR="009B6796" w:rsidTr="244F5894" w14:paraId="0B79E6D7"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314B53" w14:paraId="2C2A1A94" w14:textId="77777777">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color="000000" w:themeColor="text1" w:sz="8" w:space="0"/>
            </w:tcBorders>
            <w:tcMar>
              <w:top w:w="0" w:type="dxa"/>
              <w:left w:w="115" w:type="dxa"/>
              <w:bottom w:w="0" w:type="dxa"/>
              <w:right w:w="115" w:type="dxa"/>
            </w:tcMar>
          </w:tcPr>
          <w:p w:rsidRPr="005A34D2" w:rsidR="00DB716F" w:rsidP="244F5894" w:rsidRDefault="00314B53" w14:paraId="664A575D" w14:textId="36AF7C30">
            <w:pPr>
              <w:pStyle w:val="Normal"/>
              <w:bidi w:val="0"/>
              <w:spacing w:before="0" w:beforeAutospacing="off" w:after="0" w:afterAutospacing="off" w:line="240" w:lineRule="auto"/>
              <w:ind w:left="0" w:right="0"/>
              <w:contextualSpacing/>
              <w:jc w:val="left"/>
            </w:pPr>
            <w:r w:rsidRPr="244F5894" w:rsidR="4AC20428">
              <w:rPr>
                <w:rFonts w:ascii="Calibri" w:hAnsi="Calibri" w:cs="Calibri"/>
              </w:rPr>
              <w:t>Nuggets</w:t>
            </w:r>
          </w:p>
        </w:tc>
        <w:tc>
          <w:tcPr>
            <w:tcW w:w="3675" w:type="dxa"/>
            <w:tcBorders>
              <w:right w:val="single" w:color="000000" w:themeColor="text1" w:sz="8" w:space="0"/>
            </w:tcBorders>
            <w:tcMar>
              <w:top w:w="0" w:type="dxa"/>
              <w:left w:w="115" w:type="dxa"/>
              <w:bottom w:w="0" w:type="dxa"/>
              <w:right w:w="115" w:type="dxa"/>
            </w:tcMar>
          </w:tcPr>
          <w:p w:rsidRPr="005A34D2" w:rsidR="00DB716F" w:rsidP="005A34D2" w:rsidRDefault="00314B53" w14:paraId="4D067316" w14:textId="762DCBB6">
            <w:pPr>
              <w:suppressAutoHyphens/>
              <w:spacing w:line="240" w:lineRule="auto"/>
              <w:contextualSpacing/>
              <w:rPr>
                <w:rFonts w:ascii="Calibri" w:hAnsi="Calibri" w:cs="Calibri"/>
              </w:rPr>
            </w:pPr>
            <w:r w:rsidRPr="244F5894" w:rsidR="00314B53">
              <w:rPr>
                <w:rFonts w:ascii="Calibri" w:hAnsi="Calibri" w:cs="Calibri"/>
              </w:rPr>
              <w:t>2013 - 2015</w:t>
            </w:r>
          </w:p>
        </w:tc>
      </w:tr>
      <w:tr w:rsidRPr="005A34D2" w:rsidR="009B6796" w:rsidTr="244F5894" w14:paraId="78050E12"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9B6796" w:rsidP="005A34D2" w:rsidRDefault="009B6796" w14:paraId="5E998365" w14:textId="77777777">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244F5894" w:rsidRDefault="009B6796" w14:paraId="4252A9DC" w14:textId="1EF08F87">
            <w:pPr>
              <w:pStyle w:val="Normal"/>
              <w:bidi w:val="0"/>
              <w:spacing w:before="0" w:beforeAutospacing="off" w:after="0" w:afterAutospacing="off" w:line="240" w:lineRule="auto"/>
              <w:ind w:left="0" w:right="0"/>
              <w:contextualSpacing/>
              <w:jc w:val="left"/>
            </w:pPr>
            <w:r w:rsidRPr="244F5894" w:rsidR="0E95D00A">
              <w:rPr>
                <w:rFonts w:ascii="Calibri" w:hAnsi="Calibri" w:cs="Calibri"/>
              </w:rPr>
              <w:t>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244F5894" w:rsidRDefault="009B6796" w14:paraId="784B3389" w14:textId="0CB1A8DD">
            <w:pPr>
              <w:pStyle w:val="Normal"/>
              <w:bidi w:val="0"/>
              <w:spacing w:before="0" w:beforeAutospacing="off" w:after="0" w:afterAutospacing="off" w:line="240" w:lineRule="auto"/>
              <w:ind w:left="0" w:right="0"/>
              <w:contextualSpacing/>
              <w:jc w:val="left"/>
            </w:pPr>
            <w:r w:rsidRPr="244F5894" w:rsidR="0E95D00A">
              <w:rPr>
                <w:rFonts w:ascii="Calibri" w:hAnsi="Calibri" w:cs="Calibri"/>
              </w:rPr>
              <w:t>1996 – 1998</w:t>
            </w:r>
          </w:p>
        </w:tc>
      </w:tr>
    </w:tbl>
    <w:p w:rsidR="244F5894" w:rsidP="244F5894" w:rsidRDefault="244F5894" w14:paraId="1564E949" w14:textId="67DFE9B3">
      <w:pPr>
        <w:pStyle w:val="Heading2"/>
        <w:numPr>
          <w:numId w:val="0"/>
        </w:numPr>
        <w:ind w:left="0"/>
      </w:pPr>
    </w:p>
    <w:p w:rsidR="00DB716F" w:rsidP="005A34D2" w:rsidRDefault="00314B53" w14:paraId="7B273884" w14:textId="77777777">
      <w:pPr>
        <w:pStyle w:val="Heading2"/>
        <w:rPr/>
      </w:pPr>
      <w:r w:rsidR="00314B53">
        <w:rPr/>
        <w:t>Data Visualization: Points Scored by Your Team</w:t>
      </w:r>
    </w:p>
    <w:p w:rsidR="244F5894" w:rsidP="244F5894" w:rsidRDefault="244F5894" w14:paraId="27747ACF" w14:textId="27DD9FE1">
      <w:pPr>
        <w:pStyle w:val="Normal"/>
      </w:pPr>
    </w:p>
    <w:p w:rsidR="2A1476C1" w:rsidP="244F5894" w:rsidRDefault="2A1476C1" w14:paraId="3188C518" w14:textId="7FB4D769">
      <w:pPr>
        <w:pStyle w:val="Normal"/>
      </w:pPr>
      <w:r w:rsidR="2A1476C1">
        <w:rPr/>
        <w:t>Data visualization is used to study data distribution and trends by reformatting a long list of figures into one clear picture that can easily show trends, o</w:t>
      </w:r>
      <w:r w:rsidR="3CC407CB">
        <w:rPr/>
        <w:t xml:space="preserve">utliers, and </w:t>
      </w:r>
      <w:r w:rsidR="6D11ABE7">
        <w:rPr/>
        <w:t>relative amounts. I chose the histogram representation of points scored by the Nuggets because it clearly shows central tendency. The scatterplot does not give mu</w:t>
      </w:r>
      <w:r w:rsidR="7378424B">
        <w:rPr/>
        <w:t xml:space="preserve">ch information as the x-axis is too compressed. </w:t>
      </w:r>
    </w:p>
    <w:p w:rsidR="4D9DE736" w:rsidP="244F5894" w:rsidRDefault="4D9DE736" w14:paraId="147F1A85" w14:textId="1BB016C3">
      <w:pPr>
        <w:pStyle w:val="Normal"/>
        <w:jc w:val="center"/>
      </w:pPr>
      <w:r w:rsidR="4D9DE736">
        <w:drawing>
          <wp:inline wp14:editId="4F99A7BB" wp14:anchorId="7CCF2DA9">
            <wp:extent cx="4572000" cy="2390775"/>
            <wp:effectExtent l="0" t="0" r="0" b="0"/>
            <wp:docPr id="1042053606" name="" title=""/>
            <wp:cNvGraphicFramePr>
              <a:graphicFrameLocks noChangeAspect="1"/>
            </wp:cNvGraphicFramePr>
            <a:graphic>
              <a:graphicData uri="http://schemas.openxmlformats.org/drawingml/2006/picture">
                <pic:pic>
                  <pic:nvPicPr>
                    <pic:cNvPr id="0" name=""/>
                    <pic:cNvPicPr/>
                  </pic:nvPicPr>
                  <pic:blipFill>
                    <a:blip r:embed="R317c0245b04c4309">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7378424B" w:rsidP="244F5894" w:rsidRDefault="7378424B" w14:paraId="389B2D71" w14:textId="24ECF21C">
      <w:pPr>
        <w:pStyle w:val="Normal"/>
        <w:ind w:firstLine="720"/>
      </w:pPr>
      <w:r w:rsidR="7378424B">
        <w:rPr/>
        <w:t>You cannot tell how ma</w:t>
      </w:r>
      <w:r w:rsidR="7EC0090B">
        <w:rPr/>
        <w:t xml:space="preserve">ny games are scoring in the central tendency because all of the dots are overlapping. The distribution of points scored appears to be very similar to a normal distribution, </w:t>
      </w:r>
      <w:r w:rsidR="4347527F">
        <w:rPr/>
        <w:t>with a slight tendency to score under the median rather than over. This signifies that the Nuggets are very likely to score between 90-</w:t>
      </w:r>
      <w:r w:rsidR="50147F47">
        <w:rPr/>
        <w:t xml:space="preserve">120 points. </w:t>
      </w:r>
    </w:p>
    <w:p w:rsidR="244F5894" w:rsidP="244F5894" w:rsidRDefault="244F5894" w14:paraId="68A0C332" w14:textId="216FC719">
      <w:pPr>
        <w:pStyle w:val="Normal"/>
        <w:ind w:firstLine="720"/>
      </w:pPr>
    </w:p>
    <w:p w:rsidRPr="005A34D2" w:rsidR="00DB716F" w:rsidP="005A34D2" w:rsidRDefault="00DB716F" w14:paraId="6A942B66" w14:textId="77777777">
      <w:pPr>
        <w:suppressAutoHyphens/>
        <w:spacing w:line="240" w:lineRule="auto"/>
        <w:contextualSpacing/>
        <w:rPr>
          <w:rFonts w:ascii="Calibri" w:hAnsi="Calibri" w:cs="Calibri"/>
          <w:i/>
        </w:rPr>
      </w:pPr>
    </w:p>
    <w:p w:rsidR="00DB716F" w:rsidP="002D755F" w:rsidRDefault="00314B53" w14:paraId="5151C5A4" w14:textId="77777777">
      <w:pPr>
        <w:pStyle w:val="Heading2"/>
        <w:rPr/>
      </w:pPr>
      <w:r w:rsidR="00314B53">
        <w:rPr/>
        <w:t>Data Visualization: Points Scored by the Assigned Team</w:t>
      </w:r>
    </w:p>
    <w:p w:rsidRPr="005A34D2" w:rsidR="002D755F" w:rsidP="244F5894" w:rsidRDefault="002D755F" w14:paraId="0787C957" w14:textId="546CC56B">
      <w:pPr>
        <w:pStyle w:val="Normal"/>
      </w:pPr>
    </w:p>
    <w:p w:rsidRPr="005A34D2" w:rsidR="002D755F" w:rsidP="244F5894" w:rsidRDefault="002D755F" w14:paraId="4917F966" w14:textId="0D238BD3">
      <w:pPr>
        <w:pStyle w:val="Normal"/>
      </w:pPr>
      <w:r w:rsidR="7A3BE3E1">
        <w:rPr/>
        <w:t>I chose the histogram for the Bulls via the same reasoning as the Nuggets. While the scatterplot shows the trend line through the years clearly, the histogram shows the point distribution</w:t>
      </w:r>
      <w:r w:rsidR="598E567A">
        <w:rPr/>
        <w:t>, which is the metric we are currently interested in.</w:t>
      </w:r>
    </w:p>
    <w:p w:rsidR="598E567A" w:rsidP="244F5894" w:rsidRDefault="598E567A" w14:paraId="2627F5D2" w14:textId="21C18A9E">
      <w:pPr>
        <w:pStyle w:val="Normal"/>
        <w:jc w:val="center"/>
      </w:pPr>
      <w:r w:rsidR="598E567A">
        <w:drawing>
          <wp:inline wp14:editId="0A69CB56" wp14:anchorId="0861441F">
            <wp:extent cx="4572000" cy="2457450"/>
            <wp:effectExtent l="0" t="0" r="0" b="0"/>
            <wp:docPr id="838571527" name="" title=""/>
            <wp:cNvGraphicFramePr>
              <a:graphicFrameLocks noChangeAspect="1"/>
            </wp:cNvGraphicFramePr>
            <a:graphic>
              <a:graphicData uri="http://schemas.openxmlformats.org/drawingml/2006/picture">
                <pic:pic>
                  <pic:nvPicPr>
                    <pic:cNvPr id="0" name=""/>
                    <pic:cNvPicPr/>
                  </pic:nvPicPr>
                  <pic:blipFill>
                    <a:blip r:embed="Ra1aa5f21dae64b14">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598E567A" w:rsidP="244F5894" w:rsidRDefault="598E567A" w14:paraId="34EDC78B" w14:textId="3EFF9066">
      <w:pPr>
        <w:pStyle w:val="Normal"/>
        <w:jc w:val="left"/>
      </w:pPr>
      <w:r w:rsidR="598E567A">
        <w:rPr/>
        <w:t>The distribution of the Bulls appears to have more inconsistency in points, shown by the spikes in the graph.</w:t>
      </w:r>
      <w:r w:rsidR="598E567A">
        <w:rPr/>
        <w:t xml:space="preserve"> Overall, the distribution is relatively normal</w:t>
      </w:r>
      <w:r w:rsidR="207512EC">
        <w:rPr/>
        <w:t xml:space="preserve"> and very similar to the Nuggets.</w:t>
      </w:r>
    </w:p>
    <w:p w:rsidRPr="005A34D2" w:rsidR="00DB716F" w:rsidP="005A34D2" w:rsidRDefault="00DB716F" w14:paraId="3FB65E1E" w14:textId="77777777">
      <w:pPr>
        <w:suppressAutoHyphens/>
        <w:spacing w:line="240" w:lineRule="auto"/>
        <w:contextualSpacing/>
        <w:rPr>
          <w:rFonts w:ascii="Calibri" w:hAnsi="Calibri" w:cs="Calibri"/>
          <w:i/>
        </w:rPr>
      </w:pPr>
    </w:p>
    <w:p w:rsidR="00DB716F" w:rsidP="002D755F" w:rsidRDefault="00314B53" w14:paraId="524588C7" w14:textId="77777777">
      <w:pPr>
        <w:pStyle w:val="Heading2"/>
        <w:rPr/>
      </w:pPr>
      <w:r w:rsidR="00314B53">
        <w:rPr/>
        <w:t>Data Visualization: Comparing the Two Teams</w:t>
      </w:r>
    </w:p>
    <w:p w:rsidRPr="005A34D2" w:rsidR="002D755F" w:rsidP="244F5894" w:rsidRDefault="002D755F" w14:paraId="779B2FC2" w14:textId="0231F5D3">
      <w:pPr>
        <w:pStyle w:val="Normal"/>
      </w:pPr>
    </w:p>
    <w:p w:rsidRPr="005A34D2" w:rsidR="002D755F" w:rsidP="244F5894" w:rsidRDefault="002D755F" w14:paraId="66540E82" w14:textId="74BA4398">
      <w:pPr>
        <w:pStyle w:val="Normal"/>
      </w:pPr>
      <w:r w:rsidR="3D578557">
        <w:rPr/>
        <w:t>Data visualization is used to compare two different data distributions by clearly showing one metric next to or on top of another metric. This paints a very clear picture of how the data differs as well as how</w:t>
      </w:r>
      <w:r w:rsidR="6B62F2C3">
        <w:rPr/>
        <w:t xml:space="preserve"> the data is similar.</w:t>
      </w:r>
    </w:p>
    <w:p w:rsidRPr="005A34D2" w:rsidR="002D755F" w:rsidP="244F5894" w:rsidRDefault="002D755F" w14:paraId="5E08F321" w14:textId="0A0253F1">
      <w:pPr>
        <w:pStyle w:val="Normal"/>
        <w:suppressAutoHyphens/>
        <w:spacing w:line="240" w:lineRule="auto"/>
        <w:ind/>
        <w:contextualSpacing/>
        <w:jc w:val="center"/>
      </w:pPr>
      <w:r w:rsidR="6B62F2C3">
        <w:drawing>
          <wp:inline wp14:editId="347F19FB" wp14:anchorId="4F2937E8">
            <wp:extent cx="3829050" cy="2667000"/>
            <wp:effectExtent l="0" t="0" r="0" b="0"/>
            <wp:docPr id="1225720138" name="" title=""/>
            <wp:cNvGraphicFramePr>
              <a:graphicFrameLocks noChangeAspect="1"/>
            </wp:cNvGraphicFramePr>
            <a:graphic>
              <a:graphicData uri="http://schemas.openxmlformats.org/drawingml/2006/picture">
                <pic:pic>
                  <pic:nvPicPr>
                    <pic:cNvPr id="0" name=""/>
                    <pic:cNvPicPr/>
                  </pic:nvPicPr>
                  <pic:blipFill>
                    <a:blip r:embed="R4bb89ffd56664cda">
                      <a:extLst>
                        <a:ext xmlns:a="http://schemas.openxmlformats.org/drawingml/2006/main" uri="{28A0092B-C50C-407E-A947-70E740481C1C}">
                          <a14:useLocalDpi val="0"/>
                        </a:ext>
                      </a:extLst>
                    </a:blip>
                    <a:stretch>
                      <a:fillRect/>
                    </a:stretch>
                  </pic:blipFill>
                  <pic:spPr>
                    <a:xfrm>
                      <a:off x="0" y="0"/>
                      <a:ext cx="3829050" cy="2667000"/>
                    </a:xfrm>
                    <a:prstGeom prst="rect">
                      <a:avLst/>
                    </a:prstGeom>
                  </pic:spPr>
                </pic:pic>
              </a:graphicData>
            </a:graphic>
          </wp:inline>
        </w:drawing>
      </w:r>
    </w:p>
    <w:p w:rsidRPr="005A34D2" w:rsidR="002D755F" w:rsidP="244F5894" w:rsidRDefault="002D755F" w14:paraId="509D1900" w14:textId="79D071AD">
      <w:pPr>
        <w:pStyle w:val="Normal"/>
        <w:bidi w:val="0"/>
        <w:spacing w:before="0" w:beforeAutospacing="off" w:after="0" w:afterAutospacing="off" w:line="276" w:lineRule="auto"/>
        <w:ind w:left="0" w:right="0"/>
        <w:jc w:val="left"/>
      </w:pPr>
      <w:r w:rsidR="6B62F2C3">
        <w:rPr/>
        <w:t xml:space="preserve">I chose the boxplot comparison because it clearly shows that the Nuggets score a little higher on average than the Bulls. </w:t>
      </w:r>
      <w:r w:rsidR="4198995B">
        <w:rPr/>
        <w:t xml:space="preserve">The Nuggets have a higher median and mean as well as a smaller range. </w:t>
      </w:r>
      <w:r w:rsidR="6B62F2C3">
        <w:rPr/>
        <w:t>It also shows the Nuggets have 3 outlying games</w:t>
      </w:r>
      <w:r w:rsidR="2751A258">
        <w:rPr/>
        <w:t xml:space="preserve"> (two of which well above what is expected of them, vs 1 lower)</w:t>
      </w:r>
      <w:r w:rsidR="6B62F2C3">
        <w:rPr/>
        <w:t>, while the Bulls do not</w:t>
      </w:r>
      <w:r w:rsidR="270424CA">
        <w:rPr/>
        <w:t xml:space="preserve"> have any</w:t>
      </w:r>
      <w:r w:rsidR="6B62F2C3">
        <w:rPr/>
        <w:t xml:space="preserve">. </w:t>
      </w:r>
      <w:r w:rsidR="5BDF905E">
        <w:rPr/>
        <w:t xml:space="preserve">The histogram comparison shows the two previous visualizaitons on top of one another. While the plot looks interesting, there are no </w:t>
      </w:r>
      <w:r w:rsidR="55FD2C1C">
        <w:rPr/>
        <w:t xml:space="preserve">useful </w:t>
      </w:r>
      <w:r w:rsidR="5BDF905E">
        <w:rPr/>
        <w:t>conclusions to draw without having to do your own math based on the graph.</w:t>
      </w:r>
    </w:p>
    <w:p w:rsidRPr="005A34D2" w:rsidR="00DB716F" w:rsidP="005A34D2" w:rsidRDefault="00DB716F" w14:paraId="2412B056" w14:textId="77777777">
      <w:pPr>
        <w:suppressAutoHyphens/>
        <w:spacing w:line="240" w:lineRule="auto"/>
        <w:ind w:left="720"/>
        <w:contextualSpacing/>
        <w:rPr>
          <w:rFonts w:ascii="Calibri" w:hAnsi="Calibri" w:cs="Calibri"/>
          <w:i/>
        </w:rPr>
      </w:pPr>
    </w:p>
    <w:p w:rsidRPr="005A34D2" w:rsidR="002D755F" w:rsidP="244F5894" w:rsidRDefault="002D755F" w14:paraId="2F092A5F" w14:textId="6C40BEB7">
      <w:pPr>
        <w:pStyle w:val="Heading2"/>
        <w:suppressAutoHyphens/>
        <w:spacing w:line="240" w:lineRule="auto"/>
        <w:ind/>
        <w:contextualSpacing/>
        <w:rPr/>
      </w:pPr>
      <w:r w:rsidR="00314B53">
        <w:rPr/>
        <w:t xml:space="preserve">Descriptive Statistics: </w:t>
      </w:r>
      <w:r w:rsidR="009C2363">
        <w:rPr/>
        <w:t>Points Scored By Your Team in Home Games</w:t>
      </w:r>
    </w:p>
    <w:p w:rsidRPr="005A34D2" w:rsidR="00DB716F" w:rsidP="005A34D2" w:rsidRDefault="00DB716F" w14:paraId="611594BB" w14:textId="77777777">
      <w:pPr>
        <w:suppressAutoHyphens/>
        <w:spacing w:line="240" w:lineRule="auto"/>
        <w:contextualSpacing/>
        <w:rPr>
          <w:rFonts w:ascii="Calibri" w:hAnsi="Calibri" w:cs="Calibri"/>
          <w:i/>
        </w:rPr>
      </w:pPr>
    </w:p>
    <w:p w:rsidR="00DB716F" w:rsidP="005A34D2" w:rsidRDefault="00314B53" w14:paraId="20553D74" w14:textId="77777777">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rsidRPr="005A34D2" w:rsidR="002D755F" w:rsidP="005A34D2" w:rsidRDefault="002D755F" w14:paraId="01235BC5" w14:textId="77777777">
      <w:pPr>
        <w:suppressAutoHyphens/>
        <w:spacing w:line="240" w:lineRule="auto"/>
        <w:ind w:left="720"/>
        <w:contextualSpacing/>
        <w:jc w:val="center"/>
        <w:rPr>
          <w:rFonts w:ascii="Calibri" w:hAnsi="Calibri" w:cs="Calibri"/>
        </w:rPr>
      </w:pPr>
    </w:p>
    <w:tbl>
      <w:tblPr>
        <w:tblW w:w="8235" w:type="dxa"/>
        <w:tblInd w:w="86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Description w:val="Table"/>
      </w:tblPr>
      <w:tblGrid>
        <w:gridCol w:w="4335"/>
        <w:gridCol w:w="3900"/>
      </w:tblGrid>
      <w:tr w:rsidRPr="005A34D2" w:rsidR="005A34D2" w:rsidTr="244F5894" w14:paraId="6BF8CF06" w14:textId="77777777">
        <w:trPr>
          <w:tblHeader/>
        </w:trPr>
        <w:tc>
          <w:tcPr>
            <w:tcW w:w="4335" w:type="dxa"/>
            <w:tcMar>
              <w:top w:w="0" w:type="dxa"/>
              <w:left w:w="115" w:type="dxa"/>
              <w:bottom w:w="0" w:type="dxa"/>
              <w:right w:w="115" w:type="dxa"/>
            </w:tcMar>
          </w:tcPr>
          <w:p w:rsidRPr="005A34D2" w:rsidR="00DB716F" w:rsidP="244F5894" w:rsidRDefault="006A376F" w14:paraId="448432C3" w14:textId="02A83CFD">
            <w:pPr>
              <w:suppressAutoHyphens/>
              <w:spacing w:line="240" w:lineRule="auto"/>
              <w:contextualSpacing/>
              <w:rPr>
                <w:rFonts w:ascii="Calibri" w:hAnsi="Calibri" w:cs="Calibri"/>
                <w:b w:val="1"/>
                <w:bCs w:val="1"/>
              </w:rPr>
            </w:pPr>
            <w:r w:rsidRPr="244F5894" w:rsidR="3A6CF567">
              <w:rPr>
                <w:rFonts w:ascii="Calibri" w:hAnsi="Calibri" w:cs="Calibri"/>
                <w:b w:val="1"/>
                <w:bCs w:val="1"/>
              </w:rPr>
              <w:t>Statistic</w:t>
            </w:r>
          </w:p>
        </w:tc>
        <w:tc>
          <w:tcPr>
            <w:tcW w:w="3900" w:type="dxa"/>
            <w:tcMar>
              <w:top w:w="0" w:type="dxa"/>
              <w:left w:w="115" w:type="dxa"/>
              <w:bottom w:w="0" w:type="dxa"/>
              <w:right w:w="115" w:type="dxa"/>
            </w:tcMar>
          </w:tcPr>
          <w:p w:rsidRPr="005A34D2" w:rsidR="00DB716F" w:rsidP="005A34D2" w:rsidRDefault="00314B53" w14:paraId="1E9C4466" w14:textId="77777777">
            <w:pPr>
              <w:suppressAutoHyphens/>
              <w:spacing w:line="240" w:lineRule="auto"/>
              <w:contextualSpacing/>
              <w:rPr>
                <w:rFonts w:ascii="Calibri" w:hAnsi="Calibri" w:cs="Calibri"/>
                <w:b/>
              </w:rPr>
            </w:pPr>
            <w:r w:rsidRPr="005A34D2">
              <w:rPr>
                <w:rFonts w:ascii="Calibri" w:hAnsi="Calibri" w:cs="Calibri"/>
                <w:b/>
              </w:rPr>
              <w:t>Value</w:t>
            </w:r>
          </w:p>
        </w:tc>
      </w:tr>
      <w:tr w:rsidRPr="005A34D2" w:rsidR="009B6796" w:rsidTr="244F5894" w14:paraId="625FF6CD" w14:textId="77777777">
        <w:trPr>
          <w:tblHeader/>
        </w:trPr>
        <w:tc>
          <w:tcPr>
            <w:tcW w:w="4335" w:type="dxa"/>
            <w:tcMar>
              <w:top w:w="0" w:type="dxa"/>
              <w:left w:w="115" w:type="dxa"/>
              <w:bottom w:w="0" w:type="dxa"/>
              <w:right w:w="115" w:type="dxa"/>
            </w:tcMar>
          </w:tcPr>
          <w:p w:rsidRPr="005A34D2" w:rsidR="00DB716F" w:rsidP="244F5894" w:rsidRDefault="00314B53" w14:paraId="432B0E71" w14:textId="5F8BDB96">
            <w:pPr>
              <w:pStyle w:val="Normal"/>
              <w:bidi w:val="0"/>
              <w:spacing w:before="0" w:beforeAutospacing="off" w:after="0" w:afterAutospacing="off" w:line="240" w:lineRule="auto"/>
              <w:ind w:left="0" w:right="0"/>
              <w:contextualSpacing/>
              <w:jc w:val="left"/>
            </w:pPr>
            <w:r w:rsidRPr="244F5894" w:rsidR="20C9E7CD">
              <w:rPr>
                <w:rFonts w:ascii="Calibri" w:hAnsi="Calibri" w:cs="Calibri"/>
              </w:rPr>
              <w:t>Mean</w:t>
            </w:r>
          </w:p>
        </w:tc>
        <w:tc>
          <w:tcPr>
            <w:tcW w:w="3900" w:type="dxa"/>
            <w:tcMar>
              <w:top w:w="0" w:type="dxa"/>
              <w:left w:w="115" w:type="dxa"/>
              <w:bottom w:w="0" w:type="dxa"/>
              <w:right w:w="115" w:type="dxa"/>
            </w:tcMar>
          </w:tcPr>
          <w:p w:rsidRPr="005A34D2" w:rsidR="00DB716F" w:rsidP="244F5894" w:rsidRDefault="00314B53" w14:paraId="5A6150A7" w14:textId="73ACC013">
            <w:pPr>
              <w:pStyle w:val="Normal"/>
              <w:bidi w:val="0"/>
              <w:spacing w:before="0" w:beforeAutospacing="off" w:after="0" w:afterAutospacing="off" w:line="240" w:lineRule="auto"/>
              <w:ind w:left="0" w:right="0"/>
              <w:contextualSpacing/>
              <w:jc w:val="left"/>
            </w:pPr>
            <w:r w:rsidRPr="244F5894" w:rsidR="4FEDF7F2">
              <w:rPr>
                <w:rFonts w:ascii="Calibri" w:hAnsi="Calibri" w:cs="Calibri"/>
              </w:rPr>
              <w:t>106.2</w:t>
            </w:r>
          </w:p>
        </w:tc>
      </w:tr>
      <w:tr w:rsidR="244F5894" w:rsidTr="244F5894" w14:paraId="0A26D496">
        <w:trPr>
          <w:tblHeader/>
          <w:trHeight w:val="300"/>
        </w:trPr>
        <w:tc>
          <w:tcPr>
            <w:tcW w:w="4335" w:type="dxa"/>
            <w:tcMar>
              <w:top w:w="0" w:type="dxa"/>
              <w:left w:w="115" w:type="dxa"/>
              <w:bottom w:w="0" w:type="dxa"/>
              <w:right w:w="115" w:type="dxa"/>
            </w:tcMar>
          </w:tcPr>
          <w:p w:rsidR="4FEDF7F2" w:rsidP="244F5894" w:rsidRDefault="4FEDF7F2" w14:paraId="4CD3DCA9" w14:textId="0F742EC2">
            <w:pPr>
              <w:pStyle w:val="Normal"/>
              <w:spacing w:line="240" w:lineRule="auto"/>
              <w:jc w:val="left"/>
              <w:rPr>
                <w:rFonts w:ascii="Calibri" w:hAnsi="Calibri" w:cs="Calibri"/>
              </w:rPr>
            </w:pPr>
            <w:r w:rsidRPr="244F5894" w:rsidR="4FEDF7F2">
              <w:rPr>
                <w:rFonts w:ascii="Calibri" w:hAnsi="Calibri" w:cs="Calibri"/>
              </w:rPr>
              <w:t>Median</w:t>
            </w:r>
          </w:p>
        </w:tc>
        <w:tc>
          <w:tcPr>
            <w:tcW w:w="3900" w:type="dxa"/>
            <w:tcMar>
              <w:top w:w="0" w:type="dxa"/>
              <w:left w:w="115" w:type="dxa"/>
              <w:bottom w:w="0" w:type="dxa"/>
              <w:right w:w="115" w:type="dxa"/>
            </w:tcMar>
          </w:tcPr>
          <w:p w:rsidR="4FEDF7F2" w:rsidP="244F5894" w:rsidRDefault="4FEDF7F2" w14:paraId="515FE127" w14:textId="6CB9ADB4">
            <w:pPr>
              <w:pStyle w:val="Normal"/>
              <w:spacing w:line="240" w:lineRule="auto"/>
              <w:jc w:val="left"/>
              <w:rPr>
                <w:rFonts w:ascii="Calibri" w:hAnsi="Calibri" w:cs="Calibri"/>
              </w:rPr>
            </w:pPr>
            <w:r w:rsidRPr="244F5894" w:rsidR="4FEDF7F2">
              <w:rPr>
                <w:rFonts w:ascii="Calibri" w:hAnsi="Calibri" w:cs="Calibri"/>
              </w:rPr>
              <w:t>106.0</w:t>
            </w:r>
          </w:p>
        </w:tc>
      </w:tr>
      <w:tr w:rsidR="244F5894" w:rsidTr="244F5894" w14:paraId="645D57D5">
        <w:trPr>
          <w:tblHeader/>
          <w:trHeight w:val="300"/>
        </w:trPr>
        <w:tc>
          <w:tcPr>
            <w:tcW w:w="4335" w:type="dxa"/>
            <w:tcMar>
              <w:top w:w="0" w:type="dxa"/>
              <w:left w:w="115" w:type="dxa"/>
              <w:bottom w:w="0" w:type="dxa"/>
              <w:right w:w="115" w:type="dxa"/>
            </w:tcMar>
          </w:tcPr>
          <w:p w:rsidR="4FEDF7F2" w:rsidP="244F5894" w:rsidRDefault="4FEDF7F2" w14:paraId="27B089C0" w14:textId="6E33548C">
            <w:pPr>
              <w:pStyle w:val="Normal"/>
              <w:spacing w:line="240" w:lineRule="auto"/>
              <w:jc w:val="left"/>
              <w:rPr>
                <w:rFonts w:ascii="Calibri" w:hAnsi="Calibri" w:cs="Calibri"/>
              </w:rPr>
            </w:pPr>
            <w:r w:rsidRPr="244F5894" w:rsidR="4FEDF7F2">
              <w:rPr>
                <w:rFonts w:ascii="Calibri" w:hAnsi="Calibri" w:cs="Calibri"/>
              </w:rPr>
              <w:t>Variance</w:t>
            </w:r>
          </w:p>
        </w:tc>
        <w:tc>
          <w:tcPr>
            <w:tcW w:w="3900" w:type="dxa"/>
            <w:tcMar>
              <w:top w:w="0" w:type="dxa"/>
              <w:left w:w="115" w:type="dxa"/>
              <w:bottom w:w="0" w:type="dxa"/>
              <w:right w:w="115" w:type="dxa"/>
            </w:tcMar>
          </w:tcPr>
          <w:p w:rsidR="4FEDF7F2" w:rsidP="244F5894" w:rsidRDefault="4FEDF7F2" w14:paraId="1BE70939" w14:textId="00660926">
            <w:pPr>
              <w:pStyle w:val="Normal"/>
              <w:spacing w:line="240" w:lineRule="auto"/>
              <w:jc w:val="left"/>
              <w:rPr>
                <w:rFonts w:ascii="Calibri" w:hAnsi="Calibri" w:cs="Calibri"/>
              </w:rPr>
            </w:pPr>
            <w:r w:rsidRPr="244F5894" w:rsidR="4FEDF7F2">
              <w:rPr>
                <w:rFonts w:ascii="Calibri" w:hAnsi="Calibri" w:cs="Calibri"/>
              </w:rPr>
              <w:t>147.8</w:t>
            </w:r>
          </w:p>
        </w:tc>
      </w:tr>
      <w:tr w:rsidR="244F5894" w:rsidTr="244F5894" w14:paraId="12424AC2">
        <w:trPr>
          <w:tblHeader/>
          <w:trHeight w:val="300"/>
        </w:trPr>
        <w:tc>
          <w:tcPr>
            <w:tcW w:w="4335" w:type="dxa"/>
            <w:tcMar>
              <w:top w:w="0" w:type="dxa"/>
              <w:left w:w="115" w:type="dxa"/>
              <w:bottom w:w="0" w:type="dxa"/>
              <w:right w:w="115" w:type="dxa"/>
            </w:tcMar>
          </w:tcPr>
          <w:p w:rsidR="4FEDF7F2" w:rsidP="244F5894" w:rsidRDefault="4FEDF7F2" w14:paraId="2326C3E1" w14:textId="622B5C1B">
            <w:pPr>
              <w:pStyle w:val="Normal"/>
              <w:spacing w:line="240" w:lineRule="auto"/>
              <w:jc w:val="left"/>
              <w:rPr>
                <w:rFonts w:ascii="Calibri" w:hAnsi="Calibri" w:cs="Calibri"/>
              </w:rPr>
            </w:pPr>
            <w:r w:rsidRPr="244F5894" w:rsidR="4FEDF7F2">
              <w:rPr>
                <w:rFonts w:ascii="Calibri" w:hAnsi="Calibri" w:cs="Calibri"/>
              </w:rPr>
              <w:t>Standard Deviation</w:t>
            </w:r>
          </w:p>
        </w:tc>
        <w:tc>
          <w:tcPr>
            <w:tcW w:w="3900" w:type="dxa"/>
            <w:tcMar>
              <w:top w:w="0" w:type="dxa"/>
              <w:left w:w="115" w:type="dxa"/>
              <w:bottom w:w="0" w:type="dxa"/>
              <w:right w:w="115" w:type="dxa"/>
            </w:tcMar>
          </w:tcPr>
          <w:p w:rsidR="4FEDF7F2" w:rsidP="244F5894" w:rsidRDefault="4FEDF7F2" w14:paraId="6054226C" w14:textId="7ACBF001">
            <w:pPr>
              <w:pStyle w:val="Normal"/>
              <w:spacing w:line="240" w:lineRule="auto"/>
              <w:jc w:val="left"/>
              <w:rPr>
                <w:rFonts w:ascii="Calibri" w:hAnsi="Calibri" w:cs="Calibri"/>
              </w:rPr>
            </w:pPr>
            <w:r w:rsidRPr="244F5894" w:rsidR="4FEDF7F2">
              <w:rPr>
                <w:rFonts w:ascii="Calibri" w:hAnsi="Calibri" w:cs="Calibri"/>
              </w:rPr>
              <w:t>12.16</w:t>
            </w:r>
          </w:p>
        </w:tc>
      </w:tr>
    </w:tbl>
    <w:p w:rsidRPr="005A34D2" w:rsidR="00DB716F" w:rsidP="244F5894" w:rsidRDefault="00DB716F" w14:paraId="168BF20A" w14:textId="77777777">
      <w:pPr>
        <w:suppressAutoHyphens/>
        <w:spacing w:line="240" w:lineRule="auto"/>
        <w:ind w:left="720"/>
        <w:contextualSpacing/>
        <w:rPr>
          <w:rFonts w:ascii="Calibri" w:hAnsi="Calibri" w:cs="Calibri"/>
          <w:i w:val="1"/>
          <w:iCs w:val="1"/>
        </w:rPr>
      </w:pPr>
    </w:p>
    <w:p w:rsidR="4FEDF7F2" w:rsidP="244F5894" w:rsidRDefault="4FEDF7F2" w14:paraId="25960F9B" w14:textId="408D536C">
      <w:pPr>
        <w:pStyle w:val="Normal"/>
        <w:spacing w:line="240" w:lineRule="auto"/>
        <w:ind w:left="0" w:firstLine="720"/>
        <w:contextualSpacing/>
        <w:rPr>
          <w:rFonts w:ascii="Calibri" w:hAnsi="Calibri" w:cs="Calibri"/>
          <w:i w:val="0"/>
          <w:iCs w:val="0"/>
        </w:rPr>
      </w:pPr>
      <w:r w:rsidRPr="244F5894" w:rsidR="4FEDF7F2">
        <w:rPr>
          <w:rFonts w:ascii="Calibri" w:hAnsi="Calibri" w:cs="Calibri"/>
          <w:i w:val="0"/>
          <w:iCs w:val="0"/>
        </w:rPr>
        <w:t>Measures of central tendency and variability are used to describe where a certain metric</w:t>
      </w:r>
      <w:r w:rsidRPr="244F5894" w:rsidR="6CD4CBBD">
        <w:rPr>
          <w:rFonts w:ascii="Calibri" w:hAnsi="Calibri" w:cs="Calibri"/>
          <w:i w:val="0"/>
          <w:iCs w:val="0"/>
        </w:rPr>
        <w:t xml:space="preserve"> </w:t>
      </w:r>
      <w:r w:rsidRPr="244F5894" w:rsidR="7F7870FC">
        <w:rPr>
          <w:rFonts w:ascii="Calibri" w:hAnsi="Calibri" w:cs="Calibri"/>
          <w:i w:val="0"/>
          <w:iCs w:val="0"/>
        </w:rPr>
        <w:t>is expected to fall, and how likely it is for that metric to vary from that central point. The mean of 106.2 points means that the average game played by the Nuggets at a home game is 106.2 points.</w:t>
      </w:r>
      <w:r w:rsidRPr="244F5894" w:rsidR="17093263">
        <w:rPr>
          <w:rFonts w:ascii="Calibri" w:hAnsi="Calibri" w:cs="Calibri"/>
          <w:i w:val="0"/>
          <w:iCs w:val="0"/>
        </w:rPr>
        <w:t xml:space="preserve"> The median of 106.0 represents that the middle game in a list of all games ordered by points is 106.0. </w:t>
      </w:r>
      <w:r w:rsidRPr="244F5894" w:rsidR="02A49FA2">
        <w:rPr>
          <w:rFonts w:ascii="Calibri" w:hAnsi="Calibri" w:cs="Calibri"/>
          <w:i w:val="0"/>
          <w:iCs w:val="0"/>
        </w:rPr>
        <w:t>The mean being higher than the median shows that there are more games above 106.0 than below. The variance of 147.8 is a measure of how likely it is for the total points to stray from the mean</w:t>
      </w:r>
      <w:r w:rsidRPr="244F5894" w:rsidR="267E5BAE">
        <w:rPr>
          <w:rFonts w:ascii="Calibri" w:hAnsi="Calibri" w:cs="Calibri"/>
          <w:i w:val="0"/>
          <w:iCs w:val="0"/>
        </w:rPr>
        <w:t>. This is more clearly demonstrated by the standard deviation of 12.6 points. This means that 1 unit of standard deviation on the distribution of points is 12.6. Therefore</w:t>
      </w:r>
      <w:r w:rsidRPr="244F5894" w:rsidR="18805F51">
        <w:rPr>
          <w:rFonts w:ascii="Calibri" w:hAnsi="Calibri" w:cs="Calibri"/>
          <w:i w:val="0"/>
          <w:iCs w:val="0"/>
        </w:rPr>
        <w:t xml:space="preserve"> about 34% of the data falls 12.6 points above the mean. This also indicates that points 25.2 points above or below the mean are considered outliers (2 standard deviations above or below the mean).</w:t>
      </w:r>
      <w:r w:rsidRPr="244F5894" w:rsidR="0F639350">
        <w:rPr>
          <w:rFonts w:ascii="Calibri" w:hAnsi="Calibri" w:cs="Calibri"/>
          <w:i w:val="0"/>
          <w:iCs w:val="0"/>
        </w:rPr>
        <w:t xml:space="preserve"> </w:t>
      </w:r>
      <w:r w:rsidRPr="244F5894" w:rsidR="52F7E1F7">
        <w:rPr>
          <w:rFonts w:ascii="Calibri" w:hAnsi="Calibri" w:cs="Calibri"/>
          <w:i w:val="0"/>
          <w:iCs w:val="0"/>
        </w:rPr>
        <w:t xml:space="preserve">The distribution is bell shaped, with a mean and median that are almost identical. Either value is a fair measure of central tendency to base statistics </w:t>
      </w:r>
      <w:r w:rsidRPr="244F5894" w:rsidR="19B71F7E">
        <w:rPr>
          <w:rFonts w:ascii="Calibri" w:hAnsi="Calibri" w:cs="Calibri"/>
          <w:i w:val="0"/>
          <w:iCs w:val="0"/>
        </w:rPr>
        <w:t>upon.</w:t>
      </w:r>
    </w:p>
    <w:p w:rsidRPr="005A34D2" w:rsidR="00DB716F" w:rsidP="005A34D2" w:rsidRDefault="00DB716F" w14:paraId="1AF90C17" w14:textId="77777777">
      <w:pPr>
        <w:suppressAutoHyphens/>
        <w:spacing w:line="240" w:lineRule="auto"/>
        <w:contextualSpacing/>
        <w:rPr>
          <w:rFonts w:ascii="Calibri" w:hAnsi="Calibri" w:cs="Calibri"/>
          <w:i/>
        </w:rPr>
      </w:pPr>
    </w:p>
    <w:p w:rsidRPr="005A34D2" w:rsidR="00DB716F" w:rsidP="244F5894" w:rsidRDefault="00314B53" w14:paraId="1F7F5846" w14:textId="3388D25C">
      <w:pPr>
        <w:pStyle w:val="Heading2"/>
        <w:rPr/>
      </w:pPr>
      <w:r w:rsidR="00314B53">
        <w:rPr/>
        <w:t xml:space="preserve">Descriptive Statistics: </w:t>
      </w:r>
      <w:r w:rsidR="009C2363">
        <w:rPr/>
        <w:t>Points Scored By Your Team in Away Games</w:t>
      </w:r>
      <w:r>
        <w:br/>
      </w:r>
    </w:p>
    <w:p w:rsidR="00DB716F" w:rsidP="005A34D2" w:rsidRDefault="00314B53" w14:paraId="736A43CD" w14:textId="77777777">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Pr="005A34D2" w:rsidR="009C2363">
        <w:rPr>
          <w:rFonts w:ascii="Calibri" w:hAnsi="Calibri" w:cs="Calibri"/>
        </w:rPr>
        <w:t xml:space="preserve">Descriptive Statistics for </w:t>
      </w:r>
      <w:r w:rsidR="009C2363">
        <w:rPr>
          <w:rFonts w:ascii="Calibri" w:hAnsi="Calibri" w:cs="Calibri"/>
        </w:rPr>
        <w:t>Points Scored by</w:t>
      </w:r>
      <w:r w:rsidRPr="005A34D2" w:rsidR="009C2363">
        <w:rPr>
          <w:rFonts w:ascii="Calibri" w:hAnsi="Calibri" w:cs="Calibri"/>
        </w:rPr>
        <w:t xml:space="preserve"> Your Team</w:t>
      </w:r>
      <w:r w:rsidR="009C2363">
        <w:rPr>
          <w:rFonts w:ascii="Calibri" w:hAnsi="Calibri" w:cs="Calibri"/>
        </w:rPr>
        <w:t xml:space="preserve"> in Away Games</w:t>
      </w:r>
    </w:p>
    <w:p w:rsidRPr="005A34D2" w:rsidR="002D755F" w:rsidP="005A34D2" w:rsidRDefault="002D755F" w14:paraId="4EB80F86" w14:textId="77777777">
      <w:pPr>
        <w:suppressAutoHyphens/>
        <w:spacing w:line="240" w:lineRule="auto"/>
        <w:ind w:left="720"/>
        <w:contextualSpacing/>
        <w:jc w:val="center"/>
        <w:rPr>
          <w:rFonts w:ascii="Calibri" w:hAnsi="Calibri" w:cs="Calibri"/>
        </w:rPr>
      </w:pPr>
    </w:p>
    <w:tbl>
      <w:tblPr>
        <w:tblW w:w="8235" w:type="dxa"/>
        <w:tblInd w:w="86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Description w:val="Table"/>
      </w:tblPr>
      <w:tblGrid>
        <w:gridCol w:w="3705"/>
        <w:gridCol w:w="4530"/>
      </w:tblGrid>
      <w:tr w:rsidRPr="005A34D2" w:rsidR="005A34D2" w:rsidTr="244F5894" w14:paraId="1B497B77" w14:textId="77777777">
        <w:trPr>
          <w:tblHeader/>
        </w:trPr>
        <w:tc>
          <w:tcPr>
            <w:tcW w:w="3705" w:type="dxa"/>
            <w:tcMar>
              <w:top w:w="0" w:type="dxa"/>
              <w:left w:w="115" w:type="dxa"/>
              <w:bottom w:w="0" w:type="dxa"/>
              <w:right w:w="115" w:type="dxa"/>
            </w:tcMar>
          </w:tcPr>
          <w:p w:rsidRPr="005A34D2" w:rsidR="00DB716F" w:rsidP="244F5894" w:rsidRDefault="00314B53" w14:paraId="063871DB" w14:textId="580BDB59">
            <w:pPr>
              <w:suppressAutoHyphens/>
              <w:spacing w:line="240" w:lineRule="auto"/>
              <w:contextualSpacing/>
              <w:rPr>
                <w:rFonts w:ascii="Calibri" w:hAnsi="Calibri" w:cs="Calibri"/>
                <w:b w:val="1"/>
                <w:bCs w:val="1"/>
              </w:rPr>
            </w:pPr>
            <w:r w:rsidRPr="244F5894" w:rsidR="00314B53">
              <w:rPr>
                <w:rFonts w:ascii="Calibri" w:hAnsi="Calibri" w:cs="Calibri"/>
                <w:b w:val="1"/>
                <w:bCs w:val="1"/>
              </w:rPr>
              <w:t>Statistic</w:t>
            </w:r>
          </w:p>
        </w:tc>
        <w:tc>
          <w:tcPr>
            <w:tcW w:w="4530" w:type="dxa"/>
            <w:tcMar>
              <w:top w:w="0" w:type="dxa"/>
              <w:left w:w="115" w:type="dxa"/>
              <w:bottom w:w="0" w:type="dxa"/>
              <w:right w:w="115" w:type="dxa"/>
            </w:tcMar>
          </w:tcPr>
          <w:p w:rsidRPr="005A34D2" w:rsidR="00DB716F" w:rsidP="005A34D2" w:rsidRDefault="00314B53" w14:paraId="3E74A0CC" w14:textId="77777777">
            <w:pPr>
              <w:suppressAutoHyphens/>
              <w:spacing w:line="240" w:lineRule="auto"/>
              <w:contextualSpacing/>
              <w:rPr>
                <w:rFonts w:ascii="Calibri" w:hAnsi="Calibri" w:cs="Calibri"/>
                <w:b/>
              </w:rPr>
            </w:pPr>
            <w:r w:rsidRPr="005A34D2">
              <w:rPr>
                <w:rFonts w:ascii="Calibri" w:hAnsi="Calibri" w:cs="Calibri"/>
                <w:b/>
              </w:rPr>
              <w:t>Value</w:t>
            </w:r>
          </w:p>
        </w:tc>
      </w:tr>
      <w:tr w:rsidRPr="005A34D2" w:rsidR="009B6796" w:rsidTr="244F5894" w14:paraId="0C581FDB" w14:textId="77777777">
        <w:trPr>
          <w:tblHeader/>
        </w:trPr>
        <w:tc>
          <w:tcPr>
            <w:tcW w:w="3705" w:type="dxa"/>
            <w:tcMar>
              <w:top w:w="0" w:type="dxa"/>
              <w:left w:w="115" w:type="dxa"/>
              <w:bottom w:w="0" w:type="dxa"/>
              <w:right w:w="115" w:type="dxa"/>
            </w:tcMar>
          </w:tcPr>
          <w:p w:rsidRPr="005A34D2" w:rsidR="00DB716F" w:rsidP="244F5894" w:rsidRDefault="00314B53" w14:paraId="6D125766" w14:textId="11450EE8">
            <w:pPr>
              <w:pStyle w:val="Normal"/>
              <w:bidi w:val="0"/>
              <w:spacing w:before="0" w:beforeAutospacing="off" w:after="0" w:afterAutospacing="off" w:line="240" w:lineRule="auto"/>
              <w:ind w:left="0" w:right="0"/>
              <w:contextualSpacing/>
              <w:jc w:val="left"/>
            </w:pPr>
            <w:r w:rsidRPr="244F5894" w:rsidR="618D04FD">
              <w:rPr>
                <w:rFonts w:ascii="Calibri" w:hAnsi="Calibri" w:cs="Calibri"/>
              </w:rPr>
              <w:t>Mean</w:t>
            </w:r>
          </w:p>
        </w:tc>
        <w:tc>
          <w:tcPr>
            <w:tcW w:w="4530" w:type="dxa"/>
            <w:tcMar>
              <w:top w:w="0" w:type="dxa"/>
              <w:left w:w="115" w:type="dxa"/>
              <w:bottom w:w="0" w:type="dxa"/>
              <w:right w:w="115" w:type="dxa"/>
            </w:tcMar>
          </w:tcPr>
          <w:p w:rsidRPr="005A34D2" w:rsidR="00DB716F" w:rsidP="244F5894" w:rsidRDefault="00314B53" w14:paraId="3BA6E2D0" w14:textId="10A2E120">
            <w:pPr>
              <w:pStyle w:val="Normal"/>
              <w:bidi w:val="0"/>
              <w:spacing w:before="0" w:beforeAutospacing="off" w:after="0" w:afterAutospacing="off" w:line="240" w:lineRule="auto"/>
              <w:ind w:left="0" w:right="0"/>
              <w:contextualSpacing/>
              <w:jc w:val="left"/>
            </w:pPr>
            <w:r w:rsidRPr="244F5894" w:rsidR="618D04FD">
              <w:rPr>
                <w:rFonts w:ascii="Calibri" w:hAnsi="Calibri" w:cs="Calibri"/>
              </w:rPr>
              <w:t>101.8</w:t>
            </w:r>
          </w:p>
        </w:tc>
      </w:tr>
      <w:tr w:rsidR="244F5894" w:rsidTr="244F5894" w14:paraId="71673282">
        <w:trPr>
          <w:tblHeader/>
          <w:trHeight w:val="300"/>
        </w:trPr>
        <w:tc>
          <w:tcPr>
            <w:tcW w:w="3705" w:type="dxa"/>
            <w:tcMar>
              <w:top w:w="0" w:type="dxa"/>
              <w:left w:w="115" w:type="dxa"/>
              <w:bottom w:w="0" w:type="dxa"/>
              <w:right w:w="115" w:type="dxa"/>
            </w:tcMar>
          </w:tcPr>
          <w:p w:rsidR="618D04FD" w:rsidP="244F5894" w:rsidRDefault="618D04FD" w14:paraId="3AAC0233" w14:textId="502CB17A">
            <w:pPr>
              <w:pStyle w:val="Normal"/>
              <w:spacing w:line="240" w:lineRule="auto"/>
              <w:jc w:val="left"/>
              <w:rPr>
                <w:rFonts w:ascii="Calibri" w:hAnsi="Calibri" w:cs="Calibri"/>
              </w:rPr>
            </w:pPr>
            <w:r w:rsidRPr="244F5894" w:rsidR="618D04FD">
              <w:rPr>
                <w:rFonts w:ascii="Calibri" w:hAnsi="Calibri" w:cs="Calibri"/>
              </w:rPr>
              <w:t>Median</w:t>
            </w:r>
          </w:p>
        </w:tc>
        <w:tc>
          <w:tcPr>
            <w:tcW w:w="4530" w:type="dxa"/>
            <w:tcMar>
              <w:top w:w="0" w:type="dxa"/>
              <w:left w:w="115" w:type="dxa"/>
              <w:bottom w:w="0" w:type="dxa"/>
              <w:right w:w="115" w:type="dxa"/>
            </w:tcMar>
          </w:tcPr>
          <w:p w:rsidR="618D04FD" w:rsidP="244F5894" w:rsidRDefault="618D04FD" w14:paraId="3B53DF94" w14:textId="17BD07EC">
            <w:pPr>
              <w:pStyle w:val="Normal"/>
              <w:spacing w:line="240" w:lineRule="auto"/>
              <w:jc w:val="left"/>
              <w:rPr>
                <w:rFonts w:ascii="Calibri" w:hAnsi="Calibri" w:cs="Calibri"/>
              </w:rPr>
            </w:pPr>
            <w:r w:rsidRPr="244F5894" w:rsidR="618D04FD">
              <w:rPr>
                <w:rFonts w:ascii="Calibri" w:hAnsi="Calibri" w:cs="Calibri"/>
              </w:rPr>
              <w:t>103.0</w:t>
            </w:r>
          </w:p>
        </w:tc>
      </w:tr>
      <w:tr w:rsidR="244F5894" w:rsidTr="244F5894" w14:paraId="5434C466">
        <w:trPr>
          <w:tblHeader/>
          <w:trHeight w:val="300"/>
        </w:trPr>
        <w:tc>
          <w:tcPr>
            <w:tcW w:w="3705" w:type="dxa"/>
            <w:tcMar>
              <w:top w:w="0" w:type="dxa"/>
              <w:left w:w="115" w:type="dxa"/>
              <w:bottom w:w="0" w:type="dxa"/>
              <w:right w:w="115" w:type="dxa"/>
            </w:tcMar>
          </w:tcPr>
          <w:p w:rsidR="618D04FD" w:rsidP="244F5894" w:rsidRDefault="618D04FD" w14:paraId="25EB79F9" w14:textId="5E863B3D">
            <w:pPr>
              <w:pStyle w:val="Normal"/>
              <w:bidi w:val="0"/>
              <w:spacing w:before="0" w:beforeAutospacing="off" w:after="0" w:afterAutospacing="off" w:line="240" w:lineRule="auto"/>
              <w:ind w:left="0" w:right="0"/>
              <w:jc w:val="left"/>
            </w:pPr>
            <w:r w:rsidRPr="244F5894" w:rsidR="618D04FD">
              <w:rPr>
                <w:rFonts w:ascii="Calibri" w:hAnsi="Calibri" w:cs="Calibri"/>
              </w:rPr>
              <w:t>Variance</w:t>
            </w:r>
          </w:p>
        </w:tc>
        <w:tc>
          <w:tcPr>
            <w:tcW w:w="4530" w:type="dxa"/>
            <w:tcMar>
              <w:top w:w="0" w:type="dxa"/>
              <w:left w:w="115" w:type="dxa"/>
              <w:bottom w:w="0" w:type="dxa"/>
              <w:right w:w="115" w:type="dxa"/>
            </w:tcMar>
          </w:tcPr>
          <w:p w:rsidR="618D04FD" w:rsidP="244F5894" w:rsidRDefault="618D04FD" w14:paraId="65D0245C" w14:textId="3C818515">
            <w:pPr>
              <w:pStyle w:val="Normal"/>
              <w:spacing w:line="240" w:lineRule="auto"/>
              <w:jc w:val="left"/>
              <w:rPr>
                <w:rFonts w:ascii="Calibri" w:hAnsi="Calibri" w:cs="Calibri"/>
              </w:rPr>
            </w:pPr>
            <w:r w:rsidRPr="244F5894" w:rsidR="618D04FD">
              <w:rPr>
                <w:rFonts w:ascii="Calibri" w:hAnsi="Calibri" w:cs="Calibri"/>
              </w:rPr>
              <w:t>148.33</w:t>
            </w:r>
          </w:p>
        </w:tc>
      </w:tr>
      <w:tr w:rsidR="244F5894" w:rsidTr="244F5894" w14:paraId="1E3B2471">
        <w:trPr>
          <w:tblHeader/>
          <w:trHeight w:val="300"/>
        </w:trPr>
        <w:tc>
          <w:tcPr>
            <w:tcW w:w="3705" w:type="dxa"/>
            <w:tcMar>
              <w:top w:w="0" w:type="dxa"/>
              <w:left w:w="115" w:type="dxa"/>
              <w:bottom w:w="0" w:type="dxa"/>
              <w:right w:w="115" w:type="dxa"/>
            </w:tcMar>
          </w:tcPr>
          <w:p w:rsidR="618D04FD" w:rsidP="244F5894" w:rsidRDefault="618D04FD" w14:paraId="19C6BF72" w14:textId="48569524">
            <w:pPr>
              <w:pStyle w:val="Normal"/>
              <w:spacing w:line="240" w:lineRule="auto"/>
              <w:jc w:val="left"/>
              <w:rPr>
                <w:rFonts w:ascii="Calibri" w:hAnsi="Calibri" w:cs="Calibri"/>
              </w:rPr>
            </w:pPr>
            <w:r w:rsidRPr="244F5894" w:rsidR="618D04FD">
              <w:rPr>
                <w:rFonts w:ascii="Calibri" w:hAnsi="Calibri" w:cs="Calibri"/>
              </w:rPr>
              <w:t>Standard Deviation</w:t>
            </w:r>
          </w:p>
        </w:tc>
        <w:tc>
          <w:tcPr>
            <w:tcW w:w="4530" w:type="dxa"/>
            <w:tcMar>
              <w:top w:w="0" w:type="dxa"/>
              <w:left w:w="115" w:type="dxa"/>
              <w:bottom w:w="0" w:type="dxa"/>
              <w:right w:w="115" w:type="dxa"/>
            </w:tcMar>
          </w:tcPr>
          <w:p w:rsidR="618D04FD" w:rsidP="244F5894" w:rsidRDefault="618D04FD" w14:paraId="7C66141F" w14:textId="58D0DA30">
            <w:pPr>
              <w:pStyle w:val="Normal"/>
              <w:spacing w:line="240" w:lineRule="auto"/>
              <w:jc w:val="left"/>
              <w:rPr>
                <w:rFonts w:ascii="Calibri" w:hAnsi="Calibri" w:cs="Calibri"/>
              </w:rPr>
            </w:pPr>
            <w:r w:rsidRPr="244F5894" w:rsidR="618D04FD">
              <w:rPr>
                <w:rFonts w:ascii="Calibri" w:hAnsi="Calibri" w:cs="Calibri"/>
              </w:rPr>
              <w:t>12.18</w:t>
            </w:r>
          </w:p>
        </w:tc>
      </w:tr>
    </w:tbl>
    <w:p w:rsidRPr="005A34D2" w:rsidR="00DB716F" w:rsidP="005A34D2" w:rsidRDefault="00DB716F" w14:paraId="2BCAC351" w14:textId="77777777">
      <w:pPr>
        <w:suppressAutoHyphens/>
        <w:spacing w:line="240" w:lineRule="auto"/>
        <w:ind w:left="720"/>
        <w:contextualSpacing/>
        <w:rPr>
          <w:rFonts w:ascii="Calibri" w:hAnsi="Calibri" w:cs="Calibri"/>
          <w:i/>
        </w:rPr>
      </w:pPr>
    </w:p>
    <w:p w:rsidR="733B6221" w:rsidP="244F5894" w:rsidRDefault="733B6221" w14:paraId="67D15A8C" w14:textId="49476EE7">
      <w:pPr>
        <w:pStyle w:val="ListBullet"/>
        <w:numPr>
          <w:numId w:val="0"/>
        </w:numPr>
        <w:ind w:left="0"/>
        <w:rPr>
          <w:i w:val="0"/>
          <w:iCs w:val="0"/>
        </w:rPr>
      </w:pPr>
      <w:r w:rsidRPr="244F5894" w:rsidR="733B6221">
        <w:rPr>
          <w:i w:val="0"/>
          <w:iCs w:val="0"/>
        </w:rPr>
        <w:t>The mean of 101.8 points shows that the average game played by the Nuggets at an away game is 101.8 points. The median of 103.0 points shows that the middle game in an ordered list of points</w:t>
      </w:r>
      <w:r w:rsidRPr="244F5894" w:rsidR="6B1FCA06">
        <w:rPr>
          <w:i w:val="0"/>
          <w:iCs w:val="0"/>
        </w:rPr>
        <w:t xml:space="preserve"> is 103.0 points. The median being higher than the mean shows that there are more games below the median points than above. The variance of 148.33 shows the spread of the data in </w:t>
      </w:r>
      <w:r w:rsidRPr="244F5894" w:rsidR="0EF98613">
        <w:rPr>
          <w:i w:val="0"/>
          <w:iCs w:val="0"/>
        </w:rPr>
        <w:t>the set from the measures of central tendency. The standard deviation of 12.18 shows that about 34% of the data is 12.18 points above the mean. This also indicates that outlying data is considered anything farth</w:t>
      </w:r>
      <w:r w:rsidRPr="244F5894" w:rsidR="497108B9">
        <w:rPr>
          <w:i w:val="0"/>
          <w:iCs w:val="0"/>
        </w:rPr>
        <w:t xml:space="preserve">er than 24.36 points from the mean (2 standard deviations away). </w:t>
      </w:r>
      <w:r w:rsidRPr="244F5894" w:rsidR="5D1C2A71">
        <w:rPr>
          <w:i w:val="0"/>
          <w:iCs w:val="0"/>
        </w:rPr>
        <w:t xml:space="preserve">The distribution of points is slightly left leaning, meaning that more of the games fall </w:t>
      </w:r>
      <w:r w:rsidRPr="244F5894" w:rsidR="4407CBC6">
        <w:rPr>
          <w:i w:val="0"/>
          <w:iCs w:val="0"/>
        </w:rPr>
        <w:t>below the median.</w:t>
      </w:r>
    </w:p>
    <w:p w:rsidR="4407CBC6" w:rsidP="244F5894" w:rsidRDefault="4407CBC6" w14:paraId="3C648727" w14:textId="3B6E6D15">
      <w:pPr>
        <w:pStyle w:val="ListBullet"/>
        <w:numPr>
          <w:numId w:val="0"/>
        </w:numPr>
        <w:ind w:left="0" w:firstLine="720"/>
        <w:rPr>
          <w:i w:val="0"/>
          <w:iCs w:val="0"/>
        </w:rPr>
      </w:pPr>
      <w:r w:rsidRPr="244F5894" w:rsidR="4407CBC6">
        <w:rPr>
          <w:i w:val="0"/>
          <w:iCs w:val="0"/>
        </w:rPr>
        <w:t xml:space="preserve">After analyzing the data, we can see there is a tendency for the Nuggets to score less at away games than home games. </w:t>
      </w:r>
      <w:r w:rsidRPr="244F5894" w:rsidR="64B2E43C">
        <w:rPr>
          <w:i w:val="0"/>
          <w:iCs w:val="0"/>
        </w:rPr>
        <w:t xml:space="preserve">The mean of games at home are 106.2 versus 101.8 when away. </w:t>
      </w:r>
      <w:r w:rsidRPr="244F5894" w:rsidR="4407CBC6">
        <w:rPr>
          <w:i w:val="0"/>
          <w:iCs w:val="0"/>
        </w:rPr>
        <w:t>The games played away are also more consistent in the</w:t>
      </w:r>
      <w:r w:rsidRPr="244F5894" w:rsidR="47AE5DC5">
        <w:rPr>
          <w:i w:val="0"/>
          <w:iCs w:val="0"/>
        </w:rPr>
        <w:t>ir</w:t>
      </w:r>
      <w:r w:rsidRPr="244F5894" w:rsidR="4407CBC6">
        <w:rPr>
          <w:i w:val="0"/>
          <w:iCs w:val="0"/>
        </w:rPr>
        <w:t xml:space="preserve"> slightly lower scores</w:t>
      </w:r>
      <w:r w:rsidRPr="244F5894" w:rsidR="2D5A8754">
        <w:rPr>
          <w:i w:val="0"/>
          <w:iCs w:val="0"/>
        </w:rPr>
        <w:t xml:space="preserve"> as shown by the lower standard deviation. </w:t>
      </w:r>
      <w:r w:rsidRPr="244F5894" w:rsidR="7C43A5A2">
        <w:rPr>
          <w:i w:val="0"/>
          <w:iCs w:val="0"/>
        </w:rPr>
        <w:t>From this data we can conclude that the Nuggets are likely to score a few points higher when playing at home rather than away.</w:t>
      </w:r>
    </w:p>
    <w:p w:rsidRPr="005A34D2" w:rsidR="00DB716F" w:rsidP="002D755F" w:rsidRDefault="00DB716F" w14:paraId="349E9CD2" w14:textId="77777777">
      <w:pPr>
        <w:suppressAutoHyphens/>
        <w:spacing w:line="240" w:lineRule="auto"/>
        <w:contextualSpacing/>
        <w:rPr>
          <w:rFonts w:ascii="Calibri" w:hAnsi="Calibri" w:cs="Calibri"/>
          <w:i/>
        </w:rPr>
      </w:pPr>
    </w:p>
    <w:p w:rsidRPr="005A34D2" w:rsidR="002D755F" w:rsidP="244F5894" w:rsidRDefault="002D755F" w14:paraId="5D651124" w14:textId="6419EA58">
      <w:pPr>
        <w:pStyle w:val="Heading2"/>
        <w:suppressAutoHyphens/>
        <w:spacing w:line="240" w:lineRule="auto"/>
        <w:ind/>
        <w:contextualSpacing/>
        <w:rPr/>
      </w:pPr>
      <w:r w:rsidR="00314B53">
        <w:rPr/>
        <w:t xml:space="preserve">Confidence Intervals for the Average Relative Skill of All Teams in </w:t>
      </w:r>
      <w:r w:rsidR="00287E22">
        <w:rPr/>
        <w:t>Your Team’s Years</w:t>
      </w:r>
    </w:p>
    <w:p w:rsidRPr="005A34D2" w:rsidR="00DB716F" w:rsidP="005A34D2" w:rsidRDefault="00DB716F" w14:paraId="0C06B34F" w14:textId="77777777">
      <w:pPr>
        <w:suppressAutoHyphens/>
        <w:spacing w:line="240" w:lineRule="auto"/>
        <w:ind w:left="720"/>
        <w:contextualSpacing/>
        <w:rPr>
          <w:rFonts w:ascii="Calibri" w:hAnsi="Calibri" w:cs="Calibri"/>
        </w:rPr>
      </w:pPr>
    </w:p>
    <w:p w:rsidR="00DB716F" w:rsidP="005A34D2" w:rsidRDefault="00314B53" w14:paraId="7819864F" w14:textId="77777777">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rsidRPr="005A34D2" w:rsidR="002D755F" w:rsidP="005A34D2" w:rsidRDefault="002D755F" w14:paraId="06426FC7" w14:textId="77777777">
      <w:pPr>
        <w:suppressAutoHyphens/>
        <w:spacing w:line="240" w:lineRule="auto"/>
        <w:contextualSpacing/>
        <w:jc w:val="center"/>
        <w:rPr>
          <w:rFonts w:ascii="Calibri" w:hAnsi="Calibri" w:cs="Calibri"/>
        </w:rPr>
      </w:pPr>
    </w:p>
    <w:tbl>
      <w:tblPr>
        <w:tblStyle w:val="a2"/>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244F5894" w14:paraId="17E95CD3" w14:textId="77777777">
        <w:trPr>
          <w:tblHeader/>
        </w:trPr>
        <w:tc>
          <w:tcPr>
            <w:tcW w:w="2640" w:type="dxa"/>
            <w:tcMar>
              <w:top w:w="0" w:type="dxa"/>
              <w:left w:w="115" w:type="dxa"/>
              <w:bottom w:w="0" w:type="dxa"/>
              <w:right w:w="115" w:type="dxa"/>
            </w:tcMar>
          </w:tcPr>
          <w:p w:rsidRPr="005A34D2" w:rsidR="00DB716F" w:rsidP="005A34D2" w:rsidRDefault="00314B53" w14:paraId="3DC6C823" w14:textId="77777777">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Pr="005A34D2" w:rsidR="00DB716F" w:rsidP="005A34D2" w:rsidRDefault="00314B53" w14:paraId="0DF8ABF4" w14:textId="77777777">
            <w:pPr>
              <w:suppressAutoHyphens/>
              <w:spacing w:line="240" w:lineRule="auto"/>
              <w:contextualSpacing/>
              <w:rPr>
                <w:rFonts w:ascii="Calibri" w:hAnsi="Calibri" w:cs="Calibri"/>
                <w:b/>
              </w:rPr>
            </w:pPr>
            <w:r w:rsidRPr="005A34D2">
              <w:rPr>
                <w:rFonts w:ascii="Calibri" w:hAnsi="Calibri" w:cs="Calibri"/>
                <w:b/>
              </w:rPr>
              <w:t>Confidence Interval</w:t>
            </w:r>
          </w:p>
        </w:tc>
      </w:tr>
      <w:tr w:rsidRPr="005A34D2" w:rsidR="009B6796" w:rsidTr="244F5894" w14:paraId="22BB8111" w14:textId="77777777">
        <w:trPr>
          <w:tblHeader/>
        </w:trPr>
        <w:tc>
          <w:tcPr>
            <w:tcW w:w="2640" w:type="dxa"/>
            <w:tcMar>
              <w:top w:w="0" w:type="dxa"/>
              <w:left w:w="115" w:type="dxa"/>
              <w:bottom w:w="0" w:type="dxa"/>
              <w:right w:w="115" w:type="dxa"/>
            </w:tcMar>
          </w:tcPr>
          <w:p w:rsidRPr="005A34D2" w:rsidR="00DB716F" w:rsidP="244F5894" w:rsidRDefault="00314B53" w14:paraId="6E9AD26E" w14:textId="47610A9B">
            <w:pPr>
              <w:pStyle w:val="Normal"/>
              <w:bidi w:val="0"/>
              <w:spacing w:before="0" w:beforeAutospacing="off" w:after="0" w:afterAutospacing="off" w:line="240" w:lineRule="auto"/>
              <w:ind w:left="0" w:right="0"/>
              <w:contextualSpacing/>
              <w:jc w:val="left"/>
            </w:pPr>
            <w:r w:rsidRPr="244F5894" w:rsidR="1FE2D5A7">
              <w:rPr>
                <w:rFonts w:ascii="Calibri" w:hAnsi="Calibri" w:cs="Calibri"/>
              </w:rPr>
              <w:t>95%</w:t>
            </w:r>
          </w:p>
        </w:tc>
        <w:tc>
          <w:tcPr>
            <w:tcW w:w="6000" w:type="dxa"/>
            <w:tcMar>
              <w:top w:w="0" w:type="dxa"/>
              <w:left w:w="115" w:type="dxa"/>
              <w:bottom w:w="0" w:type="dxa"/>
              <w:right w:w="115" w:type="dxa"/>
            </w:tcMar>
          </w:tcPr>
          <w:p w:rsidRPr="005A34D2" w:rsidR="00DB716F" w:rsidP="244F5894" w:rsidRDefault="00314B53" w14:paraId="27DB4A3B" w14:textId="6DA80C53">
            <w:pPr>
              <w:pStyle w:val="Normal"/>
              <w:bidi w:val="0"/>
              <w:spacing w:before="0" w:beforeAutospacing="off" w:after="0" w:afterAutospacing="off" w:line="240" w:lineRule="auto"/>
              <w:ind w:left="0" w:right="0"/>
              <w:contextualSpacing/>
              <w:jc w:val="left"/>
            </w:pPr>
            <w:r w:rsidRPr="244F5894" w:rsidR="1FE2D5A7">
              <w:rPr>
                <w:rFonts w:ascii="Calibri" w:hAnsi="Calibri" w:cs="Calibri"/>
              </w:rPr>
              <w:t>(1502.02, 1507.18)</w:t>
            </w:r>
          </w:p>
        </w:tc>
      </w:tr>
    </w:tbl>
    <w:p w:rsidRPr="005A34D2" w:rsidR="00DB716F" w:rsidP="005A34D2" w:rsidRDefault="00DB716F" w14:paraId="0E533588" w14:textId="77777777">
      <w:pPr>
        <w:suppressAutoHyphens/>
        <w:spacing w:line="240" w:lineRule="auto"/>
        <w:contextualSpacing/>
        <w:rPr>
          <w:rFonts w:ascii="Calibri" w:hAnsi="Calibri" w:cs="Calibri"/>
        </w:rPr>
      </w:pPr>
    </w:p>
    <w:p w:rsidR="1FE2D5A7" w:rsidP="244F5894" w:rsidRDefault="1FE2D5A7" w14:paraId="79D33578" w14:textId="48331D53">
      <w:pPr>
        <w:pStyle w:val="ListBullet"/>
        <w:numPr>
          <w:numId w:val="0"/>
        </w:numPr>
        <w:ind w:left="0"/>
        <w:rPr>
          <w:i w:val="0"/>
          <w:iCs w:val="0"/>
        </w:rPr>
      </w:pPr>
      <w:r w:rsidRPr="244F5894" w:rsidR="1FE2D5A7">
        <w:rPr>
          <w:i w:val="0"/>
          <w:iCs w:val="0"/>
        </w:rPr>
        <w:t xml:space="preserve">Confidence intervals are used in estimating the measures of central tendency by showing that, in this case, if a random </w:t>
      </w:r>
      <w:r w:rsidRPr="244F5894" w:rsidR="76187C3E">
        <w:rPr>
          <w:i w:val="0"/>
          <w:iCs w:val="0"/>
        </w:rPr>
        <w:t>team</w:t>
      </w:r>
      <w:r w:rsidRPr="244F5894" w:rsidR="1FE2D5A7">
        <w:rPr>
          <w:i w:val="0"/>
          <w:iCs w:val="0"/>
        </w:rPr>
        <w:t xml:space="preserve"> </w:t>
      </w:r>
      <w:r w:rsidRPr="244F5894" w:rsidR="1FE2D5A7">
        <w:rPr>
          <w:i w:val="0"/>
          <w:iCs w:val="0"/>
        </w:rPr>
        <w:t xml:space="preserve">was pulled from the dataset, there is a 95% chance that </w:t>
      </w:r>
      <w:r w:rsidRPr="244F5894" w:rsidR="64A29169">
        <w:rPr>
          <w:i w:val="0"/>
          <w:iCs w:val="0"/>
        </w:rPr>
        <w:t>the team’s elo</w:t>
      </w:r>
      <w:r w:rsidRPr="244F5894" w:rsidR="1FE2D5A7">
        <w:rPr>
          <w:i w:val="0"/>
          <w:iCs w:val="0"/>
        </w:rPr>
        <w:t xml:space="preserve"> would be betw</w:t>
      </w:r>
      <w:r w:rsidRPr="244F5894" w:rsidR="3773970D">
        <w:rPr>
          <w:i w:val="0"/>
          <w:iCs w:val="0"/>
        </w:rPr>
        <w:t xml:space="preserve">een 1502.02 and 1507.18. Confidence intervals are used because some populations are too large or impracticle to calculate the true values of central tendency. </w:t>
      </w:r>
    </w:p>
    <w:p w:rsidR="7A414AFE" w:rsidP="244F5894" w:rsidRDefault="7A414AFE" w14:paraId="32EB51C1" w14:textId="30C3AD07">
      <w:pPr>
        <w:pStyle w:val="ListBullet"/>
        <w:numPr>
          <w:numId w:val="0"/>
        </w:numPr>
        <w:ind w:left="0"/>
        <w:rPr>
          <w:i w:val="0"/>
          <w:iCs w:val="0"/>
        </w:rPr>
      </w:pPr>
      <w:r>
        <w:tab/>
      </w:r>
      <w:r w:rsidRPr="244F5894" w:rsidR="7E7CAB06">
        <w:rPr>
          <w:i w:val="0"/>
          <w:iCs w:val="0"/>
        </w:rPr>
        <w:t>If the chosen confidence level was higher, than the interval would be larger. This is because in order to fit more teams in the range, you must increase the range. If the confidence level was lower than the interval would be smaller</w:t>
      </w:r>
      <w:r w:rsidRPr="244F5894" w:rsidR="3D219038">
        <w:rPr>
          <w:i w:val="0"/>
          <w:iCs w:val="0"/>
        </w:rPr>
        <w:t xml:space="preserve">, closing in on the mean. </w:t>
      </w:r>
    </w:p>
    <w:p w:rsidR="7A414AFE" w:rsidP="244F5894" w:rsidRDefault="7A414AFE" w14:paraId="7757A113" w14:textId="3BBAAE81">
      <w:pPr>
        <w:pStyle w:val="ListBullet"/>
        <w:numPr>
          <w:numId w:val="0"/>
        </w:numPr>
        <w:ind w:left="0"/>
        <w:rPr>
          <w:i w:val="0"/>
          <w:iCs w:val="0"/>
        </w:rPr>
      </w:pPr>
      <w:r>
        <w:tab/>
      </w:r>
      <w:r w:rsidRPr="244F5894" w:rsidR="7A414AFE">
        <w:rPr>
          <w:i w:val="0"/>
          <w:iCs w:val="0"/>
        </w:rPr>
        <w:t>C</w:t>
      </w:r>
      <w:r w:rsidRPr="244F5894" w:rsidR="41BE9DAC">
        <w:rPr>
          <w:i w:val="0"/>
          <w:iCs w:val="0"/>
        </w:rPr>
        <w:t xml:space="preserve">hoice 2 (st.norm.cdf is the correct code for finding the liklihood that a team has a relative skill level lower than that of the Nuggets. </w:t>
      </w:r>
    </w:p>
    <w:p w:rsidRPr="005A34D2" w:rsidR="002D755F" w:rsidP="005A34D2" w:rsidRDefault="002D755F" w14:paraId="17731265" w14:textId="77777777">
      <w:pPr>
        <w:suppressAutoHyphens/>
        <w:spacing w:line="240" w:lineRule="auto"/>
        <w:contextualSpacing/>
        <w:rPr>
          <w:rFonts w:ascii="Calibri" w:hAnsi="Calibri" w:cs="Calibri"/>
          <w:i/>
        </w:rPr>
      </w:pPr>
    </w:p>
    <w:p w:rsidR="00DB716F" w:rsidP="002D755F" w:rsidRDefault="00314B53" w14:paraId="349569FC" w14:textId="77777777">
      <w:pPr>
        <w:pStyle w:val="Heading2"/>
        <w:rPr/>
      </w:pPr>
      <w:r w:rsidR="00314B53">
        <w:rPr/>
        <w:t>Confidence Intervals for the Average Relative Skill of All Teams in the Assigned Team’s Years</w:t>
      </w:r>
    </w:p>
    <w:p w:rsidRPr="005A34D2" w:rsidR="002D755F" w:rsidP="005A34D2" w:rsidRDefault="002D755F" w14:paraId="630FB259" w14:textId="77777777">
      <w:pPr>
        <w:suppressAutoHyphens/>
        <w:spacing w:line="240" w:lineRule="auto"/>
        <w:contextualSpacing/>
        <w:rPr>
          <w:rFonts w:ascii="Calibri" w:hAnsi="Calibri" w:cs="Calibri"/>
          <w:b/>
        </w:rPr>
      </w:pPr>
    </w:p>
    <w:p w:rsidR="00DB716F" w:rsidP="005A34D2" w:rsidRDefault="00314B53" w14:paraId="2B3DF65A" w14:textId="77777777">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rsidRPr="005A34D2" w:rsidR="002D755F" w:rsidP="005A34D2" w:rsidRDefault="002D755F" w14:paraId="0320B6DC" w14:textId="77777777">
      <w:pPr>
        <w:suppressAutoHyphens/>
        <w:spacing w:line="240" w:lineRule="auto"/>
        <w:contextualSpacing/>
        <w:jc w:val="center"/>
        <w:rPr>
          <w:rFonts w:ascii="Calibri" w:hAnsi="Calibri" w:cs="Calibri"/>
        </w:rPr>
      </w:pPr>
    </w:p>
    <w:tbl>
      <w:tblPr>
        <w:tblStyle w:val="a3"/>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244F5894" w14:paraId="12049791" w14:textId="77777777">
        <w:trPr>
          <w:tblHeader/>
        </w:trPr>
        <w:tc>
          <w:tcPr>
            <w:tcW w:w="2640" w:type="dxa"/>
            <w:tcMar>
              <w:top w:w="0" w:type="dxa"/>
              <w:left w:w="115" w:type="dxa"/>
              <w:bottom w:w="0" w:type="dxa"/>
              <w:right w:w="115" w:type="dxa"/>
            </w:tcMar>
          </w:tcPr>
          <w:p w:rsidRPr="005A34D2" w:rsidR="00DB716F" w:rsidP="005A34D2" w:rsidRDefault="00314B53" w14:paraId="1913D96F" w14:textId="77777777">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Pr="005A34D2" w:rsidR="00DB716F" w:rsidP="005A34D2" w:rsidRDefault="00314B53" w14:paraId="2989440E" w14:textId="77777777">
            <w:pPr>
              <w:suppressAutoHyphens/>
              <w:spacing w:line="240" w:lineRule="auto"/>
              <w:contextualSpacing/>
              <w:rPr>
                <w:rFonts w:ascii="Calibri" w:hAnsi="Calibri" w:cs="Calibri"/>
                <w:b/>
              </w:rPr>
            </w:pPr>
            <w:r w:rsidRPr="005A34D2">
              <w:rPr>
                <w:rFonts w:ascii="Calibri" w:hAnsi="Calibri" w:cs="Calibri"/>
                <w:b/>
              </w:rPr>
              <w:t>Confidence Interval</w:t>
            </w:r>
          </w:p>
        </w:tc>
      </w:tr>
      <w:tr w:rsidRPr="005A34D2" w:rsidR="009B6796" w:rsidTr="244F5894" w14:paraId="729D7A8A" w14:textId="77777777">
        <w:trPr>
          <w:tblHeader/>
        </w:trPr>
        <w:tc>
          <w:tcPr>
            <w:tcW w:w="2640" w:type="dxa"/>
            <w:tcMar>
              <w:top w:w="0" w:type="dxa"/>
              <w:left w:w="115" w:type="dxa"/>
              <w:bottom w:w="0" w:type="dxa"/>
              <w:right w:w="115" w:type="dxa"/>
            </w:tcMar>
          </w:tcPr>
          <w:p w:rsidRPr="005A34D2" w:rsidR="00DB716F" w:rsidP="005A34D2" w:rsidRDefault="00314B53" w14:paraId="55375E48" w14:textId="206A3D2A">
            <w:pPr>
              <w:suppressAutoHyphens/>
              <w:spacing w:line="240" w:lineRule="auto"/>
              <w:contextualSpacing/>
              <w:rPr>
                <w:rFonts w:ascii="Calibri" w:hAnsi="Calibri" w:cs="Calibri"/>
              </w:rPr>
            </w:pPr>
            <w:r w:rsidRPr="244F5894" w:rsidR="0049069B">
              <w:rPr>
                <w:rFonts w:ascii="Calibri" w:hAnsi="Calibri" w:cs="Calibri"/>
              </w:rPr>
              <w:t>95%</w:t>
            </w:r>
          </w:p>
        </w:tc>
        <w:tc>
          <w:tcPr>
            <w:tcW w:w="6000" w:type="dxa"/>
            <w:tcMar>
              <w:top w:w="0" w:type="dxa"/>
              <w:left w:w="115" w:type="dxa"/>
              <w:bottom w:w="0" w:type="dxa"/>
              <w:right w:w="115" w:type="dxa"/>
            </w:tcMar>
          </w:tcPr>
          <w:p w:rsidRPr="005A34D2" w:rsidR="00DB716F" w:rsidP="244F5894" w:rsidRDefault="00314B53" w14:paraId="5FE86CA9" w14:textId="0B37745B">
            <w:pPr>
              <w:suppressAutoHyphens/>
              <w:spacing w:line="240" w:lineRule="auto"/>
              <w:contextualSpacing/>
              <w:rPr>
                <w:rFonts w:ascii="Calibri" w:hAnsi="Calibri" w:cs="Calibri"/>
              </w:rPr>
            </w:pPr>
            <w:r w:rsidRPr="244F5894" w:rsidR="00314B53">
              <w:rPr>
                <w:rFonts w:ascii="Calibri" w:hAnsi="Calibri" w:cs="Calibri"/>
              </w:rPr>
              <w:t>(</w:t>
            </w:r>
            <w:r w:rsidRPr="244F5894" w:rsidR="174C4BE8">
              <w:rPr>
                <w:rFonts w:ascii="Calibri" w:hAnsi="Calibri" w:cs="Calibri"/>
              </w:rPr>
              <w:t>1487.66, 1493.65)</w:t>
            </w:r>
          </w:p>
        </w:tc>
      </w:tr>
    </w:tbl>
    <w:p w:rsidRPr="005A34D2" w:rsidR="00DB716F" w:rsidP="005A34D2" w:rsidRDefault="00DB716F" w14:paraId="1E72F699" w14:textId="77777777">
      <w:pPr>
        <w:suppressAutoHyphens/>
        <w:spacing w:line="240" w:lineRule="auto"/>
        <w:contextualSpacing/>
        <w:rPr>
          <w:rFonts w:ascii="Calibri" w:hAnsi="Calibri" w:cs="Calibri"/>
        </w:rPr>
      </w:pPr>
    </w:p>
    <w:p w:rsidR="5E746967" w:rsidP="244F5894" w:rsidRDefault="5E746967" w14:paraId="02EB4D71" w14:textId="409F4083">
      <w:pPr>
        <w:pStyle w:val="ListBullet"/>
        <w:numPr>
          <w:numId w:val="0"/>
        </w:numPr>
        <w:ind w:left="0" w:firstLine="720"/>
        <w:rPr>
          <w:i w:val="0"/>
          <w:iCs w:val="0"/>
        </w:rPr>
      </w:pPr>
      <w:r w:rsidRPr="244F5894" w:rsidR="5E746967">
        <w:rPr>
          <w:i w:val="0"/>
          <w:iCs w:val="0"/>
        </w:rPr>
        <w:t xml:space="preserve">17 years prior, the confidence interval is about ~15 points lower. This shows that the average team in 2013-2015 was scoring more points than the average team in 1996-1998. The competition </w:t>
      </w:r>
      <w:r w:rsidRPr="244F5894" w:rsidR="1AE01AC0">
        <w:rPr>
          <w:i w:val="0"/>
          <w:iCs w:val="0"/>
        </w:rPr>
        <w:t xml:space="preserve">has become more fierce as time has gone on. </w:t>
      </w:r>
    </w:p>
    <w:p w:rsidR="5E746967" w:rsidP="244F5894" w:rsidRDefault="5E746967" w14:paraId="491CD178" w14:textId="47FB4B4E">
      <w:pPr>
        <w:pStyle w:val="ListBullet"/>
        <w:numPr>
          <w:numId w:val="0"/>
        </w:numPr>
        <w:ind w:left="0" w:firstLine="720"/>
        <w:rPr>
          <w:rFonts w:ascii="Calibri" w:hAnsi="Calibri" w:cs="Calibri"/>
          <w:i w:val="1"/>
          <w:iCs w:val="1"/>
        </w:rPr>
      </w:pPr>
      <w:r w:rsidRPr="244F5894" w:rsidR="5E746967">
        <w:rPr>
          <w:i w:val="0"/>
          <w:iCs w:val="0"/>
        </w:rPr>
        <w:t>If the chosen confidence level was higher, than the interval would be larger. This is because in order to fit more teams in the range, you must increase the range. If the confidence level was lower than the interval would be smaller, closing in on the mean.</w:t>
      </w:r>
      <w:r w:rsidRPr="244F5894" w:rsidR="00314B53">
        <w:rPr>
          <w:rFonts w:ascii="Calibri" w:hAnsi="Calibri" w:cs="Calibri"/>
          <w:i w:val="1"/>
          <w:iCs w:val="1"/>
        </w:rPr>
        <w:t xml:space="preserve"> </w:t>
      </w:r>
    </w:p>
    <w:p w:rsidR="244F5894" w:rsidP="244F5894" w:rsidRDefault="244F5894" w14:paraId="09147A9B" w14:textId="4F8E5E5E">
      <w:pPr>
        <w:pStyle w:val="ListBullet"/>
        <w:numPr>
          <w:numId w:val="0"/>
        </w:numPr>
        <w:ind w:left="0"/>
        <w:rPr>
          <w:rFonts w:ascii="Calibri" w:hAnsi="Calibri" w:cs="Calibri"/>
          <w:i w:val="1"/>
          <w:iCs w:val="1"/>
        </w:rPr>
      </w:pPr>
    </w:p>
    <w:p w:rsidR="00DB716F" w:rsidP="002D755F" w:rsidRDefault="00314B53" w14:paraId="2498AE9D" w14:textId="77777777">
      <w:pPr>
        <w:pStyle w:val="Heading2"/>
        <w:rPr/>
      </w:pPr>
      <w:r w:rsidR="00314B53">
        <w:rPr/>
        <w:t>Conclusion</w:t>
      </w:r>
    </w:p>
    <w:p w:rsidRPr="005A34D2" w:rsidR="002D755F" w:rsidP="244F5894" w:rsidRDefault="002D755F" w14:paraId="172667CC" w14:textId="5FAB1CB1">
      <w:pPr>
        <w:pStyle w:val="Normal"/>
      </w:pPr>
    </w:p>
    <w:p w:rsidRPr="005A34D2" w:rsidR="002D755F" w:rsidP="244F5894" w:rsidRDefault="002D755F" w14:paraId="49F36F19" w14:textId="28067CB3">
      <w:pPr>
        <w:pStyle w:val="Normal"/>
        <w:ind w:firstLine="360"/>
      </w:pPr>
      <w:r w:rsidR="6C98A4E9">
        <w:rPr/>
        <w:t xml:space="preserve">The practical importance of the analyses that were performed in this paper is that it demonstrates how the Bulls </w:t>
      </w:r>
      <w:r w:rsidR="72FF3B4D">
        <w:rPr/>
        <w:t xml:space="preserve">from 1996-1998 compare to the Nuggets from 2013-2015. It also compares the entire NBA’s relative skill levels from the Bull’s years to the Nugget’s years. </w:t>
      </w:r>
    </w:p>
    <w:p w:rsidRPr="005A34D2" w:rsidR="002D755F" w:rsidP="244F5894" w:rsidRDefault="002D755F" w14:paraId="65264D08" w14:textId="0802895B">
      <w:pPr>
        <w:pStyle w:val="Normal"/>
        <w:ind w:firstLine="360"/>
      </w:pPr>
      <w:r w:rsidR="72FF3B4D">
        <w:rPr/>
        <w:t xml:space="preserve">We have shown through measures of central tendency that the Nuggets tend to perform higher point games in 2013-2015 than the Bulls did in 1996-1998. </w:t>
      </w:r>
      <w:r w:rsidR="64000B0A">
        <w:rPr/>
        <w:t>The Nuggets are also more likely to have outlying performances.</w:t>
      </w:r>
    </w:p>
    <w:p w:rsidRPr="005A34D2" w:rsidR="002D755F" w:rsidP="244F5894" w:rsidRDefault="002D755F" w14:paraId="000DFF57" w14:textId="1B7A8F58">
      <w:pPr>
        <w:pStyle w:val="Normal"/>
        <w:ind w:firstLine="360"/>
      </w:pPr>
      <w:r w:rsidR="64000B0A">
        <w:rPr/>
        <w:t xml:space="preserve">Through calculating confidence intervals for the entire NBA in both the 1996-1998 time frame and the 2013-2015 time frame, we have shown that the average team is scoring higher as time has gone on. This is also supported tangentially by </w:t>
      </w:r>
      <w:r w:rsidR="7B90CC70">
        <w:rPr/>
        <w:t>the nuggets having better statistics specifically than the Bulls in the 90’s.</w:t>
      </w:r>
    </w:p>
    <w:p w:rsidRPr="005A34D2" w:rsidR="002D755F" w:rsidP="244F5894" w:rsidRDefault="002D755F" w14:paraId="106F85B8" w14:textId="195A6FA7">
      <w:pPr>
        <w:pStyle w:val="Normal"/>
        <w:ind w:firstLine="360"/>
      </w:pPr>
      <w:r w:rsidR="7B90CC70">
        <w:rPr/>
        <w:t xml:space="preserve">Another observation we can draw from our data analytics is that the Nuggets perform better at home games than away games over the 3 year span of the data frame. </w:t>
      </w:r>
    </w:p>
    <w:p w:rsidRPr="005A34D2" w:rsidR="00DB716F" w:rsidP="244F5894" w:rsidRDefault="00314B53" w14:paraId="50ED4E98" w14:textId="77777777">
      <w:pPr>
        <w:suppressAutoHyphens/>
        <w:spacing w:line="240" w:lineRule="auto"/>
        <w:contextualSpacing/>
        <w:rPr>
          <w:rFonts w:ascii="Calibri" w:hAnsi="Calibri" w:cs="Calibri"/>
          <w:i w:val="1"/>
          <w:iCs w:val="1"/>
          <w:highlight w:val="yellow"/>
        </w:rPr>
      </w:pPr>
    </w:p>
    <w:sectPr w:rsidRPr="005A34D2" w:rsidR="00DB716F">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865" w:rsidRDefault="00663865" w14:paraId="0D1073E7" w14:textId="77777777">
      <w:pPr>
        <w:spacing w:line="240" w:lineRule="auto"/>
      </w:pPr>
      <w:r>
        <w:separator/>
      </w:r>
    </w:p>
  </w:endnote>
  <w:endnote w:type="continuationSeparator" w:id="0">
    <w:p w:rsidR="00663865" w:rsidRDefault="00663865" w14:paraId="3551AA4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865" w:rsidRDefault="00663865" w14:paraId="2B470F23" w14:textId="77777777">
      <w:pPr>
        <w:spacing w:line="240" w:lineRule="auto"/>
      </w:pPr>
      <w:r>
        <w:separator/>
      </w:r>
    </w:p>
  </w:footnote>
  <w:footnote w:type="continuationSeparator" w:id="0">
    <w:p w:rsidR="00663865" w:rsidRDefault="00663865" w14:paraId="3F6537D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315pt;height:279.75pt;visibility:visible;mso-wrap-style:square" o:bullet="t" type="#_x0000_t75">
        <v:imagedata o:title="" r:id="rId1"/>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hint="default" w:eastAsia="Arial" w:asciiTheme="majorHAnsi" w:hAnsiTheme="majorHAnsi" w:cstheme="majorHAns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1080" w:hanging="360"/>
      </w:pPr>
      <w:rPr>
        <w:rFonts w:hint="default" w:ascii="" w:hAnsi=""/>
        <w:u w:val="none"/>
      </w:rPr>
    </w:lvl>
    <w:lvl w:ilvl="1">
      <w:start w:val="1"/>
      <w:numFmt w:val="bullet"/>
      <w:lvlText w:val="○"/>
      <w:lvlJc w:val="left"/>
      <w:pPr>
        <w:ind w:left="1800" w:hanging="360"/>
      </w:pPr>
      <w:rPr>
        <w:rFonts w:hint="default" w:ascii="" w:hAnsi=""/>
        <w:u w:val="none"/>
      </w:rPr>
    </w:lvl>
    <w:lvl w:ilvl="2">
      <w:start w:val="1"/>
      <w:numFmt w:val="bullet"/>
      <w:lvlText w:val="■"/>
      <w:lvlJc w:val="left"/>
      <w:pPr>
        <w:ind w:left="2520" w:hanging="360"/>
      </w:pPr>
      <w:rPr>
        <w:rFonts w:hint="default" w:ascii="" w:hAnsi=""/>
        <w:u w:val="none"/>
      </w:rPr>
    </w:lvl>
    <w:lvl w:ilvl="3">
      <w:start w:val="1"/>
      <w:numFmt w:val="bullet"/>
      <w:lvlText w:val="●"/>
      <w:lvlJc w:val="left"/>
      <w:pPr>
        <w:ind w:left="3240" w:hanging="360"/>
      </w:pPr>
      <w:rPr>
        <w:rFonts w:hint="default" w:ascii="" w:hAnsi=""/>
        <w:u w:val="none"/>
      </w:rPr>
    </w:lvl>
    <w:lvl w:ilvl="4">
      <w:start w:val="1"/>
      <w:numFmt w:val="bullet"/>
      <w:lvlText w:val="○"/>
      <w:lvlJc w:val="left"/>
      <w:pPr>
        <w:ind w:left="3960" w:hanging="360"/>
      </w:pPr>
      <w:rPr>
        <w:rFonts w:hint="default" w:ascii="" w:hAnsi=""/>
        <w:u w:val="none"/>
      </w:rPr>
    </w:lvl>
    <w:lvl w:ilvl="5">
      <w:start w:val="1"/>
      <w:numFmt w:val="bullet"/>
      <w:lvlText w:val="■"/>
      <w:lvlJc w:val="left"/>
      <w:pPr>
        <w:ind w:left="4680" w:hanging="360"/>
      </w:pPr>
      <w:rPr>
        <w:rFonts w:hint="default" w:ascii="" w:hAnsi=""/>
        <w:u w:val="none"/>
      </w:rPr>
    </w:lvl>
    <w:lvl w:ilvl="6">
      <w:start w:val="1"/>
      <w:numFmt w:val="bullet"/>
      <w:lvlText w:val="●"/>
      <w:lvlJc w:val="left"/>
      <w:pPr>
        <w:ind w:left="5400" w:hanging="360"/>
      </w:pPr>
      <w:rPr>
        <w:rFonts w:hint="default" w:ascii="" w:hAnsi=""/>
        <w:u w:val="none"/>
      </w:rPr>
    </w:lvl>
    <w:lvl w:ilvl="7">
      <w:start w:val="1"/>
      <w:numFmt w:val="bullet"/>
      <w:lvlText w:val="○"/>
      <w:lvlJc w:val="left"/>
      <w:pPr>
        <w:ind w:left="6120" w:hanging="360"/>
      </w:pPr>
      <w:rPr>
        <w:rFonts w:hint="default" w:ascii="" w:hAnsi=""/>
        <w:u w:val="none"/>
      </w:rPr>
    </w:lvl>
    <w:lvl w:ilvl="8">
      <w:start w:val="1"/>
      <w:numFmt w:val="bullet"/>
      <w:lvlText w:val="■"/>
      <w:lvlJc w:val="left"/>
      <w:pPr>
        <w:ind w:left="6840" w:hanging="360"/>
      </w:pPr>
      <w:rPr>
        <w:rFonts w:hint="default" w:ascii="" w:hAnsi=""/>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16"/>
  </w:num>
  <w:num w:numId="4">
    <w:abstractNumId w:val="21"/>
  </w:num>
  <w:num w:numId="5">
    <w:abstractNumId w:val="10"/>
  </w:num>
  <w:num w:numId="6">
    <w:abstractNumId w:val="18"/>
  </w:num>
  <w:num w:numId="7">
    <w:abstractNumId w:val="14"/>
  </w:num>
  <w:num w:numId="8">
    <w:abstractNumId w:val="13"/>
  </w:num>
  <w:num w:numId="9">
    <w:abstractNumId w:val="19"/>
  </w:num>
  <w:num w:numId="10">
    <w:abstractNumId w:val="23"/>
  </w:num>
  <w:num w:numId="11">
    <w:abstractNumId w:val="20"/>
  </w:num>
  <w:num w:numId="12">
    <w:abstractNumId w:val="12"/>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65F32"/>
    <w:rsid w:val="0049069B"/>
    <w:rsid w:val="004B094F"/>
    <w:rsid w:val="00551F53"/>
    <w:rsid w:val="005A34D2"/>
    <w:rsid w:val="005B3662"/>
    <w:rsid w:val="005B36F6"/>
    <w:rsid w:val="005E6156"/>
    <w:rsid w:val="00663865"/>
    <w:rsid w:val="006714A0"/>
    <w:rsid w:val="006A376F"/>
    <w:rsid w:val="00714EE9"/>
    <w:rsid w:val="00794FA0"/>
    <w:rsid w:val="007F6CE2"/>
    <w:rsid w:val="008468F1"/>
    <w:rsid w:val="00886D10"/>
    <w:rsid w:val="009479A4"/>
    <w:rsid w:val="009B6796"/>
    <w:rsid w:val="009C2363"/>
    <w:rsid w:val="009C6649"/>
    <w:rsid w:val="00A544B1"/>
    <w:rsid w:val="00A974DC"/>
    <w:rsid w:val="00B1171B"/>
    <w:rsid w:val="00B374A0"/>
    <w:rsid w:val="00B425F9"/>
    <w:rsid w:val="00C21B05"/>
    <w:rsid w:val="00C843EB"/>
    <w:rsid w:val="00DB3E24"/>
    <w:rsid w:val="00DB716F"/>
    <w:rsid w:val="00E01A61"/>
    <w:rsid w:val="00E1151B"/>
    <w:rsid w:val="00E382B8"/>
    <w:rsid w:val="00ED491F"/>
    <w:rsid w:val="00EE067E"/>
    <w:rsid w:val="00EF7AD4"/>
    <w:rsid w:val="00F30F56"/>
    <w:rsid w:val="02A49FA2"/>
    <w:rsid w:val="044928AE"/>
    <w:rsid w:val="04EC4981"/>
    <w:rsid w:val="05B6F3DB"/>
    <w:rsid w:val="06510F5E"/>
    <w:rsid w:val="079DBB0B"/>
    <w:rsid w:val="08A7BB9B"/>
    <w:rsid w:val="09A69247"/>
    <w:rsid w:val="0BD39B01"/>
    <w:rsid w:val="0E95D00A"/>
    <w:rsid w:val="0EF98613"/>
    <w:rsid w:val="0F639350"/>
    <w:rsid w:val="1017A391"/>
    <w:rsid w:val="106675EB"/>
    <w:rsid w:val="1202464C"/>
    <w:rsid w:val="13FC7362"/>
    <w:rsid w:val="146315B6"/>
    <w:rsid w:val="14E944EE"/>
    <w:rsid w:val="159843C3"/>
    <w:rsid w:val="1669F4B4"/>
    <w:rsid w:val="17093263"/>
    <w:rsid w:val="17341424"/>
    <w:rsid w:val="174C4BE8"/>
    <w:rsid w:val="18805F51"/>
    <w:rsid w:val="18A4B708"/>
    <w:rsid w:val="18CC745B"/>
    <w:rsid w:val="19B71F7E"/>
    <w:rsid w:val="1AA9E1AC"/>
    <w:rsid w:val="1ADA44C0"/>
    <w:rsid w:val="1AE01AC0"/>
    <w:rsid w:val="1E750699"/>
    <w:rsid w:val="1F7BE771"/>
    <w:rsid w:val="1FE2D5A7"/>
    <w:rsid w:val="20372179"/>
    <w:rsid w:val="207512EC"/>
    <w:rsid w:val="20C9E7CD"/>
    <w:rsid w:val="2117B7D2"/>
    <w:rsid w:val="22E556A5"/>
    <w:rsid w:val="244F5894"/>
    <w:rsid w:val="253228B1"/>
    <w:rsid w:val="25DA034E"/>
    <w:rsid w:val="267E5BAE"/>
    <w:rsid w:val="270424CA"/>
    <w:rsid w:val="2751A258"/>
    <w:rsid w:val="2775D3AF"/>
    <w:rsid w:val="288F9920"/>
    <w:rsid w:val="28A49D35"/>
    <w:rsid w:val="293B6FCC"/>
    <w:rsid w:val="2A1476C1"/>
    <w:rsid w:val="2A5E98B9"/>
    <w:rsid w:val="2B410AAA"/>
    <w:rsid w:val="2BFA691A"/>
    <w:rsid w:val="2C123A4E"/>
    <w:rsid w:val="2C63C35D"/>
    <w:rsid w:val="2C8C38EB"/>
    <w:rsid w:val="2CDCDB0B"/>
    <w:rsid w:val="2D35050F"/>
    <w:rsid w:val="2D5A8754"/>
    <w:rsid w:val="2E78AB6C"/>
    <w:rsid w:val="2E9317E9"/>
    <w:rsid w:val="2F80E594"/>
    <w:rsid w:val="2FD187B4"/>
    <w:rsid w:val="309AAB05"/>
    <w:rsid w:val="31CBB4CA"/>
    <w:rsid w:val="32087632"/>
    <w:rsid w:val="33261A11"/>
    <w:rsid w:val="338CD38B"/>
    <w:rsid w:val="34F93DF2"/>
    <w:rsid w:val="3503558C"/>
    <w:rsid w:val="36C4744D"/>
    <w:rsid w:val="36DBE755"/>
    <w:rsid w:val="372F1DC3"/>
    <w:rsid w:val="3773970D"/>
    <w:rsid w:val="392FB560"/>
    <w:rsid w:val="3A6CF567"/>
    <w:rsid w:val="3C11DA49"/>
    <w:rsid w:val="3CB8DBBD"/>
    <w:rsid w:val="3CC407CB"/>
    <w:rsid w:val="3D219038"/>
    <w:rsid w:val="3D578557"/>
    <w:rsid w:val="3D7CF74B"/>
    <w:rsid w:val="3F9EF6E4"/>
    <w:rsid w:val="405475EB"/>
    <w:rsid w:val="4198995B"/>
    <w:rsid w:val="41BE9DAC"/>
    <w:rsid w:val="42BB770B"/>
    <w:rsid w:val="4347527F"/>
    <w:rsid w:val="434EA7A2"/>
    <w:rsid w:val="439F49C2"/>
    <w:rsid w:val="4407CBC6"/>
    <w:rsid w:val="455CA1AA"/>
    <w:rsid w:val="45F317CD"/>
    <w:rsid w:val="460E3868"/>
    <w:rsid w:val="465EDA88"/>
    <w:rsid w:val="4723D991"/>
    <w:rsid w:val="47AE5DC5"/>
    <w:rsid w:val="4942AAE2"/>
    <w:rsid w:val="49687616"/>
    <w:rsid w:val="497108B9"/>
    <w:rsid w:val="4A41890C"/>
    <w:rsid w:val="4AC20428"/>
    <w:rsid w:val="4AC688F0"/>
    <w:rsid w:val="4C635570"/>
    <w:rsid w:val="4CEB0DA7"/>
    <w:rsid w:val="4CF51DE3"/>
    <w:rsid w:val="4D9DE736"/>
    <w:rsid w:val="4F64E7CD"/>
    <w:rsid w:val="4FEDF7F2"/>
    <w:rsid w:val="50147F47"/>
    <w:rsid w:val="52F7E1F7"/>
    <w:rsid w:val="55FD2C1C"/>
    <w:rsid w:val="567ABFCE"/>
    <w:rsid w:val="5782C820"/>
    <w:rsid w:val="598E567A"/>
    <w:rsid w:val="5A36978A"/>
    <w:rsid w:val="5AAEA786"/>
    <w:rsid w:val="5BDF905E"/>
    <w:rsid w:val="5D1C2A71"/>
    <w:rsid w:val="5E746967"/>
    <w:rsid w:val="618D04FD"/>
    <w:rsid w:val="62BC174B"/>
    <w:rsid w:val="64000B0A"/>
    <w:rsid w:val="64A29169"/>
    <w:rsid w:val="64B2E43C"/>
    <w:rsid w:val="676985F0"/>
    <w:rsid w:val="699CAB30"/>
    <w:rsid w:val="6AEC75AD"/>
    <w:rsid w:val="6B1FCA06"/>
    <w:rsid w:val="6B62F2C3"/>
    <w:rsid w:val="6C98A4E9"/>
    <w:rsid w:val="6CD4CBBD"/>
    <w:rsid w:val="6D11ABE7"/>
    <w:rsid w:val="6E56F3F6"/>
    <w:rsid w:val="6F280E6A"/>
    <w:rsid w:val="70B04614"/>
    <w:rsid w:val="71B115F9"/>
    <w:rsid w:val="71C0632A"/>
    <w:rsid w:val="72FF3B4D"/>
    <w:rsid w:val="732968FA"/>
    <w:rsid w:val="733B6221"/>
    <w:rsid w:val="7378424B"/>
    <w:rsid w:val="74739B1C"/>
    <w:rsid w:val="74E8B6BB"/>
    <w:rsid w:val="75D402F4"/>
    <w:rsid w:val="75E3D959"/>
    <w:rsid w:val="76187C3E"/>
    <w:rsid w:val="76B13E31"/>
    <w:rsid w:val="76E2F901"/>
    <w:rsid w:val="771104B0"/>
    <w:rsid w:val="77180B47"/>
    <w:rsid w:val="78DA9A02"/>
    <w:rsid w:val="79F24B73"/>
    <w:rsid w:val="7A1C172F"/>
    <w:rsid w:val="7A3BE3E1"/>
    <w:rsid w:val="7A414AFE"/>
    <w:rsid w:val="7B90CC70"/>
    <w:rsid w:val="7BB66A24"/>
    <w:rsid w:val="7C3E16C8"/>
    <w:rsid w:val="7C43A5A2"/>
    <w:rsid w:val="7E7CAB06"/>
    <w:rsid w:val="7EC0090B"/>
    <w:rsid w:val="7F5FDE94"/>
    <w:rsid w:val="7F7870FC"/>
    <w:rsid w:val="7FEEC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styleId="CommentTextChar" w:customStyle="1">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styleId="CommentSubjectChar" w:customStyle="1">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styleId="HeaderChar" w:customStyle="1">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styleId="FooterChar" w:customStyle="1">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317c0245b04c4309" /><Relationship Type="http://schemas.openxmlformats.org/officeDocument/2006/relationships/image" Target="/media/image4.png" Id="Ra1aa5f21dae64b14" /><Relationship Type="http://schemas.openxmlformats.org/officeDocument/2006/relationships/image" Target="/media/image5.png" Id="R4bb89ffd56664cda"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One Summary Report Template</dc:title>
  <dc:creator>Gentile, Amy</dc:creator>
  <lastModifiedBy>Baker, Jared</lastModifiedBy>
  <revision>5</revision>
  <dcterms:created xsi:type="dcterms:W3CDTF">2022-04-27T15:00:00.0000000Z</dcterms:created>
  <dcterms:modified xsi:type="dcterms:W3CDTF">2023-09-23T20:28:58.0352593Z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