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REPORT</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Jiayu Huang, Matthew Hibbs, and Jared Neikirk</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Florida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CGS4144: Introduction to Bioinformatics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Kiley Graim</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22, 2022</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ABSTRACT…………………………………………………………………………………………………2</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INTRODUCTION...…………………………………………………………………………………………3</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METHODS..…………………………………………………………………………………………………4</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RESULTS..…………………………………………………………………………………………………..8</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CONCLUSION..…………………………………………………………………………………………….9</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REFERENCES...…………………………………………………………………………………………...10</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RNA-sequencing, we can reveal the presence and quantity of RNA in a biological sample </w:t>
      </w:r>
      <w:r w:rsidDel="00000000" w:rsidR="00000000" w:rsidRPr="00000000">
        <w:rPr>
          <w:rFonts w:ascii="Times New Roman" w:cs="Times New Roman" w:eastAsia="Times New Roman" w:hAnsi="Times New Roman"/>
          <w:sz w:val="24"/>
          <w:szCs w:val="24"/>
          <w:rtl w:val="0"/>
        </w:rPr>
        <w:t xml:space="preserve">at a given moment, analyzing the continuously changing cellular transcriptome. S</w:t>
      </w:r>
      <w:r w:rsidDel="00000000" w:rsidR="00000000" w:rsidRPr="00000000">
        <w:rPr>
          <w:rFonts w:ascii="Times New Roman" w:cs="Times New Roman" w:eastAsia="Times New Roman" w:hAnsi="Times New Roman"/>
          <w:sz w:val="24"/>
          <w:szCs w:val="24"/>
          <w:rtl w:val="0"/>
        </w:rPr>
        <w:t xml:space="preserve">pecifically, RNA-sequencing facilitates the ability to look at differences in gene expression in different groups or treatments. We propose that using RNA-sequenced data from blood from participants of the COVID-19 Health Action Response for Marines (CHARM) study, that no gene features can be shown to exist in asymptomatic participants significantly more than symptomatic participants. </w:t>
      </w:r>
      <w:r w:rsidDel="00000000" w:rsidR="00000000" w:rsidRPr="00000000">
        <w:rPr>
          <w:rtl w:val="0"/>
        </w:rPr>
        <w:t xml:space="preserve">The data </w:t>
      </w:r>
      <w:r w:rsidDel="00000000" w:rsidR="00000000" w:rsidRPr="00000000">
        <w:rPr>
          <w:rFonts w:ascii="Times New Roman" w:cs="Times New Roman" w:eastAsia="Times New Roman" w:hAnsi="Times New Roman"/>
          <w:sz w:val="24"/>
          <w:szCs w:val="24"/>
          <w:rtl w:val="0"/>
        </w:rPr>
        <w:t xml:space="preserve">was insufficient for identifying any features in asymptomatic participants that were different from participants with symptoms. The results of our methods were largely inconclusive in regards to any consistent significant differences between symptomatic and asymptomatic participants of the study. Based on these findings, we accept our null hypothesis that no statistical evidence exists within the study that shows a significant relationship between </w:t>
      </w:r>
      <w:r w:rsidDel="00000000" w:rsidR="00000000" w:rsidRPr="00000000">
        <w:rPr>
          <w:rFonts w:ascii="Times New Roman" w:cs="Times New Roman" w:eastAsia="Times New Roman" w:hAnsi="Times New Roman"/>
          <w:sz w:val="24"/>
          <w:szCs w:val="24"/>
          <w:rtl w:val="0"/>
        </w:rPr>
        <w:t xml:space="preserve">certain</w:t>
      </w:r>
      <w:r w:rsidDel="00000000" w:rsidR="00000000" w:rsidRPr="00000000">
        <w:rPr>
          <w:rFonts w:ascii="Times New Roman" w:cs="Times New Roman" w:eastAsia="Times New Roman" w:hAnsi="Times New Roman"/>
          <w:sz w:val="24"/>
          <w:szCs w:val="24"/>
          <w:rtl w:val="0"/>
        </w:rPr>
        <w:t xml:space="preserve"> distinct features and symptomatic patients. This does not prove that no features exist that have an impact on a positive COVID-19 patient being asymptomatic. Our dataset was not large enough to prove that a significant relationship exists. Patterns underlying the data were discovered but disproven by inconsistent results between methods. Further studies will be relevant to explore if certain patterns found in this study persist consistently across a wider dataset.</w:t>
      </w:r>
    </w:p>
    <w:p w:rsidR="00000000" w:rsidDel="00000000" w:rsidP="00000000" w:rsidRDefault="00000000" w:rsidRPr="00000000" w14:paraId="0000002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RNA-seq data from blood from participants of the COVID-19 Health Action Response for Marines (CHARM) study, w</w:t>
      </w:r>
      <w:r w:rsidDel="00000000" w:rsidR="00000000" w:rsidRPr="00000000">
        <w:rPr>
          <w:rFonts w:ascii="Times New Roman" w:cs="Times New Roman" w:eastAsia="Times New Roman" w:hAnsi="Times New Roman"/>
          <w:sz w:val="24"/>
          <w:szCs w:val="24"/>
          <w:rtl w:val="0"/>
        </w:rPr>
        <w:t xml:space="preserve">hat features can we identify from asymptomatic participants that are different from participants with symptoms and how strong of a predictor is the feature? The data used was acquired while investigating SARS-CoV-2 infections among U.S. Marine Recruits that underwent a 2-week quarantine at home after an initial outbreak (Letizia, 2022). The approach taken to address the question of specific differences between genomic features of asymptomatic and symptomatic patients was first standardizing, and examining the dataset for certain clustering group anomalies or significant differences. Standardization was required since sample data was taken at different timestamps which could disrupt accurate data from an unknown confounding variable. The motivation for exploring these differences comes from the abrupt nature of a worldwide pandemic that affected billions of people and threatened many with their lives (Gao, 2021) and has been previously the subject of many research and clinical studies (Yang, 2020). All of the statistical methods used to analyze and explore this dataset is readily available at the following GitHub repository: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https://github.com/jaredneikirk/CGS4144-Genome-Study</w:t>
        </w:r>
      </w:hyperlink>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itself is available on GEO at the link below:</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Data: </w:t>
      </w:r>
      <w:hyperlink r:id="rId7">
        <w:r w:rsidDel="00000000" w:rsidR="00000000" w:rsidRPr="00000000">
          <w:rPr>
            <w:rFonts w:ascii="Times New Roman" w:cs="Times New Roman" w:eastAsia="Times New Roman" w:hAnsi="Times New Roman"/>
            <w:color w:val="1155cc"/>
            <w:sz w:val="24"/>
            <w:szCs w:val="24"/>
            <w:u w:val="single"/>
            <w:rtl w:val="0"/>
          </w:rPr>
          <w:t xml:space="preserve">https://www.ncbi.nlm.nih.gov/geo/query/acc.cgi?acc=GSE198449</w:t>
        </w:r>
      </w:hyperlink>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2E">
      <w:pPr>
        <w:spacing w:line="480" w:lineRule="auto"/>
        <w:jc w:val="left"/>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Differential Analysis</w:t>
      </w:r>
    </w:p>
    <w:p w:rsidR="00000000" w:rsidDel="00000000" w:rsidP="00000000" w:rsidRDefault="00000000" w:rsidRPr="00000000" w14:paraId="0000002F">
      <w:pPr>
        <w:spacing w:line="480" w:lineRule="auto"/>
        <w:ind w:left="0" w:firstLine="0"/>
        <w:jc w:val="left"/>
        <w:rPr/>
      </w:pPr>
      <w:r w:rsidDel="00000000" w:rsidR="00000000" w:rsidRPr="00000000">
        <w:rPr>
          <w:rFonts w:ascii="Times New Roman" w:cs="Times New Roman" w:eastAsia="Times New Roman" w:hAnsi="Times New Roman"/>
          <w:sz w:val="24"/>
          <w:szCs w:val="24"/>
          <w:rtl w:val="0"/>
        </w:rPr>
        <w:t xml:space="preserve">To evaluate how genes differentially expressed among the dataset, we performed differential analysis and interpreted the result using volcano plot. </w:t>
      </w:r>
      <w:r w:rsidDel="00000000" w:rsidR="00000000" w:rsidRPr="00000000">
        <w:rPr>
          <w:rtl w:val="0"/>
        </w:rPr>
        <w:t xml:space="preserve">Based on the volcano plot above, we observe that the ALMS1P1 and the </w:t>
      </w:r>
      <w:r w:rsidDel="00000000" w:rsidR="00000000" w:rsidRPr="00000000">
        <w:rPr>
          <w:rtl w:val="0"/>
        </w:rPr>
        <w:t xml:space="preserve">RNASE2</w:t>
      </w:r>
      <w:r w:rsidDel="00000000" w:rsidR="00000000" w:rsidRPr="00000000">
        <w:rPr>
          <w:rtl w:val="0"/>
        </w:rPr>
        <w:t xml:space="preserve"> gene are statistically significant and an outlier when attributing p-value and log2Fc. The log2 fold change of a couple of outlier genes is also observed 2-4 times greater than around the median log2 fold change. The gene data itself is also quite spread out amongst the x (log2 fold change) axis.</w:t>
      </w:r>
    </w:p>
    <w:p w:rsidR="00000000" w:rsidDel="00000000" w:rsidP="00000000" w:rsidRDefault="00000000" w:rsidRPr="00000000" w14:paraId="00000030">
      <w:pPr>
        <w:spacing w:line="480" w:lineRule="auto"/>
        <w:ind w:left="0" w:firstLine="0"/>
        <w:jc w:val="left"/>
        <w:rPr/>
      </w:pPr>
      <w:r w:rsidDel="00000000" w:rsidR="00000000" w:rsidRPr="00000000">
        <w:rPr>
          <w:rtl w:val="0"/>
        </w:rPr>
      </w:r>
    </w:p>
    <w:p w:rsidR="00000000" w:rsidDel="00000000" w:rsidP="00000000" w:rsidRDefault="00000000" w:rsidRPr="00000000" w14:paraId="0000003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289456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57600" cy="289456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Enrichment Analysis</w:t>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categorize the genes we picked out, cluster analysis, and see if the functions of these genes have commonalities with our study, we implemented gene set enrichment analysis. In particular, we performed Gene Ontology (GO) term enrichment, a technique for interpreting sets of genes using the GO system of classification. </w:t>
      </w:r>
    </w:p>
    <w:p w:rsidR="00000000" w:rsidDel="00000000" w:rsidP="00000000" w:rsidRDefault="00000000" w:rsidRPr="00000000" w14:paraId="00000035">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gProfiler2</w:t>
      </w:r>
    </w:p>
    <w:p w:rsidR="00000000" w:rsidDel="00000000" w:rsidP="00000000" w:rsidRDefault="00000000" w:rsidRPr="00000000" w14:paraId="00000037">
      <w:pPr>
        <w:spacing w:line="480" w:lineRule="auto"/>
        <w:ind w:left="0" w:firstLine="0"/>
        <w:rPr>
          <w:b w:val="1"/>
          <w:color w:val="064462"/>
        </w:rPr>
      </w:pPr>
      <w:r w:rsidDel="00000000" w:rsidR="00000000" w:rsidRPr="00000000">
        <w:rPr>
          <w:rFonts w:ascii="Times New Roman" w:cs="Times New Roman" w:eastAsia="Times New Roman" w:hAnsi="Times New Roman"/>
          <w:sz w:val="24"/>
          <w:szCs w:val="24"/>
          <w:rtl w:val="0"/>
        </w:rPr>
        <w:t xml:space="preserve">gProfiler2 is a t</w:t>
      </w:r>
      <w:r w:rsidDel="00000000" w:rsidR="00000000" w:rsidRPr="00000000">
        <w:rPr>
          <w:rFonts w:ascii="Times New Roman" w:cs="Times New Roman" w:eastAsia="Times New Roman" w:hAnsi="Times New Roman"/>
          <w:sz w:val="24"/>
          <w:szCs w:val="24"/>
          <w:highlight w:val="white"/>
          <w:rtl w:val="0"/>
        </w:rPr>
        <w:t xml:space="preserve">oolset for functional enrichment analysis and visualization, gene/protein/SNP identifier conversion and mapping orthologous genes across species. This tool allows us to better understand the biological functions of our significant genes.</w:t>
      </w:r>
      <w:r w:rsidDel="00000000" w:rsidR="00000000" w:rsidRPr="00000000">
        <w:rPr>
          <w:rtl w:val="0"/>
        </w:rPr>
      </w:r>
    </w:p>
    <w:p w:rsidR="00000000" w:rsidDel="00000000" w:rsidP="00000000" w:rsidRDefault="00000000" w:rsidRPr="00000000" w14:paraId="00000038">
      <w:pPr>
        <w:rPr>
          <w:b w:val="1"/>
          <w:color w:val="064462"/>
        </w:rPr>
      </w:pPr>
      <w:r w:rsidDel="00000000" w:rsidR="00000000" w:rsidRPr="00000000">
        <w:rPr>
          <w:color w:val="064462"/>
        </w:rPr>
        <w:drawing>
          <wp:inline distB="114300" distT="114300" distL="114300" distR="114300">
            <wp:extent cx="6858000" cy="2360346"/>
            <wp:effectExtent b="0" l="0" r="0" t="0"/>
            <wp:docPr id="7" name="image7.png"/>
            <a:graphic>
              <a:graphicData uri="http://schemas.openxmlformats.org/drawingml/2006/picture">
                <pic:pic>
                  <pic:nvPicPr>
                    <pic:cNvPr id="0" name="image7.png"/>
                    <pic:cNvPicPr preferRelativeResize="0"/>
                  </pic:nvPicPr>
                  <pic:blipFill>
                    <a:blip r:embed="rId9"/>
                    <a:srcRect b="22318" l="0" r="0" t="0"/>
                    <a:stretch>
                      <a:fillRect/>
                    </a:stretch>
                  </pic:blipFill>
                  <pic:spPr>
                    <a:xfrm>
                      <a:off x="0" y="0"/>
                      <a:ext cx="6858000" cy="2360346"/>
                    </a:xfrm>
                    <a:prstGeom prst="rect"/>
                    <a:ln/>
                  </pic:spPr>
                </pic:pic>
              </a:graphicData>
            </a:graphic>
          </wp:inline>
        </w:drawing>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b w:val="1"/>
                <w:color w:val="064462"/>
              </w:rPr>
            </w:pPr>
            <w:r w:rsidDel="00000000" w:rsidR="00000000" w:rsidRPr="00000000">
              <w:rPr>
                <w:b w:val="1"/>
                <w:color w:val="064462"/>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b w:val="1"/>
                <w:color w:val="064462"/>
              </w:rPr>
            </w:pPr>
            <w:r w:rsidDel="00000000" w:rsidR="00000000" w:rsidRPr="00000000">
              <w:rPr>
                <w:b w:val="1"/>
                <w:color w:val="064462"/>
                <w:rtl w:val="0"/>
              </w:rPr>
              <w:t xml:space="preserve">Term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b w:val="1"/>
                <w:color w:val="064462"/>
              </w:rPr>
            </w:pPr>
            <w:r w:rsidDel="00000000" w:rsidR="00000000" w:rsidRPr="00000000">
              <w:rPr>
                <w:b w:val="1"/>
                <w:color w:val="064462"/>
                <w:rtl w:val="0"/>
              </w:rPr>
              <w:t xml:space="preserve">Term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b w:val="1"/>
                <w:color w:val="064462"/>
              </w:rPr>
            </w:pPr>
            <w:r w:rsidDel="00000000" w:rsidR="00000000" w:rsidRPr="00000000">
              <w:rPr>
                <w:b w:val="1"/>
                <w:color w:val="064462"/>
                <w:rtl w:val="0"/>
              </w:rPr>
              <w:t xml:space="preserve">P(adj)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color w:val="064462"/>
              </w:rPr>
            </w:pPr>
            <w:r w:rsidDel="00000000" w:rsidR="00000000" w:rsidRPr="00000000">
              <w:rPr>
                <w:color w:val="064462"/>
                <w:rtl w:val="0"/>
              </w:rPr>
              <w:t xml:space="preserve">GO:BP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color w:val="064462"/>
              </w:rPr>
            </w:pPr>
            <w:r w:rsidDel="00000000" w:rsidR="00000000" w:rsidRPr="00000000">
              <w:rPr>
                <w:color w:val="064462"/>
                <w:rtl w:val="0"/>
              </w:rPr>
              <w:t xml:space="preserve">GO:0036293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color w:val="064462"/>
              </w:rPr>
            </w:pPr>
            <w:r w:rsidDel="00000000" w:rsidR="00000000" w:rsidRPr="00000000">
              <w:rPr>
                <w:color w:val="064462"/>
                <w:rtl w:val="0"/>
              </w:rPr>
              <w:t xml:space="preserve">response to decreased oxygen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color w:val="064462"/>
              </w:rPr>
            </w:pPr>
            <w:r w:rsidDel="00000000" w:rsidR="00000000" w:rsidRPr="00000000">
              <w:rPr>
                <w:color w:val="064462"/>
                <w:rtl w:val="0"/>
              </w:rPr>
              <w:t xml:space="preserve">3.053×10-2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color w:val="064462"/>
              </w:rPr>
            </w:pPr>
            <w:r w:rsidDel="00000000" w:rsidR="00000000" w:rsidRPr="00000000">
              <w:rPr>
                <w:color w:val="064462"/>
                <w:rtl w:val="0"/>
              </w:rPr>
              <w:t xml:space="preserve">GO:BP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color w:val="064462"/>
              </w:rPr>
            </w:pPr>
            <w:r w:rsidDel="00000000" w:rsidR="00000000" w:rsidRPr="00000000">
              <w:rPr>
                <w:color w:val="064462"/>
                <w:rtl w:val="0"/>
              </w:rPr>
              <w:t xml:space="preserve">GO:0098542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color w:val="064462"/>
              </w:rPr>
            </w:pPr>
            <w:r w:rsidDel="00000000" w:rsidR="00000000" w:rsidRPr="00000000">
              <w:rPr>
                <w:color w:val="064462"/>
                <w:rtl w:val="0"/>
              </w:rPr>
              <w:t xml:space="preserve">defense response to other 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color w:val="064462"/>
              </w:rPr>
            </w:pPr>
            <w:r w:rsidDel="00000000" w:rsidR="00000000" w:rsidRPr="00000000">
              <w:rPr>
                <w:color w:val="064462"/>
                <w:rtl w:val="0"/>
              </w:rPr>
              <w:t xml:space="preserve">4.288×10-2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color w:val="064462"/>
              </w:rPr>
            </w:pPr>
            <w:r w:rsidDel="00000000" w:rsidR="00000000" w:rsidRPr="00000000">
              <w:rPr>
                <w:color w:val="06446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color w:val="064462"/>
              </w:rPr>
            </w:pPr>
            <w:r w:rsidDel="00000000" w:rsidR="00000000" w:rsidRPr="00000000">
              <w:rPr>
                <w:color w:val="064462"/>
                <w:rtl w:val="0"/>
              </w:rPr>
              <w:t xml:space="preserve">HP:0000007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color w:val="064462"/>
              </w:rPr>
            </w:pPr>
            <w:r w:rsidDel="00000000" w:rsidR="00000000" w:rsidRPr="00000000">
              <w:rPr>
                <w:color w:val="064462"/>
                <w:rtl w:val="0"/>
              </w:rPr>
              <w:t xml:space="preserve">Autosomal recessive 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color w:val="064462"/>
              </w:rPr>
            </w:pPr>
            <w:r w:rsidDel="00000000" w:rsidR="00000000" w:rsidRPr="00000000">
              <w:rPr>
                <w:color w:val="064462"/>
                <w:rtl w:val="0"/>
              </w:rPr>
              <w:t xml:space="preserve">1.071×10-2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color w:val="064462"/>
              </w:rPr>
            </w:pPr>
            <w:r w:rsidDel="00000000" w:rsidR="00000000" w:rsidRPr="00000000">
              <w:rPr>
                <w:color w:val="064462"/>
                <w:rtl w:val="0"/>
              </w:rPr>
              <w:t xml:space="preserve">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color w:val="064462"/>
              </w:rPr>
            </w:pPr>
            <w:r w:rsidDel="00000000" w:rsidR="00000000" w:rsidRPr="00000000">
              <w:rPr>
                <w:color w:val="064462"/>
                <w:rtl w:val="0"/>
              </w:rPr>
              <w:t xml:space="preserve">HPA:0210000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color w:val="064462"/>
              </w:rPr>
            </w:pPr>
            <w:r w:rsidDel="00000000" w:rsidR="00000000" w:rsidRPr="00000000">
              <w:rPr>
                <w:color w:val="064462"/>
                <w:rtl w:val="0"/>
              </w:rPr>
              <w:t xml:space="preserve">fallopian 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color w:val="064462"/>
              </w:rPr>
            </w:pPr>
            <w:r w:rsidDel="00000000" w:rsidR="00000000" w:rsidRPr="00000000">
              <w:rPr>
                <w:color w:val="064462"/>
                <w:rtl w:val="0"/>
              </w:rPr>
              <w:t xml:space="preserve">1.228×10-3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color w:val="064462"/>
              </w:rPr>
            </w:pPr>
            <w:r w:rsidDel="00000000" w:rsidR="00000000" w:rsidRPr="00000000">
              <w:rPr>
                <w:color w:val="064462"/>
                <w:rtl w:val="0"/>
              </w:rPr>
              <w:t xml:space="preserve">HPA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color w:val="064462"/>
              </w:rPr>
            </w:pPr>
            <w:r w:rsidDel="00000000" w:rsidR="00000000" w:rsidRPr="00000000">
              <w:rPr>
                <w:color w:val="064462"/>
                <w:rtl w:val="0"/>
              </w:rPr>
              <w:t xml:space="preserve">HPA:0060000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color w:val="064462"/>
              </w:rPr>
            </w:pPr>
            <w:r w:rsidDel="00000000" w:rsidR="00000000" w:rsidRPr="00000000">
              <w:rPr>
                <w:color w:val="064462"/>
                <w:rtl w:val="0"/>
              </w:rPr>
              <w:t xml:space="preserve">bronchus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color w:val="064462"/>
              </w:rPr>
            </w:pPr>
            <w:r w:rsidDel="00000000" w:rsidR="00000000" w:rsidRPr="00000000">
              <w:rPr>
                <w:color w:val="064462"/>
                <w:rtl w:val="0"/>
              </w:rPr>
              <w:t xml:space="preserve">1.150×10-2</w:t>
            </w:r>
          </w:p>
        </w:tc>
      </w:tr>
    </w:tbl>
    <w:p w:rsidR="00000000" w:rsidDel="00000000" w:rsidP="00000000" w:rsidRDefault="00000000" w:rsidRPr="00000000" w14:paraId="00000051">
      <w:pPr>
        <w:rPr>
          <w:b w:val="1"/>
          <w:color w:val="064462"/>
        </w:rPr>
      </w:pPr>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6"/>
          <w:szCs w:val="16"/>
          <w:rtl w:val="0"/>
        </w:rPr>
        <w:t xml:space="preserve">R Script: </w:t>
      </w:r>
      <w:hyperlink r:id="rId10">
        <w:r w:rsidDel="00000000" w:rsidR="00000000" w:rsidRPr="00000000">
          <w:rPr>
            <w:rFonts w:ascii="Times New Roman" w:cs="Times New Roman" w:eastAsia="Times New Roman" w:hAnsi="Times New Roman"/>
            <w:color w:val="1155cc"/>
            <w:sz w:val="16"/>
            <w:szCs w:val="16"/>
            <w:u w:val="single"/>
            <w:rtl w:val="0"/>
          </w:rPr>
          <w:t xml:space="preserve">https://github.com/jaredneikirk/CGS4144-Genome-Study/blob/main/enrichment-scripts/gprofiler2.R</w:t>
        </w:r>
      </w:hyperlink>
      <w:r w:rsidDel="00000000" w:rsidR="00000000" w:rsidRPr="00000000">
        <w:rPr>
          <w:rtl w:val="0"/>
        </w:rPr>
      </w:r>
    </w:p>
    <w:p w:rsidR="00000000" w:rsidDel="00000000" w:rsidP="00000000" w:rsidRDefault="00000000" w:rsidRPr="00000000" w14:paraId="00000053">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topGo</w:t>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TopGo is a statistical package that provides tools for testing Gene Ontology terms that account for the Gene Ontology graph topography. In this case, a TopGo data object was generated using the significant genes from the dataset while using a Kolmogorov-Smirnov (K-S) test to visually rank the GO terms from the data object.</w:t>
      </w:r>
    </w:p>
    <w:p w:rsidR="00000000" w:rsidDel="00000000" w:rsidP="00000000" w:rsidRDefault="00000000" w:rsidRPr="00000000" w14:paraId="0000005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b w:val="1"/>
          <w:color w:val="064462"/>
          <w:sz w:val="24"/>
          <w:szCs w:val="24"/>
        </w:rPr>
        <w:drawing>
          <wp:inline distB="114300" distT="114300" distL="114300" distR="114300">
            <wp:extent cx="4471988" cy="2764702"/>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71988" cy="276470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clusterProfiler</w:t>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ClusterProfiler implements methods to analyze and visualize functional profiles of genomic coordinates, gene, and gene clusters. </w:t>
      </w:r>
      <w:r w:rsidDel="00000000" w:rsidR="00000000" w:rsidRPr="00000000">
        <w:rPr>
          <w:rtl w:val="0"/>
        </w:rPr>
      </w:r>
    </w:p>
    <w:p w:rsidR="00000000" w:rsidDel="00000000" w:rsidP="00000000" w:rsidRDefault="00000000" w:rsidRPr="00000000" w14:paraId="0000005A">
      <w:pPr>
        <w:spacing w:line="480" w:lineRule="auto"/>
        <w:ind w:left="0" w:firstLine="0"/>
        <w:jc w:val="left"/>
        <w:rPr>
          <w:rFonts w:ascii="Times New Roman" w:cs="Times New Roman" w:eastAsia="Times New Roman" w:hAnsi="Times New Roman"/>
          <w:sz w:val="24"/>
          <w:szCs w:val="24"/>
        </w:rPr>
      </w:pPr>
      <w:r w:rsidDel="00000000" w:rsidR="00000000" w:rsidRPr="00000000">
        <w:rPr>
          <w:b w:val="1"/>
          <w:color w:val="064462"/>
        </w:rPr>
        <w:drawing>
          <wp:inline distB="114300" distT="114300" distL="114300" distR="114300">
            <wp:extent cx="2997448" cy="277541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97448" cy="2775415"/>
                    </a:xfrm>
                    <a:prstGeom prst="rect"/>
                    <a:ln/>
                  </pic:spPr>
                </pic:pic>
              </a:graphicData>
            </a:graphic>
          </wp:inline>
        </w:drawing>
      </w:r>
      <w:r w:rsidDel="00000000" w:rsidR="00000000" w:rsidRPr="00000000">
        <w:rPr>
          <w:b w:val="1"/>
          <w:color w:val="064462"/>
        </w:rPr>
        <w:drawing>
          <wp:inline distB="114300" distT="114300" distL="114300" distR="114300">
            <wp:extent cx="3039064" cy="276589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39064" cy="276589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Clustering Algorithms</w:t>
      </w:r>
    </w:p>
    <w:p w:rsidR="00000000" w:rsidDel="00000000" w:rsidP="00000000" w:rsidRDefault="00000000" w:rsidRPr="00000000" w14:paraId="0000005D">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K-means</w:t>
      </w:r>
    </w:p>
    <w:p w:rsidR="00000000" w:rsidDel="00000000" w:rsidP="00000000" w:rsidRDefault="00000000" w:rsidRPr="00000000" w14:paraId="0000005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understand how differentially expressed genes varied between groups, we first implemented the K-means clustering algorithm with 5000 differentially expressed genes to analyze the expression data. K-means clustering is an unsupervised machine learning method that aims to group similar data points together and discover underlying patterns. To determine the best value for K, we compared the SSE for each K value from 1 to 10. When K equals 2, the SSE will not significantly decrease with each new addition of a cluster. In this case, 143 samples are clustered in group 1, and 6 samples are clustered in group 2. When K equals 3, there are 80 samples in group 1, 66 samples in group 2, and 3 samples in group 3. </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0775" cy="2765456"/>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940775" cy="276545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PAM clustering</w:t>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K-means clustering, a Silhouette analysis was performed on the 5000 most variable genes in the dataset, leading to an optimal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value of 3 for the PAM clustering algorithm. PAM is a clustering algorithm that partitions dimensional data around medoids, intending to find a sequence of medoids that are centrally located in the clusters.</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8886" cy="241153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908886" cy="24115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ConsensusClusterPlus</w:t>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verify the results of K-means and PAM clustering, ConsensusClusterPlus was used to verify that the patterns underlying the data were not overly dependent on any one specific algorithm. ConsensusClusterPlus is also an unsupervised machine learning method that aims to group similar data points together and discover underlying patterns. When K equals 3, there are 75 samples in group 1, 70 samples in group 2, and 4 samples in group 3.</w:t>
      </w:r>
    </w:p>
    <w:p w:rsidR="00000000" w:rsidDel="00000000" w:rsidP="00000000" w:rsidRDefault="00000000" w:rsidRPr="00000000" w14:paraId="0000006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90850" cy="299085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908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Fonts w:ascii="Times New Roman" w:cs="Times New Roman" w:eastAsia="Times New Roman" w:hAnsi="Times New Roman"/>
          <w:b w:val="1"/>
          <w:color w:val="2e75b5"/>
          <w:sz w:val="24"/>
          <w:szCs w:val="24"/>
          <w:rtl w:val="0"/>
        </w:rPr>
        <w:t xml:space="preserve">Statistics</w:t>
      </w:r>
      <w:r w:rsidDel="00000000" w:rsidR="00000000" w:rsidRPr="00000000">
        <w:rPr>
          <w:rtl w:val="0"/>
        </w:rPr>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p (adj)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k-means vs. PAM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8.83 x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2.94 x 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k-means vs. ConsensusClusterPlus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7.16 x 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PAM vs. ConsensusClusterPlus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4.43 x 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1.48 x 10-17</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720"/>
        <w:rPr>
          <w:rFonts w:ascii="Arial" w:cs="Arial" w:eastAsia="Arial" w:hAnsi="Arial"/>
          <w:b w:val="1"/>
          <w:color w:val="1c1d1e"/>
          <w:sz w:val="46"/>
          <w:szCs w:val="46"/>
        </w:rPr>
      </w:pPr>
      <w:r w:rsidDel="00000000" w:rsidR="00000000" w:rsidRPr="00000000">
        <w:rPr>
          <w:rFonts w:ascii="Times New Roman" w:cs="Times New Roman" w:eastAsia="Times New Roman" w:hAnsi="Times New Roman"/>
          <w:sz w:val="24"/>
          <w:szCs w:val="24"/>
          <w:rtl w:val="0"/>
        </w:rPr>
        <w:t xml:space="preserve">Upon in-depth analysis of the dataset, certain limitations were identified such as a small sample size of the symptomatic group when normalizing times for when participants were tested. Additionally, the dataset had inconsistent formatting where some genes were represented multiple times, so duplicates had to be removed and further decreased the total size of the dataset. Potentially because of these limitations, the results of our methods were largely inconclusive in regards to whether there were any consistent significant differences between the features of symptomatic and asymptomatic participants of the study. Certain methods may have revealed specific trends of clustering larger groups of genes of those that were symptomatic apart from asymptomatic individuals, but when comparing the results between the methods and trying to form a larger picture, the results lack consistency with the clustering of specific participants. Despite these results, other researchers have explored similar data and have had several interesting results, such as discovering significant differences in the allele frequency of the HLA genotype (</w:t>
      </w:r>
      <w:r w:rsidDel="00000000" w:rsidR="00000000" w:rsidRPr="00000000">
        <w:rPr>
          <w:rFonts w:ascii="Times New Roman" w:cs="Times New Roman" w:eastAsia="Times New Roman" w:hAnsi="Times New Roman"/>
          <w:i w:val="1"/>
          <w:sz w:val="24"/>
          <w:szCs w:val="24"/>
          <w:rtl w:val="0"/>
        </w:rPr>
        <w:t xml:space="preserve">The influence of HLA</w:t>
      </w:r>
      <w:r w:rsidDel="00000000" w:rsidR="00000000" w:rsidRPr="00000000">
        <w:rPr>
          <w:rFonts w:ascii="Times New Roman" w:cs="Times New Roman" w:eastAsia="Times New Roman" w:hAnsi="Times New Roman"/>
          <w:sz w:val="24"/>
          <w:szCs w:val="24"/>
          <w:rtl w:val="0"/>
        </w:rPr>
        <w:t xml:space="preserve">…, 2022)</w:t>
      </w:r>
      <w:r w:rsidDel="00000000" w:rsidR="00000000" w:rsidRPr="00000000">
        <w:rPr>
          <w:rtl w:val="0"/>
        </w:rPr>
      </w:r>
    </w:p>
    <w:p w:rsidR="00000000" w:rsidDel="00000000" w:rsidP="00000000" w:rsidRDefault="00000000" w:rsidRPr="00000000" w14:paraId="0000007E">
      <w:pPr>
        <w:spacing w:line="480" w:lineRule="auto"/>
        <w:ind w:left="0" w:firstLine="720"/>
        <w:rPr>
          <w:rFonts w:ascii="Arial" w:cs="Arial" w:eastAsia="Arial" w:hAnsi="Arial"/>
          <w:color w:val="1c1d1e"/>
          <w:sz w:val="24"/>
          <w:szCs w:val="24"/>
          <w:highlight w:val="white"/>
        </w:rPr>
      </w:pPr>
      <w:r w:rsidDel="00000000" w:rsidR="00000000" w:rsidRPr="00000000">
        <w:rPr>
          <w:rtl w:val="0"/>
        </w:rPr>
      </w:r>
    </w:p>
    <w:p w:rsidR="00000000" w:rsidDel="00000000" w:rsidP="00000000" w:rsidRDefault="00000000" w:rsidRPr="00000000" w14:paraId="0000007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480" w:lineRule="auto"/>
        <w:ind w:left="0" w:firstLine="720"/>
        <w:rPr>
          <w:rFonts w:ascii="Times New Roman" w:cs="Times New Roman" w:eastAsia="Times New Roman" w:hAnsi="Times New Roman"/>
          <w:sz w:val="24"/>
          <w:szCs w:val="24"/>
        </w:rPr>
      </w:pPr>
      <w:r w:rsidDel="00000000" w:rsidR="00000000" w:rsidRPr="00000000">
        <w:rPr>
          <w:rtl w:val="0"/>
        </w:rPr>
        <w:t xml:space="preserve">The data collected using </w:t>
      </w:r>
      <w:r w:rsidDel="00000000" w:rsidR="00000000" w:rsidRPr="00000000">
        <w:rPr>
          <w:rFonts w:ascii="Times New Roman" w:cs="Times New Roman" w:eastAsia="Times New Roman" w:hAnsi="Times New Roman"/>
          <w:sz w:val="24"/>
          <w:szCs w:val="24"/>
          <w:rtl w:val="0"/>
        </w:rPr>
        <w:t xml:space="preserve">RNA-seq data from blood from participants of the COVID-19 Health Action Response for Marines study was insufficient for identifying what features from asymptomatic participants are different from participants with symptoms. The results of our methods were largely inconclusive in regards to any consistent significant differences between symptomatic and asymptomatic participants of the study. Based on these findings, we accept our null hypothesis that no statistical evidence exists within the CHARM study that shows a significant relationship between </w:t>
      </w:r>
      <w:r w:rsidDel="00000000" w:rsidR="00000000" w:rsidRPr="00000000">
        <w:rPr>
          <w:rFonts w:ascii="Times New Roman" w:cs="Times New Roman" w:eastAsia="Times New Roman" w:hAnsi="Times New Roman"/>
          <w:sz w:val="24"/>
          <w:szCs w:val="24"/>
          <w:rtl w:val="0"/>
        </w:rPr>
        <w:t xml:space="preserve">certain</w:t>
      </w:r>
      <w:r w:rsidDel="00000000" w:rsidR="00000000" w:rsidRPr="00000000">
        <w:rPr>
          <w:rFonts w:ascii="Times New Roman" w:cs="Times New Roman" w:eastAsia="Times New Roman" w:hAnsi="Times New Roman"/>
          <w:sz w:val="24"/>
          <w:szCs w:val="24"/>
          <w:rtl w:val="0"/>
        </w:rPr>
        <w:t xml:space="preserve"> distinct features and symptomatic patients. Further research would be warranted to explore the genetic composition of patients who only exhibit extremely mild symptoms (Soares-Schanoski, 2022).</w:t>
      </w:r>
    </w:p>
    <w:p w:rsidR="00000000" w:rsidDel="00000000" w:rsidP="00000000" w:rsidRDefault="00000000" w:rsidRPr="00000000" w14:paraId="0000008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ethics into consideration, all patient data was collected anonymously. Patient sex and age was not recorded directly in the dataset. The relationship between asymptomatic COVID patients and sex has been difficult to study</w:t>
      </w:r>
      <w:r w:rsidDel="00000000" w:rsidR="00000000" w:rsidRPr="00000000">
        <w:rPr>
          <w:rFonts w:ascii="Times New Roman" w:cs="Times New Roman" w:eastAsia="Times New Roman" w:hAnsi="Times New Roman"/>
          <w:sz w:val="24"/>
          <w:szCs w:val="24"/>
          <w:rtl w:val="0"/>
        </w:rPr>
        <w:t xml:space="preserve"> due to the many confounding variables, including co-morbidities, differences in environment, fitness etc. (Sealfon, 2022). </w:t>
      </w:r>
      <w:r w:rsidDel="00000000" w:rsidR="00000000" w:rsidRPr="00000000">
        <w:rPr>
          <w:rFonts w:ascii="Times New Roman" w:cs="Times New Roman" w:eastAsia="Times New Roman" w:hAnsi="Times New Roman"/>
          <w:sz w:val="24"/>
          <w:szCs w:val="24"/>
          <w:rtl w:val="0"/>
        </w:rPr>
        <w:t xml:space="preserve">If we had to redo this project again, we would probably do more in depth research on a better dataset that would be more applicable to research on our hypothesis and offer a significantly larger sample size for both groups.</w:t>
      </w:r>
    </w:p>
    <w:p w:rsidR="00000000" w:rsidDel="00000000" w:rsidP="00000000" w:rsidRDefault="00000000" w:rsidRPr="00000000" w14:paraId="0000008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96">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ASYMPTOMATIC SARS-COV-2 infection: A systematic review and Meta ...</w:t>
      </w:r>
      <w:r w:rsidDel="00000000" w:rsidR="00000000" w:rsidRPr="00000000">
        <w:rPr>
          <w:rFonts w:ascii="Times New Roman" w:cs="Times New Roman" w:eastAsia="Times New Roman" w:hAnsi="Times New Roman"/>
          <w:sz w:val="24"/>
          <w:szCs w:val="24"/>
          <w:rtl w:val="0"/>
        </w:rPr>
        <w:t xml:space="preserve"> (n.d.). Retrieved November 23, 2022, from </w:t>
      </w:r>
      <w:hyperlink r:id="rId17">
        <w:r w:rsidDel="00000000" w:rsidR="00000000" w:rsidRPr="00000000">
          <w:rPr>
            <w:rFonts w:ascii="Times New Roman" w:cs="Times New Roman" w:eastAsia="Times New Roman" w:hAnsi="Times New Roman"/>
            <w:color w:val="1155cc"/>
            <w:sz w:val="24"/>
            <w:szCs w:val="24"/>
            <w:u w:val="single"/>
            <w:rtl w:val="0"/>
          </w:rPr>
          <w:t xml:space="preserve">https://www.pnas.org/doi/10.1073/pnas.2109229118</w:t>
        </w:r>
      </w:hyperlink>
      <w:r w:rsidDel="00000000" w:rsidR="00000000" w:rsidRPr="00000000">
        <w:rPr>
          <w:rtl w:val="0"/>
        </w:rPr>
      </w:r>
    </w:p>
    <w:p w:rsidR="00000000" w:rsidDel="00000000" w:rsidP="00000000" w:rsidRDefault="00000000" w:rsidRPr="00000000" w14:paraId="00000097">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current status of gene expression profilings ... - wiley online library</w:t>
      </w:r>
      <w:r w:rsidDel="00000000" w:rsidR="00000000" w:rsidRPr="00000000">
        <w:rPr>
          <w:rFonts w:ascii="Times New Roman" w:cs="Times New Roman" w:eastAsia="Times New Roman" w:hAnsi="Times New Roman"/>
          <w:sz w:val="24"/>
          <w:szCs w:val="24"/>
          <w:rtl w:val="0"/>
        </w:rPr>
        <w:t xml:space="preserve">. (n.d.). Retrieved November 23, 2022, from </w:t>
      </w:r>
      <w:hyperlink r:id="rId18">
        <w:r w:rsidDel="00000000" w:rsidR="00000000" w:rsidRPr="00000000">
          <w:rPr>
            <w:rFonts w:ascii="Times New Roman" w:cs="Times New Roman" w:eastAsia="Times New Roman" w:hAnsi="Times New Roman"/>
            <w:color w:val="1155cc"/>
            <w:sz w:val="24"/>
            <w:szCs w:val="24"/>
            <w:u w:val="single"/>
            <w:rtl w:val="0"/>
          </w:rPr>
          <w:t xml:space="preserve">https://onlinelibrary.wiley.com/doi/10.1002/ctd2.104</w:t>
        </w:r>
      </w:hyperlink>
      <w:r w:rsidDel="00000000" w:rsidR="00000000" w:rsidRPr="00000000">
        <w:rPr>
          <w:rtl w:val="0"/>
        </w:rPr>
      </w:r>
    </w:p>
    <w:p w:rsidR="00000000" w:rsidDel="00000000" w:rsidP="00000000" w:rsidRDefault="00000000" w:rsidRPr="00000000" w14:paraId="00000098">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W., Lv, J., Pang, Y., &amp; Li, L.-M. (2021, December 2). </w:t>
      </w:r>
      <w:r w:rsidDel="00000000" w:rsidR="00000000" w:rsidRPr="00000000">
        <w:rPr>
          <w:rFonts w:ascii="Times New Roman" w:cs="Times New Roman" w:eastAsia="Times New Roman" w:hAnsi="Times New Roman"/>
          <w:i w:val="1"/>
          <w:sz w:val="24"/>
          <w:szCs w:val="24"/>
          <w:rtl w:val="0"/>
        </w:rPr>
        <w:t xml:space="preserve">Role of asymptomatic and pre-symptomatic infections in covid-19 pandemic</w:t>
      </w:r>
      <w:r w:rsidDel="00000000" w:rsidR="00000000" w:rsidRPr="00000000">
        <w:rPr>
          <w:rFonts w:ascii="Times New Roman" w:cs="Times New Roman" w:eastAsia="Times New Roman" w:hAnsi="Times New Roman"/>
          <w:sz w:val="24"/>
          <w:szCs w:val="24"/>
          <w:rtl w:val="0"/>
        </w:rPr>
        <w:t xml:space="preserve">. The BMJ. Retrieved November 22, 2022, from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https://www.bmj.com/content/375/bmj.n2342</w:t>
        </w:r>
      </w:hyperlink>
      <w:r w:rsidDel="00000000" w:rsidR="00000000" w:rsidRPr="00000000">
        <w:rPr>
          <w:rtl w:val="0"/>
        </w:rPr>
      </w:r>
    </w:p>
    <w:p w:rsidR="00000000" w:rsidDel="00000000" w:rsidP="00000000" w:rsidRDefault="00000000" w:rsidRPr="00000000" w14:paraId="00000099">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influence of HLA genotype on the severity of ... - Wiley Online Library</w:t>
      </w:r>
      <w:r w:rsidDel="00000000" w:rsidR="00000000" w:rsidRPr="00000000">
        <w:rPr>
          <w:rFonts w:ascii="Times New Roman" w:cs="Times New Roman" w:eastAsia="Times New Roman" w:hAnsi="Times New Roman"/>
          <w:sz w:val="24"/>
          <w:szCs w:val="24"/>
          <w:rtl w:val="0"/>
        </w:rPr>
        <w:t xml:space="preserve">. (n.d.). Retrieved November 23, 2022, from </w:t>
      </w:r>
      <w:hyperlink r:id="rId20">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https://onlinelibrary.wiley.com/doi/full/10.1111/tan.14284</w:t>
        </w:r>
      </w:hyperlink>
      <w:r w:rsidDel="00000000" w:rsidR="00000000" w:rsidRPr="00000000">
        <w:rPr>
          <w:rtl w:val="0"/>
        </w:rPr>
      </w:r>
    </w:p>
    <w:p w:rsidR="00000000" w:rsidDel="00000000" w:rsidP="00000000" w:rsidRDefault="00000000" w:rsidRPr="00000000" w14:paraId="0000009A">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Letizia, A. G., Al., E., Author AffiliationsFrom the Naval Medical Research Center, Michael, N. L., Others, M. R. K. and, Others, H. C. and, Others, M. L. O. D. and, Others, A. W. T. and, T. L. Cowger and Others, Y. Feng and F. Wang, &amp; Mikuls, T. R. (2020, December 17). </w:t>
      </w:r>
      <w:r w:rsidDel="00000000" w:rsidR="00000000" w:rsidRPr="00000000">
        <w:rPr>
          <w:rFonts w:ascii="Times New Roman" w:cs="Times New Roman" w:eastAsia="Times New Roman" w:hAnsi="Times New Roman"/>
          <w:i w:val="1"/>
          <w:sz w:val="24"/>
          <w:szCs w:val="24"/>
          <w:rtl w:val="0"/>
        </w:rPr>
        <w:t xml:space="preserve">SARS-COV-2 transmission among marine recruits during quarantine: Nejm</w:t>
      </w:r>
      <w:r w:rsidDel="00000000" w:rsidR="00000000" w:rsidRPr="00000000">
        <w:rPr>
          <w:rFonts w:ascii="Times New Roman" w:cs="Times New Roman" w:eastAsia="Times New Roman" w:hAnsi="Times New Roman"/>
          <w:sz w:val="24"/>
          <w:szCs w:val="24"/>
          <w:rtl w:val="0"/>
        </w:rPr>
        <w:t xml:space="preserve">. New England Journal of Medicine. Retrieved November 22, 2022,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https://www.nejm.org/doi/full/10.1056/nejmoa2029717</w:t>
        </w:r>
      </w:hyperlink>
      <w:r w:rsidDel="00000000" w:rsidR="00000000" w:rsidRPr="00000000">
        <w:rPr>
          <w:rtl w:val="0"/>
        </w:rPr>
      </w:r>
    </w:p>
    <w:p w:rsidR="00000000" w:rsidDel="00000000" w:rsidP="00000000" w:rsidRDefault="00000000" w:rsidRPr="00000000" w14:paraId="0000009B">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Letizia, A. G., Arnold, C. E., Adhikari, B. N., Voegtly, L. J., Glang, L., Rice, G. K., Goforth, C. W., Schilling, M. A., Weir, D. L., Malagon, F., Ramos, I., Vangeti, S., Gonzalez-Reiche, A. S., Cer, R. Z., Sealfon, S. C., van Bakel, H., &amp; Bishop-Lilly, K. A. (2021, December 8). </w:t>
      </w:r>
      <w:r w:rsidDel="00000000" w:rsidR="00000000" w:rsidRPr="00000000">
        <w:rPr>
          <w:rFonts w:ascii="Times New Roman" w:cs="Times New Roman" w:eastAsia="Times New Roman" w:hAnsi="Times New Roman"/>
          <w:i w:val="1"/>
          <w:sz w:val="24"/>
          <w:szCs w:val="24"/>
          <w:rtl w:val="0"/>
        </w:rPr>
        <w:t xml:space="preserve">Immunological and genetic investigation of SARS-COV-2 reinfection in an otherwise healthy, Young Marine recruit</w:t>
      </w:r>
      <w:r w:rsidDel="00000000" w:rsidR="00000000" w:rsidRPr="00000000">
        <w:rPr>
          <w:rFonts w:ascii="Times New Roman" w:cs="Times New Roman" w:eastAsia="Times New Roman" w:hAnsi="Times New Roman"/>
          <w:sz w:val="24"/>
          <w:szCs w:val="24"/>
          <w:rtl w:val="0"/>
        </w:rPr>
        <w:t xml:space="preserve">. MDPI. Retrieved November 22, 2022,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https://www.mdpi.com/2076-0817/10/12/1589</w:t>
        </w:r>
      </w:hyperlink>
      <w:r w:rsidDel="00000000" w:rsidR="00000000" w:rsidRPr="00000000">
        <w:rPr>
          <w:rtl w:val="0"/>
        </w:rPr>
      </w:r>
    </w:p>
    <w:p w:rsidR="00000000" w:rsidDel="00000000" w:rsidP="00000000" w:rsidRDefault="00000000" w:rsidRPr="00000000" w14:paraId="0000009C">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Sealfon, S. (2022, November 9). </w:t>
      </w:r>
      <w:r w:rsidDel="00000000" w:rsidR="00000000" w:rsidRPr="00000000">
        <w:rPr>
          <w:rFonts w:ascii="Times New Roman" w:cs="Times New Roman" w:eastAsia="Times New Roman" w:hAnsi="Times New Roman"/>
          <w:i w:val="1"/>
          <w:sz w:val="24"/>
          <w:szCs w:val="24"/>
          <w:rtl w:val="0"/>
        </w:rPr>
        <w:t xml:space="preserve">Study explores sex differences in the effects of SARS-COV-2 in young adults</w:t>
      </w:r>
      <w:r w:rsidDel="00000000" w:rsidR="00000000" w:rsidRPr="00000000">
        <w:rPr>
          <w:rFonts w:ascii="Times New Roman" w:cs="Times New Roman" w:eastAsia="Times New Roman" w:hAnsi="Times New Roman"/>
          <w:sz w:val="24"/>
          <w:szCs w:val="24"/>
          <w:rtl w:val="0"/>
        </w:rPr>
        <w:t xml:space="preserve">. Mount Sinai Health System. Retrieved November 22, 2022, from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https://www.mountsinai.org/about/newsroom/2022/study-explores-sex-differences-in-the-effects-of-covid-in-young-adults</w:t>
        </w:r>
      </w:hyperlink>
      <w:r w:rsidDel="00000000" w:rsidR="00000000" w:rsidRPr="00000000">
        <w:rPr>
          <w:rtl w:val="0"/>
        </w:rPr>
      </w:r>
    </w:p>
    <w:p w:rsidR="00000000" w:rsidDel="00000000" w:rsidP="00000000" w:rsidRDefault="00000000" w:rsidRPr="00000000" w14:paraId="0000009D">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Sedegah, M., Porter, C., Hollingdale, M. R., Ganeshan, H., Huang, J., Goforth, C. W., Belmonte, M., Belmonte, A., Weir, D. L., Lizewski, R. A., Lizewski, S. E., Sealfon, S. C., Jani, V., Cheng, Y., Inoue, S., Velasco, R., Villasante, E., Sun, P., &amp; Letizia, A. G. (n.d.). </w:t>
      </w:r>
      <w:r w:rsidDel="00000000" w:rsidR="00000000" w:rsidRPr="00000000">
        <w:rPr>
          <w:rFonts w:ascii="Times New Roman" w:cs="Times New Roman" w:eastAsia="Times New Roman" w:hAnsi="Times New Roman"/>
          <w:i w:val="1"/>
          <w:sz w:val="24"/>
          <w:szCs w:val="24"/>
          <w:rtl w:val="0"/>
        </w:rPr>
        <w:t xml:space="preserve">Charm: Covid-19 health action response for marines–association of antigen-specific Interferon-gamma and IL2 responses with asymptomatic and symptomatic infections after a positive qpcr SARS-COV-2 test</w:t>
      </w:r>
      <w:r w:rsidDel="00000000" w:rsidR="00000000" w:rsidRPr="00000000">
        <w:rPr>
          <w:rFonts w:ascii="Times New Roman" w:cs="Times New Roman" w:eastAsia="Times New Roman" w:hAnsi="Times New Roman"/>
          <w:sz w:val="24"/>
          <w:szCs w:val="24"/>
          <w:rtl w:val="0"/>
        </w:rPr>
        <w:t xml:space="preserve">. PLOS ONE. Retrieved November 22, 2022, from </w:t>
      </w:r>
      <w:hyperlink r:id="rId24">
        <w:r w:rsidDel="00000000" w:rsidR="00000000" w:rsidRPr="00000000">
          <w:rPr>
            <w:rFonts w:ascii="Times New Roman" w:cs="Times New Roman" w:eastAsia="Times New Roman" w:hAnsi="Times New Roman"/>
            <w:color w:val="1155cc"/>
            <w:sz w:val="24"/>
            <w:szCs w:val="24"/>
            <w:u w:val="single"/>
            <w:rtl w:val="0"/>
          </w:rPr>
          <w:t xml:space="preserve">https://journals.plos.org/plosone/article?id=10.1371%2Fjournal.pone.0266691</w:t>
        </w:r>
      </w:hyperlink>
      <w:r w:rsidDel="00000000" w:rsidR="00000000" w:rsidRPr="00000000">
        <w:rPr>
          <w:rtl w:val="0"/>
        </w:rPr>
      </w:r>
    </w:p>
    <w:p w:rsidR="00000000" w:rsidDel="00000000" w:rsidP="00000000" w:rsidRDefault="00000000" w:rsidRPr="00000000" w14:paraId="0000009E">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Soares-Schanoski, A., Sauerwald, N., Goforth, C. W., Periasamy, S., Weir, D. L., Lizewski, S., Lizewski, R., Ge, Y., Kuzmina, N. A., Nair, V. D., Vangeti, S., Marjanovic, N., Cappuccio, A., Cheng, W. S., Mofsowitz, S., Miller, C. M., Yu, X. B., George, M.-C., Zaslavsky, E., … Ramos, I. (1AD, January 1). </w:t>
      </w:r>
      <w:r w:rsidDel="00000000" w:rsidR="00000000" w:rsidRPr="00000000">
        <w:rPr>
          <w:rFonts w:ascii="Times New Roman" w:cs="Times New Roman" w:eastAsia="Times New Roman" w:hAnsi="Times New Roman"/>
          <w:i w:val="1"/>
          <w:sz w:val="24"/>
          <w:szCs w:val="24"/>
          <w:rtl w:val="0"/>
        </w:rPr>
        <w:t xml:space="preserve">ASYMPTOMATIC SARS-COV-2 infection is associated with higher levels of serum IL-17C, matrix metalloproteinase 10 and fibroblast growth factors than mild symptomatic COVID-19</w:t>
      </w:r>
      <w:r w:rsidDel="00000000" w:rsidR="00000000" w:rsidRPr="00000000">
        <w:rPr>
          <w:rFonts w:ascii="Times New Roman" w:cs="Times New Roman" w:eastAsia="Times New Roman" w:hAnsi="Times New Roman"/>
          <w:sz w:val="24"/>
          <w:szCs w:val="24"/>
          <w:rtl w:val="0"/>
        </w:rPr>
        <w:t xml:space="preserve">. Frontiers. Retrieved November 22, 2022, from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https://www.frontiersin.org/articles/10.3389/fimmu.2022.821730/full</w:t>
        </w:r>
      </w:hyperlink>
      <w:r w:rsidDel="00000000" w:rsidR="00000000" w:rsidRPr="00000000">
        <w:rPr>
          <w:rtl w:val="0"/>
        </w:rPr>
      </w:r>
    </w:p>
    <w:p w:rsidR="00000000" w:rsidDel="00000000" w:rsidP="00000000" w:rsidRDefault="00000000" w:rsidRPr="00000000" w14:paraId="0000009F">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R., Gui, X., &amp; Xiong, Y. (2020, May 1). </w:t>
      </w:r>
      <w:r w:rsidDel="00000000" w:rsidR="00000000" w:rsidRPr="00000000">
        <w:rPr>
          <w:rFonts w:ascii="Times New Roman" w:cs="Times New Roman" w:eastAsia="Times New Roman" w:hAnsi="Times New Roman"/>
          <w:i w:val="1"/>
          <w:sz w:val="24"/>
          <w:szCs w:val="24"/>
          <w:rtl w:val="0"/>
        </w:rPr>
        <w:t xml:space="preserve">Comparison of clinical characteristics of patients with asymptomatic vs symptomatic coronavirus disease 2019 in Wuhan, China</w:t>
      </w:r>
      <w:r w:rsidDel="00000000" w:rsidR="00000000" w:rsidRPr="00000000">
        <w:rPr>
          <w:rFonts w:ascii="Times New Roman" w:cs="Times New Roman" w:eastAsia="Times New Roman" w:hAnsi="Times New Roman"/>
          <w:sz w:val="24"/>
          <w:szCs w:val="24"/>
          <w:rtl w:val="0"/>
        </w:rPr>
        <w:t xml:space="preserve">. JAMA network open. Retrieved November 22, 2022,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https://www.ncbi.nlm.nih.gov/pmc/articles/PMC7254178/</w:t>
        </w:r>
      </w:hyperlink>
      <w:r w:rsidDel="00000000" w:rsidR="00000000" w:rsidRPr="00000000">
        <w:rPr>
          <w:rtl w:val="0"/>
        </w:rPr>
      </w:r>
    </w:p>
    <w:sectPr>
      <w:headerReference r:id="rId27" w:type="default"/>
      <w:headerReference r:id="rId28" w:type="first"/>
      <w:footerReference r:id="rId29"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rtl w:val="0"/>
      </w:rPr>
      <w:tab/>
      <w:tab/>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60" w:lineRule="auto"/>
    </w:pPr>
    <w:rPr>
      <w:b w:val="1"/>
      <w:i w:val="1"/>
    </w:rPr>
  </w:style>
  <w:style w:type="paragraph" w:styleId="Heading2">
    <w:name w:val="heading 2"/>
    <w:basedOn w:val="Normal"/>
    <w:next w:val="Normal"/>
    <w:pPr>
      <w:keepNext w:val="1"/>
      <w:keepLines w:val="1"/>
      <w:spacing w:before="40" w:lineRule="auto"/>
    </w:pPr>
    <w:rPr>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nlinelibrary.wiley.com/doi/full/10.1111/tan.14284" TargetMode="External"/><Relationship Id="rId22" Type="http://schemas.openxmlformats.org/officeDocument/2006/relationships/hyperlink" Target="https://www.mdpi.com/2076-0817/10/12/1589" TargetMode="External"/><Relationship Id="rId21" Type="http://schemas.openxmlformats.org/officeDocument/2006/relationships/hyperlink" Target="https://www.nejm.org/doi/full/10.1056/nejmoa2029717" TargetMode="External"/><Relationship Id="rId24" Type="http://schemas.openxmlformats.org/officeDocument/2006/relationships/hyperlink" Target="https://journals.plos.org/plosone/article?id=10.1371%2Fjournal.pone.0266691" TargetMode="External"/><Relationship Id="rId23" Type="http://schemas.openxmlformats.org/officeDocument/2006/relationships/hyperlink" Target="https://www.mountsinai.org/about/newsroom/2022/study-explores-sex-differences-in-the-effects-of-covid-in-young-adul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ncbi.nlm.nih.gov/pmc/articles/PMC7254178/" TargetMode="External"/><Relationship Id="rId25" Type="http://schemas.openxmlformats.org/officeDocument/2006/relationships/hyperlink" Target="https://www.frontiersin.org/articles/10.3389/fimmu.2022.821730/full"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jaredneikirk/CGS4144-Genome-Study" TargetMode="External"/><Relationship Id="rId29" Type="http://schemas.openxmlformats.org/officeDocument/2006/relationships/footer" Target="footer1.xml"/><Relationship Id="rId7" Type="http://schemas.openxmlformats.org/officeDocument/2006/relationships/hyperlink" Target="https://www.ncbi.nlm.nih.gov/geo/query/acc.cgi?acc=GSE198449" TargetMode="External"/><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hyperlink" Target="https://github.com/jaredneikirk/CGS4144-Genome-Study/blob/main/enrichment-scripts/gprofiler2.R" TargetMode="External"/><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hyperlink" Target="https://www.pnas.org/doi/10.1073/pnas.2109229118" TargetMode="External"/><Relationship Id="rId16" Type="http://schemas.openxmlformats.org/officeDocument/2006/relationships/image" Target="media/image8.png"/><Relationship Id="rId19" Type="http://schemas.openxmlformats.org/officeDocument/2006/relationships/hyperlink" Target="https://www.bmj.com/content/375/bmj.n2342" TargetMode="External"/><Relationship Id="rId18" Type="http://schemas.openxmlformats.org/officeDocument/2006/relationships/hyperlink" Target="https://onlinelibrary.wiley.com/doi/10.1002/ctd2.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