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C2E3C"/>
        </w:rPr>
        <w:t>ORN SOC — July 2026 Leadership Brief</w:t>
      </w:r>
    </w:p>
    <w:p>
      <w:pPr>
        <w:jc w:val="center"/>
      </w:pPr>
      <w:r>
        <w:rPr>
          <w:i/>
          <w:color w:val="6B7A8D"/>
          <w:sz w:val="20"/>
        </w:rPr>
        <w:t>Monthly Executive Summary with Links to Interactive Brief</w:t>
      </w:r>
    </w:p>
    <w:p/>
    <w:p>
      <w:pPr>
        <w:pStyle w:val="Heading1"/>
      </w:pPr>
      <w:r>
        <w:t>1. Objective</w:t>
      </w:r>
    </w:p>
    <w:p>
      <w:pPr>
        <w:spacing w:after="120"/>
      </w:pPr>
      <w:r>
        <w:t>Enable scalable, systematic production of ordinance-ready names through a unified, end-to-end pipeline, positioning the organization toward sustainable ORN supply.</w:t>
      </w:r>
    </w:p>
    <w:p>
      <w:r>
        <w:rPr>
          <w:b/>
        </w:rPr>
        <w:t xml:space="preserve">Current Supply: </w:t>
      </w:r>
      <w:r>
        <w:t xml:space="preserve">74.1M* </w:t>
      </w:r>
      <w:r>
        <w:rPr>
          <w:i/>
          <w:sz w:val="20"/>
        </w:rPr>
        <w:t>(June data – to be updated with July results)</w:t>
      </w:r>
    </w:p>
    <w:p/>
    <w:p>
      <w:pPr>
        <w:pStyle w:val="Heading1"/>
      </w:pPr>
      <w:r>
        <w:t>2. Executive Summary</w:t>
      </w:r>
    </w:p>
    <w:p>
      <w:r>
        <w:rPr>
          <w:b/>
          <w:sz w:val="24"/>
        </w:rPr>
        <w:t>Status: 🟡 Yellow</w:t>
        <w:br/>
      </w:r>
      <w:r>
        <w:t>We are producing ORNs and making strong pipeline progress. As shown in Table 1, our updated measurements show 10.4M YTD (33% of goal) with our supply now 1.5M above our starting point (74.1M). While measurement systems are still improving, the trajectory is positive and our automation effort is on track for Q3 delivery.</w:t>
      </w:r>
    </w:p>
    <w:p/>
    <w:p>
      <w:pPr>
        <w:pStyle w:val="Heading2"/>
      </w:pPr>
      <w:r>
        <w:t>Table 1. 2026 ORN Supply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E5D6"/>
          </w:tcPr>
          <w:p>
            <w:r>
              <w:rPr>
                <w:b/>
                <w:sz w:val="20"/>
              </w:rPr>
            </w:r>
          </w:p>
        </w:tc>
        <w:tc>
          <w:tcPr>
            <w:tcW w:type="dxa" w:w="1728"/>
            <w:shd w:fill="D3E5D6"/>
          </w:tcPr>
          <w:p>
            <w:r>
              <w:rPr>
                <w:b/>
                <w:sz w:val="20"/>
              </w:rPr>
              <w:t>Start</w:t>
            </w:r>
          </w:p>
        </w:tc>
        <w:tc>
          <w:tcPr>
            <w:tcW w:type="dxa" w:w="1728"/>
            <w:shd w:fill="D3E5D6"/>
          </w:tcPr>
          <w:p>
            <w:r>
              <w:rPr>
                <w:b/>
                <w:sz w:val="20"/>
              </w:rPr>
              <w:t>Add</w:t>
            </w:r>
          </w:p>
        </w:tc>
        <w:tc>
          <w:tcPr>
            <w:tcW w:type="dxa" w:w="1728"/>
            <w:shd w:fill="D3E5D6"/>
          </w:tcPr>
          <w:p>
            <w:r>
              <w:rPr>
                <w:b/>
                <w:sz w:val="20"/>
              </w:rPr>
              <w:t>Subtract</w:t>
            </w:r>
          </w:p>
        </w:tc>
        <w:tc>
          <w:tcPr>
            <w:tcW w:type="dxa" w:w="1728"/>
            <w:shd w:fill="D3E5D6"/>
          </w:tcPr>
          <w:p>
            <w:r>
              <w:rPr>
                <w:b/>
                <w:sz w:val="20"/>
              </w:rPr>
              <w:t>Result</w:t>
            </w:r>
          </w:p>
        </w:tc>
      </w:tr>
      <w:tr>
        <w:tc>
          <w:tcPr>
            <w:tcW w:type="dxa" w:w="1728"/>
          </w:tcPr>
          <w:p>
            <w:r>
              <w:rPr>
                <w:b/>
              </w:rPr>
              <w:t>2026 Goal</w:t>
            </w:r>
          </w:p>
        </w:tc>
        <w:tc>
          <w:tcPr>
            <w:tcW w:type="dxa" w:w="1728"/>
          </w:tcPr>
          <w:p>
            <w:r>
              <w:t>72.6M</w:t>
              <w:br/>
              <w:t>2025 ending supply</w:t>
            </w:r>
          </w:p>
        </w:tc>
        <w:tc>
          <w:tcPr>
            <w:tcW w:type="dxa" w:w="1728"/>
            <w:shd w:fill="E6F1FA"/>
          </w:tcPr>
          <w:p>
            <w:r>
              <w:t>32M</w:t>
              <w:br/>
              <w:t>New ORNs to add</w:t>
            </w:r>
          </w:p>
        </w:tc>
        <w:tc>
          <w:tcPr>
            <w:tcW w:type="dxa" w:w="1728"/>
            <w:shd w:fill="FDECEA"/>
          </w:tcPr>
          <w:p>
            <w:r>
              <w:t>22M</w:t>
              <w:br/>
              <w:t>Ordinances projected</w:t>
            </w:r>
          </w:p>
        </w:tc>
        <w:tc>
          <w:tcPr>
            <w:tcW w:type="dxa" w:w="1728"/>
            <w:shd w:fill="EBF4EB"/>
          </w:tcPr>
          <w:p>
            <w:r>
              <w:rPr>
                <w:b/>
              </w:rPr>
              <w:t>82M</w:t>
              <w:br/>
              <w:t>Year-end supply goal</w:t>
            </w:r>
          </w:p>
        </w:tc>
      </w:tr>
      <w:tr>
        <w:tc>
          <w:tcPr>
            <w:tcW w:type="dxa" w:w="1728"/>
          </w:tcPr>
          <w:p>
            <w:r>
              <w:rPr>
                <w:b/>
              </w:rPr>
              <w:t>Where we stand (May 31, 2026)</w:t>
            </w:r>
          </w:p>
        </w:tc>
        <w:tc>
          <w:tcPr>
            <w:tcW w:type="dxa" w:w="1728"/>
          </w:tcPr>
          <w:p>
            <w:r>
              <w:t>72.6M</w:t>
              <w:br/>
              <w:t>2026 starting supply</w:t>
            </w:r>
          </w:p>
        </w:tc>
        <w:tc>
          <w:tcPr>
            <w:tcW w:type="dxa" w:w="1728"/>
            <w:shd w:fill="E6F1FA"/>
          </w:tcPr>
          <w:p>
            <w:r>
              <w:t>10.4M*</w:t>
              <w:br/>
              <w:t>Added YTD</w:t>
            </w:r>
          </w:p>
        </w:tc>
        <w:tc>
          <w:tcPr>
            <w:tcW w:type="dxa" w:w="1728"/>
            <w:shd w:fill="FDECEA"/>
          </w:tcPr>
          <w:p>
            <w:r>
              <w:t>8.9M</w:t>
              <w:br/>
              <w:t>Ordinances performed YTD</w:t>
            </w:r>
          </w:p>
        </w:tc>
        <w:tc>
          <w:tcPr>
            <w:tcW w:type="dxa" w:w="1728"/>
            <w:shd w:fill="EBF4EB"/>
          </w:tcPr>
          <w:p>
            <w:r>
              <w:rPr>
                <w:b/>
              </w:rPr>
              <w:t>74.1M</w:t>
              <w:br/>
              <w:t>Current supply</w:t>
            </w:r>
          </w:p>
        </w:tc>
      </w:tr>
    </w:tbl>
    <w:p>
      <w:r>
        <w:rPr>
          <w:i/>
          <w:sz w:val="18"/>
        </w:rPr>
        <w:t>* = Net | June data – to be updated with July results</w:t>
      </w:r>
    </w:p>
    <w:p/>
    <w:p>
      <w:pPr>
        <w:pStyle w:val="Heading2"/>
      </w:pPr>
      <w:r>
        <w:t>Table 2. Execution Teams Results (YTD)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C4E0C5"/>
          </w:tcPr>
          <w:p>
            <w:r>
              <w:rPr>
                <w:b/>
                <w:sz w:val="18"/>
              </w:rPr>
              <w:t>Execution Team</w:t>
            </w:r>
          </w:p>
        </w:tc>
        <w:tc>
          <w:tcPr>
            <w:tcW w:type="dxa" w:w="1440"/>
            <w:shd w:fill="C4E0C5"/>
          </w:tcPr>
          <w:p>
            <w:r>
              <w:rPr>
                <w:b/>
                <w:sz w:val="18"/>
              </w:rPr>
              <w:t>Source of Opportunity</w:t>
            </w:r>
          </w:p>
        </w:tc>
        <w:tc>
          <w:tcPr>
            <w:tcW w:type="dxa" w:w="1440"/>
            <w:shd w:fill="C4E0C5"/>
          </w:tcPr>
          <w:p>
            <w:r>
              <w:rPr>
                <w:b/>
                <w:sz w:val="18"/>
              </w:rPr>
              <w:t>2026 Goal</w:t>
            </w:r>
          </w:p>
        </w:tc>
        <w:tc>
          <w:tcPr>
            <w:tcW w:type="dxa" w:w="1440"/>
            <w:shd w:fill="C4E0C5"/>
          </w:tcPr>
          <w:p>
            <w:r>
              <w:rPr>
                <w:b/>
                <w:sz w:val="18"/>
              </w:rPr>
              <w:t>Anticipated</w:t>
            </w:r>
          </w:p>
        </w:tc>
        <w:tc>
          <w:tcPr>
            <w:tcW w:type="dxa" w:w="1440"/>
            <w:shd w:fill="C4E0C5"/>
          </w:tcPr>
          <w:p>
            <w:r>
              <w:rPr>
                <w:b/>
                <w:sz w:val="18"/>
              </w:rPr>
              <w:t>May 2026</w:t>
            </w:r>
          </w:p>
        </w:tc>
        <w:tc>
          <w:tcPr>
            <w:tcW w:type="dxa" w:w="1440"/>
            <w:shd w:fill="C4E0C5"/>
          </w:tcPr>
          <w:p>
            <w:r>
              <w:rPr>
                <w:b/>
                <w:sz w:val="18"/>
              </w:rPr>
              <w:t>YTD ORNs</w:t>
            </w:r>
          </w:p>
        </w:tc>
      </w:tr>
      <w:tr>
        <w:tc>
          <w:tcPr>
            <w:tcW w:type="dxa" w:w="1440"/>
          </w:tcPr>
          <w:p>
            <w:r>
              <w:rPr>
                <w:b/>
              </w:rPr>
              <w:t>User Activity</w:t>
            </w:r>
          </w:p>
        </w:tc>
        <w:tc>
          <w:tcPr>
            <w:tcW w:type="dxa" w:w="1440"/>
          </w:tcPr>
          <w:p>
            <w:r>
              <w:t>Source linker, Tree person, Tree pedigree, Guided Tree, etc.</w:t>
            </w:r>
          </w:p>
        </w:tc>
        <w:tc>
          <w:tcPr>
            <w:tcW w:type="dxa" w:w="1440"/>
          </w:tcPr>
          <w:p>
            <w:r>
              <w:t>23M</w:t>
            </w:r>
          </w:p>
        </w:tc>
        <w:tc>
          <w:tcPr>
            <w:tcW w:type="dxa" w:w="1440"/>
          </w:tcPr>
          <w:p>
            <w:r>
              <w:t>14M</w:t>
            </w:r>
          </w:p>
        </w:tc>
        <w:tc>
          <w:tcPr>
            <w:tcW w:type="dxa" w:w="1440"/>
          </w:tcPr>
          <w:p>
            <w:r>
              <w:t>0.85M</w:t>
            </w:r>
          </w:p>
        </w:tc>
        <w:tc>
          <w:tcPr>
            <w:tcW w:type="dxa" w:w="1440"/>
          </w:tcPr>
          <w:p>
            <w:r>
              <w:t>5.32M</w:t>
            </w:r>
          </w:p>
        </w:tc>
      </w:tr>
      <w:tr>
        <w:tc>
          <w:tcPr>
            <w:tcW w:type="dxa" w:w="1440"/>
          </w:tcPr>
          <w:p>
            <w:r>
              <w:rPr>
                <w:b/>
              </w:rPr>
              <w:t>Managed Workforce</w:t>
            </w:r>
          </w:p>
        </w:tc>
        <w:tc>
          <w:tcPr>
            <w:tcW w:type="dxa" w:w="1440"/>
          </w:tcPr>
          <w:p>
            <w:r>
              <w:t>Y2G Conversions, BYU RLL, Connection to Members</w:t>
            </w:r>
          </w:p>
        </w:tc>
        <w:tc>
          <w:tcPr>
            <w:tcW w:type="dxa" w:w="1440"/>
          </w:tcPr>
          <w:p>
            <w:r>
              <w:t>5M</w:t>
            </w:r>
          </w:p>
        </w:tc>
        <w:tc>
          <w:tcPr>
            <w:tcW w:type="dxa" w:w="1440"/>
          </w:tcPr>
          <w:p>
            <w:r>
              <w:t>5M</w:t>
            </w:r>
          </w:p>
        </w:tc>
        <w:tc>
          <w:tcPr>
            <w:tcW w:type="dxa" w:w="1440"/>
          </w:tcPr>
          <w:p>
            <w:r>
              <w:t>1.64M*</w:t>
            </w:r>
          </w:p>
        </w:tc>
        <w:tc>
          <w:tcPr>
            <w:tcW w:type="dxa" w:w="1440"/>
          </w:tcPr>
          <w:p>
            <w:r>
              <w:t>5.09M*</w:t>
            </w:r>
          </w:p>
        </w:tc>
      </w:tr>
      <w:tr>
        <w:tc>
          <w:tcPr>
            <w:tcW w:type="dxa" w:w="1440"/>
          </w:tcPr>
          <w:p>
            <w:r>
              <w:rPr>
                <w:b/>
              </w:rPr>
              <w:t>Automated Tree Building</w:t>
            </w:r>
          </w:p>
        </w:tc>
        <w:tc>
          <w:tcPr>
            <w:tcW w:type="dxa" w:w="1440"/>
          </w:tcPr>
          <w:p>
            <w:r>
              <w:t>Trees from Organization, Books and FS Collections</w:t>
            </w:r>
          </w:p>
        </w:tc>
        <w:tc>
          <w:tcPr>
            <w:tcW w:type="dxa" w:w="1440"/>
          </w:tcPr>
          <w:p>
            <w:r>
              <w:t>13M</w:t>
            </w:r>
          </w:p>
        </w:tc>
        <w:tc>
          <w:tcPr>
            <w:tcW w:type="dxa" w:w="1440"/>
          </w:tcPr>
          <w:p>
            <w:r>
              <w:t>13M</w:t>
            </w:r>
          </w:p>
        </w:tc>
        <w:tc>
          <w:tcPr>
            <w:tcW w:type="dxa" w:w="1440"/>
          </w:tcPr>
          <w:p>
            <w:r>
              <w:t>0</w:t>
            </w:r>
          </w:p>
        </w:tc>
        <w:tc>
          <w:tcPr>
            <w:tcW w:type="dxa" w:w="1440"/>
          </w:tcPr>
          <w:p>
            <w:r>
              <w:t>0</w:t>
            </w:r>
          </w:p>
        </w:tc>
      </w:tr>
      <w:tr>
        <w:tc>
          <w:tcPr>
            <w:tcW w:type="dxa" w:w="1440"/>
          </w:tcPr>
          <w:p>
            <w:r>
              <w:rPr>
                <w:b/>
              </w:rPr>
              <w:t>Total</w:t>
            </w:r>
          </w:p>
        </w:tc>
        <w:tc>
          <w:tcPr>
            <w:tcW w:type="dxa" w:w="1440"/>
          </w:tcPr>
          <w:p>
            <w:r>
              <w:rPr>
                <w:b/>
              </w:rPr>
            </w:r>
          </w:p>
        </w:tc>
        <w:tc>
          <w:tcPr>
            <w:tcW w:type="dxa" w:w="1440"/>
          </w:tcPr>
          <w:p>
            <w:r>
              <w:rPr>
                <w:b/>
              </w:rPr>
              <w:t>32M</w:t>
            </w:r>
          </w:p>
        </w:tc>
        <w:tc>
          <w:tcPr>
            <w:tcW w:type="dxa" w:w="1440"/>
          </w:tcPr>
          <w:p>
            <w:r>
              <w:rPr>
                <w:b/>
              </w:rPr>
              <w:t>32M</w:t>
            </w:r>
          </w:p>
        </w:tc>
        <w:tc>
          <w:tcPr>
            <w:tcW w:type="dxa" w:w="1440"/>
          </w:tcPr>
          <w:p>
            <w:r>
              <w:rPr>
                <w:b/>
              </w:rPr>
              <w:t>2.49M*</w:t>
            </w:r>
          </w:p>
        </w:tc>
        <w:tc>
          <w:tcPr>
            <w:tcW w:type="dxa" w:w="1440"/>
          </w:tcPr>
          <w:p>
            <w:r>
              <w:rPr>
                <w:b/>
              </w:rPr>
              <w:t>10.41M*</w:t>
            </w:r>
          </w:p>
        </w:tc>
      </w:tr>
    </w:tbl>
    <w:p>
      <w:r>
        <w:rPr>
          <w:i/>
          <w:sz w:val="18"/>
        </w:rPr>
        <w:t>* = Net | June data – to be updated with July results</w:t>
      </w:r>
    </w:p>
    <w:p>
      <w:r>
        <w:rPr>
          <w:color w:val="3C7A3E"/>
        </w:rPr>
        <w:t xml:space="preserve">→ </w:t>
      </w:r>
      <w:r>
        <w:rPr>
          <w:i/>
          <w:color w:val="3C7A3E"/>
        </w:rPr>
        <w:t>View detailed Execution Team progress in Interactive Brief</w:t>
      </w:r>
    </w:p>
    <w:p/>
    <w:p>
      <w:pPr>
        <w:pStyle w:val="Heading2"/>
      </w:pPr>
      <w:r>
        <w:t>Three Things Leadership Needs to Know This Month</w:t>
      </w:r>
    </w:p>
    <w:p>
      <w:pPr>
        <w:spacing w:after="240"/>
      </w:pPr>
      <w:r>
        <w:rPr>
          <w:b/>
        </w:rPr>
        <w:t>🟢 German Books – Primary Path to 13M</w:t>
        <w:br/>
      </w:r>
      <w:r>
        <w:t>German genealogical books have emerged as the primary source for achieving the 13M Automated Tree Building goal. Content Archaeology has already loaded 47M names into user trees, and sampling shows deep genealogies with strong connections to US diaspora members. Jon Morrey estimates books alone could yield the entire 13M+ target.</w:t>
        <w:br/>
        <w:br/>
      </w:r>
      <w:r>
        <w:rPr>
          <w:b/>
        </w:rPr>
        <w:t xml:space="preserve">Status: </w:t>
      </w:r>
      <w:r>
        <w:t>OGC issued "proceed" directive June 23, with remaining restrictions expected removed by end of August. Technology work continues on ATB quality improvements and Reference Tree buildout, with November ATB activation targeted for delivery.</w:t>
        <w:br/>
      </w:r>
    </w:p>
    <w:p>
      <w:pPr>
        <w:spacing w:after="240"/>
      </w:pPr>
      <w:r>
        <w:rPr>
          <w:color w:val="3C7A3E"/>
        </w:rPr>
        <w:t xml:space="preserve">→ </w:t>
      </w:r>
      <w:r>
        <w:rPr>
          <w:i/>
          <w:color w:val="3C7A3E"/>
        </w:rPr>
        <w:t>Full details in Interactive Brief: Big Rocks → Rock #5</w:t>
      </w:r>
    </w:p>
    <w:p>
      <w:pPr>
        <w:spacing w:after="240"/>
      </w:pPr>
      <w:r>
        <w:rPr>
          <w:b/>
        </w:rPr>
        <w:t>🟡 Critical Timeline Pressure on Reference Tree Delivery</w:t>
        <w:br/>
      </w:r>
      <w:r>
        <w:t>ATC (Reference Tree ordinance consumption) investigation in June revealed significant complexity in ordinance system integration. Team discovered new technical requirements: ordinance registry/snapshot database for ephemeral PIDs, ordinance approval required (OAR) flag logic, long-lived ID requirements for temple recording.</w:t>
        <w:br/>
        <w:br/>
      </w:r>
      <w:r>
        <w:rPr>
          <w:b/>
        </w:rPr>
        <w:t xml:space="preserve">Decision Point: </w:t>
      </w:r>
      <w:r>
        <w:t>Mid-September 2026 established as go/no-go decision point for executing Plan B – bulk copying 13M high-confidence names into Family Tree if end-to-end ATB→ATC system isn't ready by year-end. One engineer has been allocated to develop emergency plan in parallel.</w:t>
        <w:br/>
      </w:r>
    </w:p>
    <w:p>
      <w:pPr>
        <w:spacing w:after="240"/>
      </w:pPr>
      <w:r>
        <w:rPr>
          <w:color w:val="C07A1A"/>
        </w:rPr>
        <w:t xml:space="preserve">→ </w:t>
      </w:r>
      <w:r>
        <w:rPr>
          <w:i/>
          <w:color w:val="C07A1A"/>
        </w:rPr>
        <w:t>Full details in Interactive Brief: Big Rocks → Rock #4</w:t>
      </w:r>
    </w:p>
    <w:p>
      <w:pPr>
        <w:spacing w:after="240"/>
      </w:pPr>
      <w:r>
        <w:rPr>
          <w:b/>
        </w:rPr>
        <w:t>🟢 Measurement and Attribution Systems Advancing</w:t>
        <w:br/>
      </w:r>
      <w:r>
        <w:t>Manual ORN inventory reporting in Databricks (Lyle Toronto/John Sumsion) targeting July delivery. PoC demonstrated capability: 1.7B person table with baptism qualification status, multi-value disqualification reasons, country/state granularity.</w:t>
        <w:br/>
        <w:br/>
      </w:r>
      <w:r>
        <w:rPr>
          <w:b/>
        </w:rPr>
        <w:t xml:space="preserve">Timeline: </w:t>
      </w:r>
      <w:r>
        <w:t>Automated incremental reporting targeted for September. Rock #6 (New ORN Reporting Data) remains on track to provide accurate, attributed reporting by end of Q3, including Lever 3 (connect to members) attribution. Critical dependency: Platform SOC Developer Platform team priority on P20 Databricks production infrastructure.</w:t>
        <w:br/>
      </w:r>
    </w:p>
    <w:p>
      <w:r>
        <w:rPr>
          <w:color w:val="3C7A3E"/>
        </w:rPr>
        <w:t xml:space="preserve">→ </w:t>
      </w:r>
      <w:r>
        <w:rPr>
          <w:i/>
          <w:color w:val="3C7A3E"/>
        </w:rPr>
        <w:t>Full details in Interactive Brief: Big Rocks → Rock #6</w:t>
      </w:r>
    </w:p>
    <w:p>
      <w:r>
        <w:br w:type="page"/>
      </w:r>
    </w:p>
    <w:p>
      <w:pPr>
        <w:pStyle w:val="Heading1"/>
      </w:pPr>
      <w:r>
        <w:t>3. Supply Sources &amp; Execution Teams</w:t>
      </w:r>
    </w:p>
    <w:p>
      <w:r>
        <w:t>Our three Execution Teams are tracking to revised goals:</w:t>
      </w:r>
    </w:p>
    <w:p>
      <w:pPr>
        <w:pStyle w:val="ListBullet"/>
      </w:pPr>
      <w:r>
        <w:t xml:space="preserve">• </w:t>
      </w:r>
      <w:r>
        <w:rPr>
          <w:b/>
        </w:rPr>
        <w:t xml:space="preserve">User Activity: </w:t>
      </w:r>
      <w:r>
        <w:t>5.32M YTD (revised to 14M anticipated from 23M original)</w:t>
      </w:r>
    </w:p>
    <w:p>
      <w:pPr>
        <w:pStyle w:val="ListBullet"/>
      </w:pPr>
      <w:r>
        <w:t xml:space="preserve">• </w:t>
      </w:r>
      <w:r>
        <w:rPr>
          <w:b/>
        </w:rPr>
        <w:t xml:space="preserve">Managed Workforce: </w:t>
      </w:r>
      <w:r>
        <w:t>5.09M YTD (on track for 5M)</w:t>
      </w:r>
    </w:p>
    <w:p>
      <w:pPr>
        <w:pStyle w:val="ListBullet"/>
      </w:pPr>
      <w:r>
        <w:t xml:space="preserve">• </w:t>
      </w:r>
      <w:r>
        <w:rPr>
          <w:b/>
        </w:rPr>
        <w:t xml:space="preserve">Automated Tree Building: </w:t>
      </w:r>
      <w:r>
        <w:t>0M YTD (Q4 delivery targeted, 13M goal)</w:t>
      </w:r>
    </w:p>
    <w:p>
      <w:r>
        <w:rPr>
          <w:color w:val="3C7A3E"/>
        </w:rPr>
        <w:t xml:space="preserve">→ </w:t>
      </w:r>
      <w:r>
        <w:rPr>
          <w:i/>
          <w:color w:val="3C7A3E"/>
        </w:rPr>
        <w:t>Full Execution Team details, Big Rocks, and status updates in Interactive Brief: Execution Teams tab</w:t>
      </w:r>
    </w:p>
    <w:p/>
    <w:p>
      <w:pPr>
        <w:pStyle w:val="Heading1"/>
      </w:pPr>
      <w:r>
        <w:t>4. Milestones &amp; Critical Path</w:t>
      </w:r>
    </w:p>
    <w:p>
      <w:r>
        <w:t>July targets include M39 loading completion, manual reporting in Databricks, Peru republication, and ATB runtime system completion. August brings hint refresh, data lake launch, and vector database reload. September marks the critical go/no-go decision on Reference Tree delivery approach.</w:t>
      </w:r>
    </w:p>
    <w:p>
      <w:r>
        <w:rPr>
          <w:color w:val="3C7A3E"/>
        </w:rPr>
        <w:t xml:space="preserve">→ </w:t>
      </w:r>
      <w:r>
        <w:rPr>
          <w:i/>
          <w:color w:val="3C7A3E"/>
        </w:rPr>
        <w:t>Full timeline and milestone details in Interactive Brief: Milestones tab</w:t>
      </w:r>
    </w:p>
    <w:p/>
    <w:p>
      <w:pPr>
        <w:pStyle w:val="Heading1"/>
      </w:pPr>
      <w:r>
        <w:t>5. Key Risks</w:t>
      </w:r>
    </w:p>
    <w:p>
      <w:r>
        <w:t>Four critical risks under active management: ATC consumption timeline (orange/deep orange), M39 dependencies and hint refresh timeline (yellow), User Activity goal risk (revised to yellow after goal redistribution), and resource constraints (yellow).</w:t>
      </w:r>
    </w:p>
    <w:p>
      <w:r>
        <w:rPr>
          <w:color w:val="C07A1A"/>
        </w:rPr>
        <w:t xml:space="preserve">→ </w:t>
      </w:r>
      <w:r>
        <w:rPr>
          <w:i/>
          <w:color w:val="C07A1A"/>
        </w:rPr>
        <w:t>Full risk details and mitigation strategies in Interactive Brief: Milestones tab → Key Risks</w:t>
      </w:r>
    </w:p>
    <w:p>
      <w:r>
        <w:br w:type="page"/>
      </w:r>
    </w:p>
    <w:p>
      <w:pPr>
        <w:pStyle w:val="Heading1"/>
      </w:pPr>
      <w:r>
        <w:t>6. Support Needed from Senior Leadership</w:t>
      </w:r>
    </w:p>
    <w:p>
      <w:pPr>
        <w:spacing w:after="240"/>
      </w:pPr>
      <w:r>
        <w:t>The following are specific areas where we depend on coordination and support from senior leadership and other parts of the organization.</w:t>
      </w:r>
    </w:p>
    <w:p>
      <w:pPr>
        <w:pStyle w:val="Heading2"/>
      </w:pPr>
      <w:r>
        <w:t>1. Member Temple Experience — Resolve User Paradigm for Reference Tree ORNs</w:t>
      </w:r>
    </w:p>
    <w:p>
      <w:pPr>
        <w:spacing w:after="120"/>
      </w:pPr>
      <w:r>
        <w:rPr>
          <w:b/>
          <w:color w:val="B53A2F"/>
        </w:rPr>
        <w:t>Priority: CRITICAL</w:t>
        <w:br/>
      </w:r>
      <w:r>
        <w:t>Ownership: MTE SOC · Director: Tom Gill</w:t>
        <w:br/>
      </w:r>
    </w:p>
    <w:p>
      <w:pPr>
        <w:spacing w:after="120"/>
      </w:pPr>
      <w:r>
        <w:t>Active cross-SOC work is underway. Ongoing user studies indicate patron expectations of continuity with the existing Family Tree and ORN experience. We are jointly determining qualification status from the Reference Tree (including related-to-member status) and exploring integration points and architecture changes.</w:t>
      </w:r>
    </w:p>
    <w:p>
      <w:pPr>
        <w:spacing w:after="120"/>
      </w:pPr>
      <w:r>
        <w:rPr>
          <w:b/>
        </w:rPr>
        <w:t xml:space="preserve">Until this is resolved, the automated pipeline cannot deliver ORNs to patrons. </w:t>
      </w:r>
      <w:r>
        <w:t>See Rock #4 for full technical complexity details.</w:t>
      </w:r>
    </w:p>
    <w:p>
      <w:pPr>
        <w:spacing w:after="240"/>
      </w:pPr>
      <w:r>
        <w:rPr>
          <w:b/>
        </w:rPr>
        <w:t>What we need:</w:t>
        <w:br/>
      </w:r>
      <w:r>
        <w:t>If user paradigm resolution is not reached before October: The end-to-end pipeline test cannot validate delivery and the 13M goal is at risk. Executive-level cross-SOC alignment session to resolve the user paradigm for Reference Tree ORNs, ensure architectural decisions are made, and unblock the automated pipeline delivery by October end-to-end testing deadline.</w:t>
      </w:r>
    </w:p>
    <w:p>
      <w:pPr>
        <w:spacing w:after="320"/>
      </w:pPr>
      <w:r>
        <w:rPr>
          <w:color w:val="B53A2F"/>
        </w:rPr>
        <w:t xml:space="preserve">→ </w:t>
      </w:r>
      <w:r>
        <w:rPr>
          <w:i/>
          <w:color w:val="B53A2F"/>
        </w:rPr>
        <w:t>Full technical details in Interactive Brief: Support Needed tab → Item #1</w:t>
      </w:r>
    </w:p>
    <w:p>
      <w:pPr>
        <w:pStyle w:val="Heading2"/>
      </w:pPr>
      <w:r>
        <w:t>2. Legal — Clearances for Remaining External Genealogy Sources</w:t>
      </w:r>
    </w:p>
    <w:p>
      <w:pPr>
        <w:spacing w:after="120"/>
      </w:pPr>
      <w:r>
        <w:rPr>
          <w:b/>
          <w:color w:val="C07A1A"/>
        </w:rPr>
        <w:t>Priority: HIGH</w:t>
        <w:br/>
      </w:r>
      <w:r>
        <w:t>Ownership: Office of General Counsel · in coordination with Content Access</w:t>
        <w:br/>
      </w:r>
    </w:p>
    <w:p>
      <w:r>
        <w:t>German books legal clearance is progressing: OGC issued "proceed" directive June 23, with remaining restrictions expected removed by end of August. Remaining external genealogy sources status:</w:t>
      </w:r>
    </w:p>
    <w:p>
      <w:pPr>
        <w:pStyle w:val="ListBullet"/>
      </w:pPr>
      <w:r>
        <w:t>• Jiapu (China): Confirmed as not clearing in 2026</w:t>
      </w:r>
    </w:p>
    <w:p>
      <w:pPr>
        <w:pStyle w:val="ListBullet"/>
        <w:spacing w:after="120"/>
      </w:pPr>
      <w:r>
        <w:t>• Jokbo (Korea): Status has softened — no longer confirmed as zero and remains under assessment</w:t>
      </w:r>
    </w:p>
    <w:p>
      <w:pPr>
        <w:spacing w:after="240"/>
      </w:pPr>
      <w:r>
        <w:rPr>
          <w:b/>
        </w:rPr>
        <w:t>What we need:</w:t>
        <w:br/>
      </w:r>
      <w:r>
        <w:t>Senior leadership engagement with General Counsel to expedite remaining legal clearances for Korean Jokbo sources to maximize 2026 supply projections.</w:t>
      </w:r>
    </w:p>
    <w:p>
      <w:pPr>
        <w:spacing w:after="320"/>
      </w:pPr>
      <w:r>
        <w:rPr>
          <w:color w:val="C07A1A"/>
        </w:rPr>
        <w:t xml:space="preserve">→ </w:t>
      </w:r>
      <w:r>
        <w:rPr>
          <w:i/>
          <w:color w:val="C07A1A"/>
        </w:rPr>
        <w:t>Full details in Interactive Brief: Support Needed tab → Item #2</w:t>
      </w:r>
    </w:p>
    <w:p>
      <w:pPr>
        <w:pStyle w:val="Heading2"/>
      </w:pPr>
      <w:r>
        <w:t>3. Content Access — Collection Optimization Data</w:t>
      </w:r>
    </w:p>
    <w:p>
      <w:pPr>
        <w:spacing w:after="120"/>
      </w:pPr>
      <w:r>
        <w:rPr>
          <w:b/>
          <w:color w:val="C07A1A"/>
        </w:rPr>
        <w:t>Priority: HIGH</w:t>
        <w:br/>
      </w:r>
      <w:r>
        <w:t>Ownership: Content Access SOC · Director: Stephen Valentine</w:t>
        <w:br/>
      </w:r>
    </w:p>
    <w:p>
      <w:pPr>
        <w:spacing w:after="120"/>
      </w:pPr>
      <w:r>
        <w:t>We need optimization data from Content Access to know which collections should be reprocessed first and what ORN yield we can expect from them. Record republication will resume as new redaction capabilities come online.</w:t>
      </w:r>
    </w:p>
    <w:p>
      <w:pPr>
        <w:spacing w:after="120"/>
      </w:pPr>
      <w:r>
        <w:rPr>
          <w:b/>
        </w:rPr>
        <w:t xml:space="preserve">Critical Link: </w:t>
      </w:r>
      <w:r>
        <w:t>Hints generate automatically from newly published records, so the rate of record publication directly shapes top contributor productivity and new ORN production.</w:t>
      </w:r>
    </w:p>
    <w:p>
      <w:pPr>
        <w:spacing w:after="240"/>
      </w:pPr>
      <w:r>
        <w:rPr>
          <w:b/>
        </w:rPr>
        <w:t>What we need:</w:t>
        <w:br/>
      </w:r>
      <w:r>
        <w:t>Collection optimization data showing which collections to reprocess first and projected ORN yield per collection, plus senior leadership support to ensure Content Access provides this data.</w:t>
      </w:r>
    </w:p>
    <w:p>
      <w:pPr>
        <w:spacing w:after="320"/>
      </w:pPr>
      <w:r>
        <w:rPr>
          <w:color w:val="C07A1A"/>
        </w:rPr>
        <w:t xml:space="preserve">→ </w:t>
      </w:r>
      <w:r>
        <w:rPr>
          <w:i/>
          <w:color w:val="C07A1A"/>
        </w:rPr>
        <w:t>Full details in Interactive Brief: Support Needed tab → Item #3</w:t>
      </w:r>
    </w:p>
    <w:p>
      <w:pPr>
        <w:pStyle w:val="Heading2"/>
      </w:pPr>
      <w:r>
        <w:t>4. Homelands — Area Manager Partnership and Member Engagement</w:t>
      </w:r>
    </w:p>
    <w:p>
      <w:pPr>
        <w:spacing w:after="120"/>
      </w:pPr>
      <w:r>
        <w:rPr>
          <w:b/>
          <w:color w:val="C07A1A"/>
        </w:rPr>
        <w:t>Priority: HIGH</w:t>
        <w:br/>
      </w:r>
      <w:r>
        <w:t>Ownership: Homelands Directors: Stephen Valentine · Tom Gill · Tamra Stansfield · Eric Leach</w:t>
        <w:br/>
      </w:r>
    </w:p>
    <w:p>
      <w:pPr>
        <w:spacing w:after="120"/>
      </w:pPr>
      <w:r>
        <w:t>We have launched several User Activity ET initiatives which depend on strong area manager partnership and homeland engagement for their success — Add What You Know (AWYK) campaigns, genealogist initiatives, priesthood leadership coordination. The ORN team builds the technical infrastructure; Homelands brings the people and field relationships.</w:t>
      </w:r>
    </w:p>
    <w:p>
      <w:pPr>
        <w:spacing w:after="240"/>
      </w:pPr>
      <w:r>
        <w:rPr>
          <w:b/>
        </w:rPr>
        <w:t>What we need:</w:t>
        <w:br/>
      </w:r>
      <w:r>
        <w:t>Without active Homeland engagement these initiatives underperform and the hint refresh in July–August produces actionable prompts that no one acts on at scale. Senior leadership engagement with Homelands Directors to prioritize ORN-focused member engagement campaigns.</w:t>
      </w:r>
    </w:p>
    <w:p>
      <w:pPr>
        <w:spacing w:after="320"/>
      </w:pPr>
      <w:r>
        <w:rPr>
          <w:color w:val="C07A1A"/>
        </w:rPr>
        <w:t xml:space="preserve">→ </w:t>
      </w:r>
      <w:r>
        <w:rPr>
          <w:i/>
          <w:color w:val="C07A1A"/>
        </w:rPr>
        <w:t>Full details in Interactive Brief: Support Needed tab → Item #4</w:t>
      </w:r>
    </w:p>
    <w:p>
      <w:pPr>
        <w:pStyle w:val="Heading2"/>
      </w:pPr>
      <w:r>
        <w:t>5. Platform — Data Lake on Schedule for August</w:t>
      </w:r>
    </w:p>
    <w:p>
      <w:pPr>
        <w:spacing w:after="120"/>
      </w:pPr>
      <w:r>
        <w:rPr>
          <w:b/>
          <w:color w:val="C07A1A"/>
        </w:rPr>
        <w:t>Priority: HIGH</w:t>
        <w:br/>
      </w:r>
      <w:r>
        <w:t>Ownership: Platform SOC · Director: Bret Weekes</w:t>
        <w:br/>
      </w:r>
    </w:p>
    <w:p>
      <w:pPr>
        <w:spacing w:after="120"/>
      </w:pPr>
      <w:r>
        <w:t>The new data lake (August 1 target) is the infrastructure that makes accurate, attributed ORN reporting possible. Every decision about goal reallocation, pipeline investment, and member engagement effectiveness depends on this foundation. Rock #6 (New ORN Reporting Data) is on track; continued progress from Platform is required to hold the August date.</w:t>
      </w:r>
    </w:p>
    <w:p>
      <w:pPr>
        <w:spacing w:after="240"/>
      </w:pPr>
      <w:r>
        <w:rPr>
          <w:b/>
        </w:rPr>
        <w:t>What we need:</w:t>
        <w:br/>
      </w:r>
      <w:r>
        <w:t>Executive protection of Platform SOC's August 1 data lake delivery. Any resource diversions or competing priorities will delay accurate year-end reporting and make definitive 82M assessment difficult.</w:t>
      </w:r>
    </w:p>
    <w:p>
      <w:r>
        <w:rPr>
          <w:color w:val="C07A1A"/>
        </w:rPr>
        <w:t xml:space="preserve">→ </w:t>
      </w:r>
      <w:r>
        <w:rPr>
          <w:i/>
          <w:color w:val="C07A1A"/>
        </w:rPr>
        <w:t>Full details in Interactive Brief: Support Needed tab → Item #5</w:t>
      </w:r>
    </w:p>
    <w:p>
      <w:r>
        <w:br w:type="page"/>
      </w:r>
    </w:p>
    <w:p>
      <w:pPr>
        <w:pStyle w:val="Heading1"/>
      </w:pPr>
      <w:r>
        <w:t>7. Appendix</w:t>
      </w:r>
    </w:p>
    <w:p>
      <w:r>
        <w:t>Live data dashboards and detailed project prioritization information are available in the Interactive Brief.</w:t>
      </w:r>
    </w:p>
    <w:p>
      <w:r>
        <w:rPr>
          <w:color w:val="3C7A3E"/>
        </w:rPr>
        <w:t xml:space="preserve">→ </w:t>
      </w:r>
      <w:r>
        <w:rPr>
          <w:i/>
          <w:color w:val="3C7A3E"/>
        </w:rPr>
        <w:t>Access live Tableau dashboards and project prioritization details in Interactive Brief: Appendix tab</w:t>
      </w:r>
    </w:p>
    <w:p/>
    <w:p/>
    <w:p/>
    <w:p>
      <w:pPr>
        <w:jc w:val="center"/>
      </w:pPr>
      <w:r>
        <w:t>________________________________________________________________________________</w:t>
      </w:r>
    </w:p>
    <w:p>
      <w:pPr>
        <w:jc w:val="center"/>
      </w:pPr>
      <w:r>
        <w:rPr>
          <w:sz w:val="28"/>
        </w:rPr>
        <w:t xml:space="preserve">📊 </w:t>
      </w:r>
      <w:r>
        <w:rPr>
          <w:b/>
          <w:color w:val="3C7A3E"/>
          <w:sz w:val="24"/>
        </w:rPr>
        <w:t>Access the Full Interactive Brief</w:t>
      </w:r>
    </w:p>
    <w:p>
      <w:pPr>
        <w:jc w:val="center"/>
      </w:pPr>
      <w:r>
        <w:t xml:space="preserve">For complete details on all Big Rocks, milestones, risks, and live data dashboards, </w:t>
      </w:r>
      <w:r>
        <w:rPr>
          <w:i/>
        </w:rPr>
        <w:t>open: 07.01.26 ORN Leadership Brief - Interactive.html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