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CA0" w:rsidRPr="00805948" w:rsidRDefault="004C0CA0" w:rsidP="008E02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proofErr w:type="spellStart"/>
      <w:r w:rsidRPr="00805948">
        <w:rPr>
          <w:rFonts w:ascii="Times New Roman" w:hAnsi="Times New Roman" w:cs="Times New Roman"/>
          <w:b/>
        </w:rPr>
        <w:t>Okun’s</w:t>
      </w:r>
      <w:proofErr w:type="spellEnd"/>
      <w:r w:rsidRPr="00805948">
        <w:rPr>
          <w:rFonts w:ascii="Times New Roman" w:hAnsi="Times New Roman" w:cs="Times New Roman"/>
          <w:b/>
        </w:rPr>
        <w:t xml:space="preserve"> Law Two-Stage Regressions </w:t>
      </w:r>
    </w:p>
    <w:p w:rsidR="004C0CA0" w:rsidRPr="00805948" w:rsidRDefault="004C0CA0" w:rsidP="008E02A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05948">
        <w:rPr>
          <w:rFonts w:ascii="Times New Roman" w:hAnsi="Times New Roman" w:cs="Times New Roman"/>
        </w:rPr>
        <w:t>Pre = 1964 to 1985</w:t>
      </w:r>
      <w:proofErr w:type="gramStart"/>
      <w:r w:rsidRPr="00805948">
        <w:rPr>
          <w:rFonts w:ascii="Times New Roman" w:hAnsi="Times New Roman" w:cs="Times New Roman"/>
        </w:rPr>
        <w:t xml:space="preserve">.  </w:t>
      </w:r>
      <w:proofErr w:type="gramEnd"/>
      <w:r w:rsidRPr="00805948">
        <w:rPr>
          <w:rFonts w:ascii="Times New Roman" w:hAnsi="Times New Roman" w:cs="Times New Roman"/>
        </w:rPr>
        <w:t>Post = 1986 to 2010.</w:t>
      </w:r>
    </w:p>
    <w:p w:rsidR="00B05357" w:rsidRPr="00805948" w:rsidRDefault="004C0CA0" w:rsidP="008E02A3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</w:rPr>
      </w:pPr>
      <w:r w:rsidRPr="00805948">
        <w:rPr>
          <w:rFonts w:ascii="Times New Roman" w:hAnsi="Times New Roman" w:cs="Times New Roman"/>
        </w:rPr>
        <w:t xml:space="preserve">The variables </w:t>
      </w:r>
      <w:proofErr w:type="spellStart"/>
      <w:r w:rsidRPr="00805948">
        <w:rPr>
          <w:rFonts w:ascii="Times New Roman" w:hAnsi="Times New Roman" w:cs="Times New Roman"/>
        </w:rPr>
        <w:t>constant</w:t>
      </w:r>
      <w:r w:rsidRPr="00805948">
        <w:rPr>
          <w:rFonts w:ascii="Times New Roman" w:hAnsi="Times New Roman" w:cs="Times New Roman"/>
          <w:vertAlign w:val="subscript"/>
        </w:rPr>
        <w:t>pre</w:t>
      </w:r>
      <w:proofErr w:type="spellEnd"/>
      <w:r w:rsidRPr="00805948">
        <w:rPr>
          <w:rFonts w:ascii="Times New Roman" w:hAnsi="Times New Roman" w:cs="Times New Roman"/>
        </w:rPr>
        <w:t xml:space="preserve"> and </w:t>
      </w:r>
      <w:proofErr w:type="spellStart"/>
      <w:r w:rsidRPr="00805948">
        <w:rPr>
          <w:rFonts w:ascii="Times New Roman" w:hAnsi="Times New Roman" w:cs="Times New Roman"/>
        </w:rPr>
        <w:t>constant</w:t>
      </w:r>
      <w:r w:rsidRPr="00805948">
        <w:rPr>
          <w:rFonts w:ascii="Times New Roman" w:hAnsi="Times New Roman" w:cs="Times New Roman"/>
          <w:vertAlign w:val="subscript"/>
        </w:rPr>
        <w:t>post</w:t>
      </w:r>
      <w:proofErr w:type="spellEnd"/>
      <w:r w:rsidRPr="00805948">
        <w:rPr>
          <w:rFonts w:ascii="Times New Roman" w:hAnsi="Times New Roman" w:cs="Times New Roman"/>
        </w:rPr>
        <w:t xml:space="preserve"> are estimated the estimated constants and the variables </w:t>
      </w:r>
      <w:proofErr w:type="spellStart"/>
      <w:r w:rsidRPr="00805948">
        <w:rPr>
          <w:rFonts w:ascii="Times New Roman" w:hAnsi="Times New Roman" w:cs="Times New Roman"/>
        </w:rPr>
        <w:t>cycle</w:t>
      </w:r>
      <w:r w:rsidRPr="00805948">
        <w:rPr>
          <w:rFonts w:ascii="Times New Roman" w:hAnsi="Times New Roman" w:cs="Times New Roman"/>
          <w:vertAlign w:val="subscript"/>
        </w:rPr>
        <w:t>pre</w:t>
      </w:r>
      <w:proofErr w:type="spellEnd"/>
      <w:r w:rsidRPr="00805948">
        <w:rPr>
          <w:rFonts w:ascii="Times New Roman" w:hAnsi="Times New Roman" w:cs="Times New Roman"/>
        </w:rPr>
        <w:t xml:space="preserve"> and </w:t>
      </w:r>
      <w:proofErr w:type="spellStart"/>
      <w:r w:rsidRPr="00805948">
        <w:rPr>
          <w:rFonts w:ascii="Times New Roman" w:hAnsi="Times New Roman" w:cs="Times New Roman"/>
        </w:rPr>
        <w:t>cycle</w:t>
      </w:r>
      <w:r w:rsidRPr="00805948">
        <w:rPr>
          <w:rFonts w:ascii="Times New Roman" w:hAnsi="Times New Roman" w:cs="Times New Roman"/>
          <w:vertAlign w:val="subscript"/>
        </w:rPr>
        <w:t>post</w:t>
      </w:r>
      <w:proofErr w:type="spellEnd"/>
      <w:r w:rsidRPr="00805948">
        <w:rPr>
          <w:rFonts w:ascii="Times New Roman" w:hAnsi="Times New Roman" w:cs="Times New Roman"/>
        </w:rPr>
        <w:t xml:space="preserve"> are the estimated coefficients from the regression of percentage change in GDP on percentage point change in unemployment rate in each period</w:t>
      </w:r>
      <w:proofErr w:type="gramStart"/>
      <w:r w:rsidRPr="00805948">
        <w:rPr>
          <w:rFonts w:ascii="Times New Roman" w:hAnsi="Times New Roman" w:cs="Times New Roman"/>
        </w:rPr>
        <w:t xml:space="preserve">.  </w:t>
      </w:r>
      <w:proofErr w:type="gramEnd"/>
      <w:r w:rsidRPr="00805948">
        <w:rPr>
          <w:rFonts w:ascii="Times New Roman" w:hAnsi="Times New Roman" w:cs="Times New Roman"/>
        </w:rPr>
        <w:t xml:space="preserve">The </w:t>
      </w:r>
      <w:proofErr w:type="spellStart"/>
      <w:r w:rsidRPr="00805948">
        <w:rPr>
          <w:rFonts w:ascii="Times New Roman" w:hAnsi="Times New Roman" w:cs="Times New Roman"/>
        </w:rPr>
        <w:t>trend</w:t>
      </w:r>
      <w:r w:rsidRPr="00805948">
        <w:rPr>
          <w:rFonts w:ascii="Times New Roman" w:hAnsi="Times New Roman" w:cs="Times New Roman"/>
          <w:vertAlign w:val="subscript"/>
        </w:rPr>
        <w:t>pre</w:t>
      </w:r>
      <w:proofErr w:type="spellEnd"/>
      <w:r w:rsidRPr="00805948">
        <w:rPr>
          <w:rFonts w:ascii="Times New Roman" w:hAnsi="Times New Roman" w:cs="Times New Roman"/>
        </w:rPr>
        <w:t xml:space="preserve"> and </w:t>
      </w:r>
      <w:proofErr w:type="spellStart"/>
      <w:r w:rsidRPr="00805948">
        <w:rPr>
          <w:rFonts w:ascii="Times New Roman" w:hAnsi="Times New Roman" w:cs="Times New Roman"/>
        </w:rPr>
        <w:t>trend</w:t>
      </w:r>
      <w:r w:rsidRPr="00805948">
        <w:rPr>
          <w:rFonts w:ascii="Times New Roman" w:hAnsi="Times New Roman" w:cs="Times New Roman"/>
          <w:vertAlign w:val="subscript"/>
        </w:rPr>
        <w:t>post</w:t>
      </w:r>
      <w:proofErr w:type="spellEnd"/>
      <w:r w:rsidRPr="00805948">
        <w:rPr>
          <w:rFonts w:ascii="Times New Roman" w:hAnsi="Times New Roman" w:cs="Times New Roman"/>
        </w:rPr>
        <w:t xml:space="preserve"> are the negative ratio of the intercept to the beta for each period in each state. The variables </w:t>
      </w:r>
      <w:proofErr w:type="spellStart"/>
      <w:r w:rsidRPr="00805948">
        <w:rPr>
          <w:rFonts w:ascii="Times New Roman" w:hAnsi="Times New Roman" w:cs="Times New Roman"/>
        </w:rPr>
        <w:t>Δtrend</w:t>
      </w:r>
      <w:proofErr w:type="spellEnd"/>
      <w:r w:rsidRPr="00805948">
        <w:rPr>
          <w:rFonts w:ascii="Times New Roman" w:hAnsi="Times New Roman" w:cs="Times New Roman"/>
        </w:rPr>
        <w:t xml:space="preserve"> and </w:t>
      </w:r>
      <w:proofErr w:type="spellStart"/>
      <w:r w:rsidRPr="00805948">
        <w:rPr>
          <w:rFonts w:ascii="Times New Roman" w:hAnsi="Times New Roman" w:cs="Times New Roman"/>
        </w:rPr>
        <w:t>Δcycle</w:t>
      </w:r>
      <w:proofErr w:type="spellEnd"/>
      <w:r w:rsidRPr="00805948">
        <w:rPr>
          <w:rFonts w:ascii="Times New Roman" w:hAnsi="Times New Roman" w:cs="Times New Roman"/>
        </w:rPr>
        <w:t xml:space="preserve"> are the changes between the post and pre periods in the trend and cycle estimates for each state. </w:t>
      </w:r>
    </w:p>
    <w:p w:rsidR="00295332" w:rsidRPr="00805948" w:rsidRDefault="004C0CA0" w:rsidP="008E02A3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</w:rPr>
      </w:pPr>
      <w:r w:rsidRPr="00805948">
        <w:rPr>
          <w:rFonts w:ascii="Times New Roman" w:hAnsi="Times New Roman" w:cs="Times New Roman"/>
        </w:rPr>
        <w:t>The variable</w:t>
      </w:r>
      <w:r w:rsidR="00B05357" w:rsidRPr="00805948">
        <w:rPr>
          <w:rFonts w:ascii="Times New Roman" w:hAnsi="Times New Roman" w:cs="Times New Roman"/>
        </w:rPr>
        <w:t>s</w:t>
      </w:r>
      <w:r w:rsidRPr="00805948">
        <w:rPr>
          <w:rFonts w:ascii="Times New Roman" w:hAnsi="Times New Roman" w:cs="Times New Roman"/>
        </w:rPr>
        <w:t xml:space="preserve"> </w:t>
      </w:r>
      <w:proofErr w:type="spellStart"/>
      <w:r w:rsidR="00B05357" w:rsidRPr="00805948">
        <w:rPr>
          <w:rFonts w:ascii="Times New Roman" w:hAnsi="Times New Roman" w:cs="Times New Roman"/>
        </w:rPr>
        <w:t>Δunion</w:t>
      </w:r>
      <w:r w:rsidR="00E63FA7">
        <w:rPr>
          <w:rFonts w:ascii="Times New Roman" w:hAnsi="Times New Roman" w:cs="Times New Roman"/>
          <w:vertAlign w:val="subscript"/>
        </w:rPr>
        <w:t>net</w:t>
      </w:r>
      <w:proofErr w:type="spellEnd"/>
      <w:r w:rsidR="00B05357" w:rsidRPr="00805948">
        <w:rPr>
          <w:rFonts w:ascii="Times New Roman" w:hAnsi="Times New Roman" w:cs="Times New Roman"/>
        </w:rPr>
        <w:t xml:space="preserve"> and </w:t>
      </w:r>
      <w:proofErr w:type="spellStart"/>
      <w:r w:rsidRPr="00805948">
        <w:rPr>
          <w:rFonts w:ascii="Times New Roman" w:hAnsi="Times New Roman" w:cs="Times New Roman"/>
        </w:rPr>
        <w:t>Δmanuf</w:t>
      </w:r>
      <w:r w:rsidR="00E63FA7">
        <w:rPr>
          <w:rFonts w:ascii="Times New Roman" w:hAnsi="Times New Roman" w:cs="Times New Roman"/>
        </w:rPr>
        <w:softHyphen/>
      </w:r>
      <w:r w:rsidR="00E63FA7">
        <w:rPr>
          <w:rFonts w:ascii="Times New Roman" w:hAnsi="Times New Roman" w:cs="Times New Roman"/>
          <w:vertAlign w:val="subscript"/>
        </w:rPr>
        <w:t>net</w:t>
      </w:r>
      <w:proofErr w:type="spellEnd"/>
      <w:r w:rsidRPr="00805948">
        <w:rPr>
          <w:rFonts w:ascii="Times New Roman" w:hAnsi="Times New Roman" w:cs="Times New Roman"/>
        </w:rPr>
        <w:t xml:space="preserve"> </w:t>
      </w:r>
      <w:proofErr w:type="gramStart"/>
      <w:r w:rsidR="00B05357" w:rsidRPr="00805948">
        <w:rPr>
          <w:rFonts w:ascii="Times New Roman" w:hAnsi="Times New Roman" w:cs="Times New Roman"/>
        </w:rPr>
        <w:t>are calculated</w:t>
      </w:r>
      <w:proofErr w:type="gramEnd"/>
      <w:r w:rsidR="00B05357" w:rsidRPr="00805948">
        <w:rPr>
          <w:rFonts w:ascii="Times New Roman" w:hAnsi="Times New Roman" w:cs="Times New Roman"/>
        </w:rPr>
        <w:t xml:space="preserve"> for each state </w:t>
      </w:r>
      <w:r w:rsidR="0087205F" w:rsidRPr="00805948">
        <w:rPr>
          <w:rFonts w:ascii="Times New Roman" w:hAnsi="Times New Roman" w:cs="Times New Roman"/>
        </w:rPr>
        <w:t>with least squares regression to estimate the slope of unionization rate and manufacturing share of employment versus year</w:t>
      </w:r>
      <w:r w:rsidRPr="00805948">
        <w:rPr>
          <w:rFonts w:ascii="Times New Roman" w:hAnsi="Times New Roman" w:cs="Times New Roman"/>
        </w:rPr>
        <w:t>.</w:t>
      </w:r>
      <w:r w:rsidR="00B05357" w:rsidRPr="00805948">
        <w:rPr>
          <w:rFonts w:ascii="Times New Roman" w:hAnsi="Times New Roman" w:cs="Times New Roman"/>
        </w:rPr>
        <w:t xml:space="preserve"> The slope of the regression for each state </w:t>
      </w:r>
      <w:proofErr w:type="gramStart"/>
      <w:r w:rsidR="00B05357" w:rsidRPr="00805948">
        <w:rPr>
          <w:rFonts w:ascii="Times New Roman" w:hAnsi="Times New Roman" w:cs="Times New Roman"/>
        </w:rPr>
        <w:t>is multiplied</w:t>
      </w:r>
      <w:proofErr w:type="gramEnd"/>
      <w:r w:rsidR="00B05357" w:rsidRPr="00805948">
        <w:rPr>
          <w:rFonts w:ascii="Times New Roman" w:hAnsi="Times New Roman" w:cs="Times New Roman"/>
        </w:rPr>
        <w:t xml:space="preserve"> by the number of years over which the regression is performed to provide the values used for</w:t>
      </w:r>
      <w:r w:rsidR="00295332" w:rsidRPr="00805948">
        <w:rPr>
          <w:rFonts w:ascii="Times New Roman" w:hAnsi="Times New Roman" w:cs="Times New Roman"/>
        </w:rPr>
        <w:t xml:space="preserve"> </w:t>
      </w:r>
      <w:proofErr w:type="spellStart"/>
      <w:r w:rsidR="00B05357" w:rsidRPr="00805948">
        <w:rPr>
          <w:rFonts w:ascii="Times New Roman" w:hAnsi="Times New Roman" w:cs="Times New Roman"/>
        </w:rPr>
        <w:t>Δunion</w:t>
      </w:r>
      <w:r w:rsidR="00E63FA7">
        <w:rPr>
          <w:rFonts w:ascii="Times New Roman" w:hAnsi="Times New Roman" w:cs="Times New Roman"/>
          <w:vertAlign w:val="subscript"/>
        </w:rPr>
        <w:t>net</w:t>
      </w:r>
      <w:proofErr w:type="spellEnd"/>
      <w:r w:rsidR="00B05357" w:rsidRPr="00805948">
        <w:rPr>
          <w:rFonts w:ascii="Times New Roman" w:hAnsi="Times New Roman" w:cs="Times New Roman"/>
        </w:rPr>
        <w:t xml:space="preserve"> and </w:t>
      </w:r>
      <w:proofErr w:type="spellStart"/>
      <w:r w:rsidR="00B05357" w:rsidRPr="00805948">
        <w:rPr>
          <w:rFonts w:ascii="Times New Roman" w:hAnsi="Times New Roman" w:cs="Times New Roman"/>
        </w:rPr>
        <w:t>Δmanuf</w:t>
      </w:r>
      <w:r w:rsidR="00E63FA7">
        <w:rPr>
          <w:rFonts w:ascii="Times New Roman" w:hAnsi="Times New Roman" w:cs="Times New Roman"/>
          <w:vertAlign w:val="subscript"/>
        </w:rPr>
        <w:t>net</w:t>
      </w:r>
      <w:proofErr w:type="spellEnd"/>
      <w:r w:rsidR="0087205F" w:rsidRPr="00805948">
        <w:rPr>
          <w:rFonts w:ascii="Times New Roman" w:hAnsi="Times New Roman" w:cs="Times New Roman"/>
        </w:rPr>
        <w:t xml:space="preserve">. The goal of this </w:t>
      </w:r>
      <w:r w:rsidR="00B05357" w:rsidRPr="00805948">
        <w:rPr>
          <w:rFonts w:ascii="Times New Roman" w:hAnsi="Times New Roman" w:cs="Times New Roman"/>
        </w:rPr>
        <w:t xml:space="preserve">method </w:t>
      </w:r>
      <w:r w:rsidR="0087205F" w:rsidRPr="00805948">
        <w:rPr>
          <w:rFonts w:ascii="Times New Roman" w:hAnsi="Times New Roman" w:cs="Times New Roman"/>
        </w:rPr>
        <w:t>is to provide a robust measure of the net change in the union and manufacturing employment shares for each state</w:t>
      </w:r>
      <w:r w:rsidR="00B05357" w:rsidRPr="00805948">
        <w:rPr>
          <w:rFonts w:ascii="Times New Roman" w:hAnsi="Times New Roman" w:cs="Times New Roman"/>
        </w:rPr>
        <w:t xml:space="preserve"> between 1964</w:t>
      </w:r>
      <w:r w:rsidR="0087205F" w:rsidRPr="00805948">
        <w:rPr>
          <w:rFonts w:ascii="Times New Roman" w:hAnsi="Times New Roman" w:cs="Times New Roman"/>
        </w:rPr>
        <w:t xml:space="preserve"> and 2010.</w:t>
      </w:r>
      <w:r w:rsidRPr="00805948">
        <w:rPr>
          <w:rFonts w:ascii="Times New Roman" w:hAnsi="Times New Roman" w:cs="Times New Roman"/>
        </w:rPr>
        <w:t xml:space="preserve"> </w:t>
      </w:r>
      <w:r w:rsidR="0087205F" w:rsidRPr="00805948">
        <w:rPr>
          <w:rFonts w:ascii="Times New Roman" w:hAnsi="Times New Roman" w:cs="Times New Roman"/>
        </w:rPr>
        <w:t xml:space="preserve">The variables </w:t>
      </w:r>
      <w:proofErr w:type="spellStart"/>
      <w:r w:rsidR="0087205F" w:rsidRPr="00805948">
        <w:rPr>
          <w:rFonts w:ascii="Times New Roman" w:hAnsi="Times New Roman" w:cs="Times New Roman"/>
        </w:rPr>
        <w:t>union</w:t>
      </w:r>
      <w:r w:rsidR="00295332" w:rsidRPr="00805948">
        <w:rPr>
          <w:rFonts w:ascii="Times New Roman" w:hAnsi="Times New Roman" w:cs="Times New Roman"/>
          <w:vertAlign w:val="subscript"/>
        </w:rPr>
        <w:t>mean</w:t>
      </w:r>
      <w:proofErr w:type="spellEnd"/>
      <w:r w:rsidR="00295332" w:rsidRPr="00805948">
        <w:rPr>
          <w:rFonts w:ascii="Times New Roman" w:hAnsi="Times New Roman" w:cs="Times New Roman"/>
          <w:vertAlign w:val="subscript"/>
        </w:rPr>
        <w:t xml:space="preserve"> post</w:t>
      </w:r>
      <w:r w:rsidR="00295332" w:rsidRPr="00805948">
        <w:rPr>
          <w:rFonts w:ascii="Times New Roman" w:hAnsi="Times New Roman" w:cs="Times New Roman"/>
        </w:rPr>
        <w:t xml:space="preserve"> and </w:t>
      </w:r>
      <w:proofErr w:type="spellStart"/>
      <w:r w:rsidR="00295332" w:rsidRPr="00805948">
        <w:rPr>
          <w:rFonts w:ascii="Times New Roman" w:hAnsi="Times New Roman" w:cs="Times New Roman"/>
        </w:rPr>
        <w:t>manuf</w:t>
      </w:r>
      <w:r w:rsidR="00295332" w:rsidRPr="00805948">
        <w:rPr>
          <w:rFonts w:ascii="Times New Roman" w:hAnsi="Times New Roman" w:cs="Times New Roman"/>
          <w:vertAlign w:val="subscript"/>
        </w:rPr>
        <w:softHyphen/>
        <w:t>mean</w:t>
      </w:r>
      <w:proofErr w:type="spellEnd"/>
      <w:r w:rsidR="00295332" w:rsidRPr="00805948">
        <w:rPr>
          <w:rFonts w:ascii="Times New Roman" w:hAnsi="Times New Roman" w:cs="Times New Roman"/>
          <w:vertAlign w:val="subscript"/>
        </w:rPr>
        <w:t xml:space="preserve"> post</w:t>
      </w:r>
      <w:r w:rsidR="00295332" w:rsidRPr="00805948">
        <w:rPr>
          <w:rFonts w:ascii="Times New Roman" w:hAnsi="Times New Roman" w:cs="Times New Roman"/>
        </w:rPr>
        <w:t xml:space="preserve"> are the mean state-level unionization and manufacturing employment rates in the post period.   </w:t>
      </w:r>
    </w:p>
    <w:p w:rsidR="008E02A3" w:rsidRDefault="008E02A3" w:rsidP="008E02A3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</w:rPr>
      </w:pPr>
    </w:p>
    <w:p w:rsidR="00B05357" w:rsidRPr="00805948" w:rsidRDefault="00B05357" w:rsidP="008E02A3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bCs/>
        </w:rPr>
      </w:pPr>
      <w:r w:rsidRPr="00805948">
        <w:rPr>
          <w:rFonts w:ascii="Times New Roman" w:hAnsi="Times New Roman" w:cs="Times New Roman"/>
          <w:b/>
        </w:rPr>
        <w:t xml:space="preserve">Table </w:t>
      </w:r>
      <w:proofErr w:type="gramStart"/>
      <w:r w:rsidRPr="00805948">
        <w:rPr>
          <w:rFonts w:ascii="Times New Roman" w:hAnsi="Times New Roman" w:cs="Times New Roman"/>
          <w:b/>
        </w:rPr>
        <w:t xml:space="preserve">A2  </w:t>
      </w:r>
      <w:r w:rsidRPr="00805948">
        <w:rPr>
          <w:rFonts w:ascii="Times New Roman" w:hAnsi="Times New Roman" w:cs="Times New Roman"/>
          <w:b/>
          <w:bCs/>
        </w:rPr>
        <w:t>Summary</w:t>
      </w:r>
      <w:proofErr w:type="gramEnd"/>
      <w:r w:rsidRPr="00805948">
        <w:rPr>
          <w:rFonts w:ascii="Times New Roman" w:hAnsi="Times New Roman" w:cs="Times New Roman"/>
          <w:b/>
          <w:bCs/>
        </w:rPr>
        <w:t xml:space="preserve"> Statistics –Two Stage Regressions 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80"/>
        <w:gridCol w:w="1660"/>
        <w:gridCol w:w="1660"/>
        <w:gridCol w:w="1660"/>
        <w:gridCol w:w="1660"/>
      </w:tblGrid>
      <w:tr w:rsidR="00033D62" w:rsidRPr="00033D62" w:rsidTr="00033D62">
        <w:trPr>
          <w:trHeight w:val="439"/>
        </w:trPr>
        <w:tc>
          <w:tcPr>
            <w:tcW w:w="18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</w:t>
            </w:r>
          </w:p>
        </w:tc>
      </w:tr>
      <w:tr w:rsidR="00033D62" w:rsidRPr="00033D62" w:rsidTr="00033D62">
        <w:trPr>
          <w:trHeight w:val="439"/>
        </w:trPr>
        <w:tc>
          <w:tcPr>
            <w:tcW w:w="852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= 46</w:t>
            </w: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pre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1.089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0.499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0.101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2.328</w:t>
            </w: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post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0.730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0.404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-0.231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1.845</w:t>
            </w:r>
          </w:p>
        </w:tc>
      </w:tr>
      <w:tr w:rsidR="00033D62" w:rsidRPr="00033D62" w:rsidTr="00033D62">
        <w:trPr>
          <w:trHeight w:val="19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cycle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pre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-0.287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0.114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-0.479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-0.031</w:t>
            </w: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cycle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post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-0.234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0.113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-0.470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Δcycle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0.092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-0.087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0.430</w:t>
            </w:r>
          </w:p>
        </w:tc>
      </w:tr>
      <w:tr w:rsidR="00033D62" w:rsidRPr="00033D62" w:rsidTr="00033D62">
        <w:trPr>
          <w:trHeight w:val="19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trend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pre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3.854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1.029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1.827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6.214</w:t>
            </w: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trend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post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3.244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1.207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0.562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7.170</w:t>
            </w: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Δtrend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-0.611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1.417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-4.630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5.343</w:t>
            </w:r>
          </w:p>
        </w:tc>
      </w:tr>
      <w:tr w:rsidR="00033D62" w:rsidRPr="00033D62" w:rsidTr="00033D62">
        <w:trPr>
          <w:trHeight w:val="19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E63FA7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Δunion</w:t>
            </w:r>
            <w:r w:rsidR="00E63FA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-17.000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6.813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-35.000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-4.872</w:t>
            </w: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E63FA7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Δmanuf</w:t>
            </w:r>
            <w:r w:rsidR="00E63FA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-0.198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0.098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-0.357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</w:tr>
      <w:tr w:rsidR="00033D62" w:rsidRPr="00033D62" w:rsidTr="00033D62">
        <w:trPr>
          <w:trHeight w:val="19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union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13.290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5.792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4.220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26.840</w:t>
            </w:r>
          </w:p>
        </w:tc>
      </w:tr>
      <w:tr w:rsidR="00033D62" w:rsidRPr="00033D62" w:rsidTr="00033D62">
        <w:trPr>
          <w:trHeight w:val="439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manuf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softHyphen/>
              <w:t>mean</w:t>
            </w:r>
            <w:proofErr w:type="spellEnd"/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0.137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0.046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62" w:rsidRPr="00033D62" w:rsidRDefault="00033D62" w:rsidP="00033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3D62">
              <w:rPr>
                <w:rFonts w:ascii="Times New Roman" w:eastAsia="Times New Roman" w:hAnsi="Times New Roman" w:cs="Times New Roman"/>
                <w:color w:val="000000"/>
              </w:rPr>
              <w:t>0.219</w:t>
            </w:r>
          </w:p>
        </w:tc>
      </w:tr>
    </w:tbl>
    <w:p w:rsidR="004C0CA0" w:rsidRDefault="00295332" w:rsidP="009D15B8">
      <w:pPr>
        <w:spacing w:before="100" w:beforeAutospacing="1" w:after="100" w:afterAutospacing="1" w:line="240" w:lineRule="auto"/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 w:rsidRPr="00295332">
        <w:rPr>
          <w:rFonts w:ascii="Times New Roman" w:hAnsi="Times New Roman" w:cs="Times New Roman"/>
          <w:sz w:val="20"/>
          <w:szCs w:val="20"/>
        </w:rPr>
        <w:lastRenderedPageBreak/>
        <w:t>Notes</w:t>
      </w:r>
      <w:r w:rsidR="00C87BB9">
        <w:rPr>
          <w:rFonts w:ascii="Times New Roman" w:hAnsi="Times New Roman" w:cs="Times New Roman"/>
          <w:sz w:val="20"/>
          <w:szCs w:val="20"/>
        </w:rPr>
        <w:t>:</w:t>
      </w:r>
      <w:r w:rsidR="00805948">
        <w:rPr>
          <w:rFonts w:ascii="Times New Roman" w:hAnsi="Times New Roman" w:cs="Times New Roman"/>
          <w:sz w:val="20"/>
          <w:szCs w:val="20"/>
        </w:rPr>
        <w:t xml:space="preserve"> </w:t>
      </w:r>
      <w:r w:rsidR="00AE4FCB">
        <w:rPr>
          <w:rFonts w:ascii="Times New Roman" w:hAnsi="Times New Roman" w:cs="Times New Roman"/>
          <w:sz w:val="20"/>
          <w:szCs w:val="20"/>
        </w:rPr>
        <w:t xml:space="preserve">Excludes </w:t>
      </w:r>
      <w:r w:rsidR="00AE4FCB" w:rsidRPr="00AE4FCB">
        <w:rPr>
          <w:rFonts w:ascii="Times New Roman" w:hAnsi="Times New Roman" w:cs="Times New Roman"/>
          <w:sz w:val="20"/>
          <w:szCs w:val="20"/>
        </w:rPr>
        <w:t xml:space="preserve">outlier states: Alaska, North Dakota, Louisiana and Wyoming. Regressions performed in R with lm function. </w:t>
      </w:r>
      <w:r w:rsidR="008E02A3" w:rsidRPr="00AE4FCB">
        <w:rPr>
          <w:rFonts w:ascii="Times New Roman" w:hAnsi="Times New Roman" w:cs="Times New Roman"/>
          <w:sz w:val="20"/>
          <w:szCs w:val="20"/>
        </w:rPr>
        <w:t>See Table 1 notes for a summary of methods for the calculation of the standard errors of the</w:t>
      </w:r>
      <w:r w:rsidR="008E02A3">
        <w:rPr>
          <w:rFonts w:ascii="Times New Roman" w:hAnsi="Times New Roman" w:cs="Times New Roman"/>
          <w:sz w:val="20"/>
          <w:szCs w:val="20"/>
        </w:rPr>
        <w:t xml:space="preserve"> trend estimates.</w:t>
      </w:r>
      <w:bookmarkStart w:id="0" w:name="_GoBack"/>
      <w:bookmarkEnd w:id="0"/>
    </w:p>
    <w:p w:rsidR="008E02A3" w:rsidRPr="00295332" w:rsidRDefault="008E02A3" w:rsidP="008E02A3">
      <w:pPr>
        <w:spacing w:before="100" w:beforeAutospacing="1" w:after="100" w:afterAutospacing="1" w:line="240" w:lineRule="auto"/>
        <w:ind w:left="720" w:right="720" w:firstLine="720"/>
        <w:jc w:val="both"/>
        <w:rPr>
          <w:rFonts w:ascii="Times New Roman" w:hAnsi="Times New Roman" w:cs="Times New Roman"/>
          <w:sz w:val="20"/>
          <w:szCs w:val="20"/>
        </w:rPr>
      </w:pPr>
    </w:p>
    <w:sectPr w:rsidR="008E02A3" w:rsidRPr="0029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EC"/>
    <w:rsid w:val="00033D62"/>
    <w:rsid w:val="00155953"/>
    <w:rsid w:val="00295332"/>
    <w:rsid w:val="004C0CA0"/>
    <w:rsid w:val="007F6DBE"/>
    <w:rsid w:val="00805948"/>
    <w:rsid w:val="0087205F"/>
    <w:rsid w:val="008C2F34"/>
    <w:rsid w:val="008E02A3"/>
    <w:rsid w:val="009D15B8"/>
    <w:rsid w:val="00AE4FCB"/>
    <w:rsid w:val="00B05357"/>
    <w:rsid w:val="00C87BB9"/>
    <w:rsid w:val="00CD651F"/>
    <w:rsid w:val="00DC7EEC"/>
    <w:rsid w:val="00E6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8</cp:revision>
  <dcterms:created xsi:type="dcterms:W3CDTF">2012-04-27T05:03:00Z</dcterms:created>
  <dcterms:modified xsi:type="dcterms:W3CDTF">2012-04-28T01:43:00Z</dcterms:modified>
</cp:coreProperties>
</file>