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fair"/>
    <w:p>
      <w:pPr>
        <w:pStyle w:val="Heading1"/>
      </w:pPr>
      <w:r>
        <w:t xml:space="preserve">★★☆☆☆ - Fair</w:t>
      </w:r>
    </w:p>
    <w:p>
      <w:pPr>
        <w:pStyle w:val="FirstParagraph"/>
      </w:pPr>
      <w:r>
        <w:rPr>
          <w:b/>
          <w:bCs/>
        </w:rPr>
        <w:t xml:space="preserve">Overall Score:</w:t>
      </w:r>
      <w:r>
        <w:t xml:space="preserve"> </w:t>
      </w:r>
      <w:r>
        <w:t xml:space="preserve">61.7/100</w:t>
      </w:r>
    </w:p>
    <w:bookmarkStart w:id="9" w:name="metrics-breakdown"/>
    <w:p>
      <w:pPr>
        <w:pStyle w:val="Heading2"/>
      </w:pPr>
      <w:r>
        <w:t xml:space="preserve">Metrics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Interpretation</w:t>
            </w:r>
          </w:p>
        </w:tc>
      </w:tr>
      <w:tr>
        <w:tc>
          <w:tcPr/>
          <w:p>
            <w:pPr>
              <w:pStyle w:val="Compact"/>
            </w:pPr>
            <w:r>
              <w:t xml:space="preserve">M1 - Pest &amp; Pathogen Independence</w:t>
            </w:r>
          </w:p>
        </w:tc>
        <w:tc>
          <w:tcPr/>
          <w:p>
            <w:pPr>
              <w:pStyle w:val="Compact"/>
            </w:pPr>
            <w:r>
              <w:t xml:space="preserve">70.4</w:t>
            </w:r>
          </w:p>
        </w:tc>
        <w:tc>
          <w:tcPr/>
          <w:p>
            <w:pPr>
              <w:pStyle w:val="Compact"/>
            </w:pPr>
            <w:r>
              <w:t xml:space="preserve">Good</w:t>
            </w:r>
          </w:p>
        </w:tc>
      </w:tr>
      <w:tr>
        <w:tc>
          <w:tcPr/>
          <w:p>
            <w:pPr>
              <w:pStyle w:val="Compact"/>
            </w:pPr>
            <w:r>
              <w:t xml:space="preserve">M2 - Growth Compatibility</w:t>
            </w:r>
          </w:p>
        </w:tc>
        <w:tc>
          <w:tcPr/>
          <w:p>
            <w:pPr>
              <w:pStyle w:val="Compact"/>
            </w:pPr>
            <w:r>
              <w:t xml:space="preserve">0.0</w:t>
            </w:r>
          </w:p>
        </w:tc>
        <w:tc>
          <w:tcPr/>
          <w:p>
            <w:pPr>
              <w:pStyle w:val="Compact"/>
            </w:pPr>
            <w:r>
              <w:t xml:space="preserve">Poor</w:t>
            </w:r>
          </w:p>
        </w:tc>
      </w:tr>
      <w:tr>
        <w:tc>
          <w:tcPr/>
          <w:p>
            <w:pPr>
              <w:pStyle w:val="Compact"/>
            </w:pPr>
            <w:r>
              <w:t xml:space="preserve">M3 - Insect Pest Control</w:t>
            </w:r>
          </w:p>
        </w:tc>
        <w:tc>
          <w:tcPr/>
          <w:p>
            <w:pPr>
              <w:pStyle w:val="Compact"/>
            </w:pPr>
            <w:r>
              <w:t xml:space="preserve">100.0</w:t>
            </w:r>
          </w:p>
        </w:tc>
        <w:tc>
          <w:tcPr/>
          <w:p>
            <w:pPr>
              <w:pStyle w:val="Compact"/>
            </w:pPr>
            <w:r>
              <w:t xml:space="preserve">Excellent</w:t>
            </w:r>
          </w:p>
        </w:tc>
      </w:tr>
      <w:tr>
        <w:tc>
          <w:tcPr/>
          <w:p>
            <w:pPr>
              <w:pStyle w:val="Compact"/>
            </w:pPr>
            <w:r>
              <w:t xml:space="preserve">M4 - Disease Suppression</w:t>
            </w:r>
          </w:p>
        </w:tc>
        <w:tc>
          <w:tcPr/>
          <w:p>
            <w:pPr>
              <w:pStyle w:val="Compact"/>
            </w:pPr>
            <w:r>
              <w:t xml:space="preserve">80.0</w:t>
            </w:r>
          </w:p>
        </w:tc>
        <w:tc>
          <w:tcPr/>
          <w:p>
            <w:pPr>
              <w:pStyle w:val="Compact"/>
            </w:pPr>
            <w:r>
              <w:t xml:space="preserve">Excellent</w:t>
            </w:r>
          </w:p>
        </w:tc>
      </w:tr>
      <w:tr>
        <w:tc>
          <w:tcPr/>
          <w:p>
            <w:pPr>
              <w:pStyle w:val="Compact"/>
            </w:pPr>
            <w:r>
              <w:t xml:space="preserve">M5 - Beneficial Fungi</w:t>
            </w:r>
          </w:p>
        </w:tc>
        <w:tc>
          <w:tcPr/>
          <w:p>
            <w:pPr>
              <w:pStyle w:val="Compact"/>
            </w:pPr>
            <w:r>
              <w:t xml:space="preserve">70.0</w:t>
            </w:r>
          </w:p>
        </w:tc>
        <w:tc>
          <w:tcPr/>
          <w:p>
            <w:pPr>
              <w:pStyle w:val="Compact"/>
            </w:pPr>
            <w:r>
              <w:t xml:space="preserve">Good</w:t>
            </w:r>
          </w:p>
        </w:tc>
      </w:tr>
      <w:tr>
        <w:tc>
          <w:tcPr/>
          <w:p>
            <w:pPr>
              <w:pStyle w:val="Compact"/>
            </w:pPr>
            <w:r>
              <w:t xml:space="preserve">M6 - Structural Diversity</w:t>
            </w:r>
          </w:p>
        </w:tc>
        <w:tc>
          <w:tcPr/>
          <w:p>
            <w:pPr>
              <w:pStyle w:val="Compact"/>
            </w:pPr>
            <w:r>
              <w:t xml:space="preserve">16.7</w:t>
            </w:r>
          </w:p>
        </w:tc>
        <w:tc>
          <w:tcPr/>
          <w:p>
            <w:pPr>
              <w:pStyle w:val="Compact"/>
            </w:pPr>
            <w:r>
              <w:t xml:space="preserve">Poor</w:t>
            </w:r>
          </w:p>
        </w:tc>
      </w:tr>
      <w:tr>
        <w:tc>
          <w:tcPr/>
          <w:p>
            <w:pPr>
              <w:pStyle w:val="Compact"/>
            </w:pPr>
            <w:r>
              <w:t xml:space="preserve">M7 - Pollinator Support</w:t>
            </w:r>
          </w:p>
        </w:tc>
        <w:tc>
          <w:tcPr/>
          <w:p>
            <w:pPr>
              <w:pStyle w:val="Compact"/>
            </w:pPr>
            <w:r>
              <w:t xml:space="preserve">95.0</w:t>
            </w:r>
          </w:p>
        </w:tc>
        <w:tc>
          <w:tcPr/>
          <w:p>
            <w:pPr>
              <w:pStyle w:val="Compact"/>
            </w:pPr>
            <w:r>
              <w:t xml:space="preserve">Excellent</w:t>
            </w:r>
          </w:p>
        </w:tc>
      </w:tr>
    </w:tbl>
    <w:p>
      <w:pPr>
        <w:pStyle w:val="BodyText"/>
      </w:pPr>
      <w:r>
        <w:rPr>
          <w:b/>
          <w:bCs/>
        </w:rPr>
        <w:t xml:space="preserve">How to Read These Scores:</w:t>
      </w:r>
      <w:r>
        <w:t xml:space="preserve"> </w:t>
      </w:r>
      <w:r>
        <w:t xml:space="preserve">Metrics M1-M7 are percentiles (0-100) comparing your guild to 120,000 randomly generated plant combinations in your climate zone—a score of 80 means better than 80% of random guilds. Scores reflect documented ecological interactions and plant information in scientific databases. Higher scores indicate well-documented beneficial relationships; lower scores may indicate either incomplete research or true absence of these interactions.</w:t>
      </w:r>
    </w:p>
    <w:bookmarkEnd w:id="9"/>
    <w:bookmarkStart w:id="10" w:name="climate-compatibility"/>
    <w:p>
      <w:pPr>
        <w:pStyle w:val="Heading2"/>
      </w:pPr>
      <w:r>
        <w:t xml:space="preserve">Climate Compatibility</w:t>
      </w:r>
    </w:p>
    <w:p>
      <w:pPr>
        <w:pStyle w:val="FirstParagraph"/>
      </w:pPr>
      <w:r>
        <w:t xml:space="preserve">✅ All plants compatible with Tier 3 (Humid Temperate)</w:t>
      </w:r>
    </w:p>
    <w:bookmarkEnd w:id="10"/>
    <w:bookmarkStart w:id="25" w:name="metrics-explanation"/>
    <w:p>
      <w:pPr>
        <w:pStyle w:val="Heading2"/>
      </w:pPr>
      <w:r>
        <w:t xml:space="preserve">Metrics Explanation</w:t>
      </w:r>
    </w:p>
    <w:bookmarkStart w:id="12" w:name="X1f6862c18af80217f645930a0c15f1845e2aaf6"/>
    <w:p>
      <w:pPr>
        <w:pStyle w:val="Heading3"/>
      </w:pPr>
      <w:r>
        <w:t xml:space="preserve">Pest and Pathogen Independence (Measured by Phylogenetic Diversity) [M1 - 70.4/100]</w:t>
      </w:r>
    </w:p>
    <w:p>
      <w:pPr>
        <w:pStyle w:val="FirstParagraph"/>
      </w:pPr>
      <w:r>
        <w:t xml:space="preserve">70th percentile (Faith’s PD: 885.18) - Plants are distantly related (high phylogenetic diversity)</w:t>
      </w:r>
      <w:r>
        <w:br/>
      </w:r>
      <w:r>
        <w:t xml:space="preserve">Distant evolutionary relationships mean plants evolved different defense strategies and attract different pest communities. This reduces the risk of pest and pathogen spread across the guild.</w:t>
      </w:r>
    </w:p>
    <w:bookmarkStart w:id="11" w:name="taxonomic-diversity-profile"/>
    <w:p>
      <w:pPr>
        <w:pStyle w:val="Heading4"/>
      </w:pPr>
      <w:r>
        <w:t xml:space="preserve">Taxonomic Diversity Profile</w:t>
      </w:r>
    </w:p>
    <w:p>
      <w:pPr>
        <w:pStyle w:val="FirstParagraph"/>
      </w:pPr>
      <w:r>
        <w:rPr>
          <w:i/>
          <w:iCs/>
        </w:rPr>
        <w:t xml:space="preserve">Taxonomic diversity (variety of families and genera) generally correlates with phylogenetic diversity, as plants from different families typically share more distant evolutionary ancestry. However, the relationship is not perfect—phylogenetic diversity (measured using Faith’s PD) quantifies total evolutionary history by summing branch lengths in the evolutionary tree, where branch lengths represent millions of years of independent evolution. This is what our percentile calculations are based on.</w:t>
      </w:r>
    </w:p>
    <w:p>
      <w:pPr>
        <w:pStyle w:val="BodyText"/>
      </w:pPr>
      <w:r>
        <w:rPr>
          <w:b/>
          <w:bCs/>
        </w:rPr>
        <w:t xml:space="preserve">Guild contains: 7 plants from 7 families across 7 genera</w:t>
      </w:r>
    </w:p>
    <w:tbl>
      <w:tblPr>
        <w:tblStyle w:val="Table"/>
        <w:tblW w:type="pct" w:w="5000"/>
        <w:tblLayout w:type="fixed"/>
        <w:tblLook w:firstRow="1" w:lastRow="0" w:firstColumn="0" w:lastColumn="0" w:noHBand="0" w:noVBand="0" w:val="0020"/>
      </w:tblPr>
      <w:tblGrid>
        <w:gridCol w:w="1584"/>
        <w:gridCol w:w="1386"/>
        <w:gridCol w:w="4950"/>
      </w:tblGrid>
      <w:tr>
        <w:trPr>
          <w:tblHeader w:val="on"/>
        </w:trPr>
        <w:tc>
          <w:tcPr/>
          <w:p>
            <w:pPr>
              <w:pStyle w:val="Compact"/>
            </w:pPr>
            <w:r>
              <w:t xml:space="preserve">Family</w:t>
            </w:r>
          </w:p>
        </w:tc>
        <w:tc>
          <w:tcPr/>
          <w:p>
            <w:pPr>
              <w:pStyle w:val="Compact"/>
            </w:pPr>
            <w:r>
              <w:t xml:space="preserve">Genus</w:t>
            </w:r>
          </w:p>
        </w:tc>
        <w:tc>
          <w:tcPr/>
          <w:p>
            <w:pPr>
              <w:pStyle w:val="Compact"/>
            </w:pPr>
            <w:r>
              <w:t xml:space="preserve">Plant (Vernacular Name)</w:t>
            </w:r>
          </w:p>
        </w:tc>
      </w:tr>
      <w:tr>
        <w:tc>
          <w:tcPr/>
          <w:p>
            <w:pPr>
              <w:pStyle w:val="Compact"/>
            </w:pPr>
            <w:r>
              <w:t xml:space="preserve">Amaranthaceae</w:t>
            </w:r>
          </w:p>
        </w:tc>
        <w:tc>
          <w:tcPr/>
          <w:p>
            <w:pPr>
              <w:pStyle w:val="Compact"/>
            </w:pPr>
            <w:r>
              <w:t xml:space="preserve">Pfaffia</w:t>
            </w:r>
          </w:p>
        </w:tc>
        <w:tc>
          <w:tcPr/>
          <w:p>
            <w:pPr>
              <w:pStyle w:val="Compact"/>
            </w:pPr>
            <w:r>
              <w:t xml:space="preserve">Pfaffia gnaphalioides</w:t>
            </w:r>
          </w:p>
        </w:tc>
      </w:tr>
      <w:tr>
        <w:tc>
          <w:tcPr/>
          <w:p>
            <w:pPr>
              <w:pStyle w:val="Compact"/>
            </w:pPr>
            <w:r>
              <w:t xml:space="preserve">Amaryllidaceae</w:t>
            </w:r>
          </w:p>
        </w:tc>
        <w:tc>
          <w:tcPr/>
          <w:p>
            <w:pPr>
              <w:pStyle w:val="Compact"/>
            </w:pPr>
            <w:r>
              <w:t xml:space="preserve">Allium</w:t>
            </w:r>
          </w:p>
        </w:tc>
        <w:tc>
          <w:tcPr/>
          <w:p>
            <w:pPr>
              <w:pStyle w:val="Compact"/>
            </w:pPr>
            <w:r>
              <w:t xml:space="preserve">Allium schoenoprasum (Chives, Wild Chives)</w:t>
            </w:r>
          </w:p>
        </w:tc>
      </w:tr>
      <w:tr>
        <w:tc>
          <w:tcPr/>
          <w:p>
            <w:pPr>
              <w:pStyle w:val="Compact"/>
            </w:pPr>
            <w:r>
              <w:t xml:space="preserve">Araliaceae</w:t>
            </w:r>
          </w:p>
        </w:tc>
        <w:tc>
          <w:tcPr/>
          <w:p>
            <w:pPr>
              <w:pStyle w:val="Compact"/>
            </w:pPr>
            <w:r>
              <w:t xml:space="preserve">Cheirodendron</w:t>
            </w:r>
          </w:p>
        </w:tc>
        <w:tc>
          <w:tcPr/>
          <w:p>
            <w:pPr>
              <w:pStyle w:val="Compact"/>
            </w:pPr>
            <w:r>
              <w:t xml:space="preserve">Cheirodendron trigynum (Olapa, Common Cheirodendron, ʻōlapa)</w:t>
            </w:r>
          </w:p>
        </w:tc>
      </w:tr>
      <w:tr>
        <w:tc>
          <w:tcPr/>
          <w:p>
            <w:pPr>
              <w:pStyle w:val="Compact"/>
            </w:pPr>
            <w:r>
              <w:t xml:space="preserve">Betulaceae</w:t>
            </w:r>
          </w:p>
        </w:tc>
        <w:tc>
          <w:tcPr/>
          <w:p>
            <w:pPr>
              <w:pStyle w:val="Compact"/>
            </w:pPr>
            <w:r>
              <w:t xml:space="preserve">Alnus</w:t>
            </w:r>
          </w:p>
        </w:tc>
        <w:tc>
          <w:tcPr/>
          <w:p>
            <w:pPr>
              <w:pStyle w:val="Compact"/>
            </w:pPr>
            <w:r>
              <w:t xml:space="preserve">Alnus acuminata (Andean Alder)</w:t>
            </w:r>
          </w:p>
        </w:tc>
      </w:tr>
      <w:tr>
        <w:tc>
          <w:tcPr/>
          <w:p>
            <w:pPr>
              <w:pStyle w:val="Compact"/>
            </w:pPr>
            <w:r>
              <w:t xml:space="preserve">Leguminosae</w:t>
            </w:r>
          </w:p>
        </w:tc>
        <w:tc>
          <w:tcPr/>
          <w:p>
            <w:pPr>
              <w:pStyle w:val="Compact"/>
            </w:pPr>
            <w:r>
              <w:t xml:space="preserve">Erythrina</w:t>
            </w:r>
          </w:p>
        </w:tc>
        <w:tc>
          <w:tcPr/>
          <w:p>
            <w:pPr>
              <w:pStyle w:val="Compact"/>
            </w:pPr>
            <w:r>
              <w:t xml:space="preserve">Erythrina sandwicensis (Wiliwili, Hawaiian Coral Tree)</w:t>
            </w:r>
          </w:p>
        </w:tc>
      </w:tr>
      <w:tr>
        <w:tc>
          <w:tcPr/>
          <w:p>
            <w:pPr>
              <w:pStyle w:val="Compact"/>
            </w:pPr>
            <w:r>
              <w:t xml:space="preserve">Myristicaceae</w:t>
            </w:r>
          </w:p>
        </w:tc>
        <w:tc>
          <w:tcPr/>
          <w:p>
            <w:pPr>
              <w:pStyle w:val="Compact"/>
            </w:pPr>
            <w:r>
              <w:t xml:space="preserve">Virola</w:t>
            </w:r>
          </w:p>
        </w:tc>
        <w:tc>
          <w:tcPr/>
          <w:p>
            <w:pPr>
              <w:pStyle w:val="Compact"/>
            </w:pPr>
            <w:r>
              <w:t xml:space="preserve">Virola bicuhyba</w:t>
            </w:r>
          </w:p>
        </w:tc>
      </w:tr>
      <w:tr>
        <w:tc>
          <w:tcPr/>
          <w:p>
            <w:pPr>
              <w:pStyle w:val="Compact"/>
            </w:pPr>
            <w:r>
              <w:t xml:space="preserve">Vitaceae</w:t>
            </w:r>
          </w:p>
        </w:tc>
        <w:tc>
          <w:tcPr/>
          <w:p>
            <w:pPr>
              <w:pStyle w:val="Compact"/>
            </w:pPr>
            <w:r>
              <w:t xml:space="preserve">Vitis</w:t>
            </w:r>
          </w:p>
        </w:tc>
        <w:tc>
          <w:tcPr/>
          <w:p>
            <w:pPr>
              <w:pStyle w:val="Compact"/>
            </w:pPr>
            <w:r>
              <w:t xml:space="preserve">Vitis vinifera (Wine Grape, Grape Vine, Common Grape)</w:t>
            </w:r>
          </w:p>
        </w:tc>
      </w:tr>
    </w:tbl>
    <w:p>
      <w:pPr>
        <w:pStyle w:val="BodyText"/>
      </w:pPr>
      <w:r>
        <w:rPr>
          <w:b/>
          <w:bCs/>
        </w:rPr>
        <w:t xml:space="preserve">Family clustering:</w:t>
      </w:r>
      <w:r>
        <w:t xml:space="preserve"> </w:t>
      </w:r>
      <w:r>
        <w:t xml:space="preserve">Amaranthaceae (1 plant), Amaryllidaceae (1 plant), Araliaceae (1 plant), Betulaceae (1 plant), Leguminosae (1 plant), Myristicaceae (1 plant), Vitaceae (1 plant)</w:t>
      </w:r>
    </w:p>
    <w:bookmarkEnd w:id="11"/>
    <w:bookmarkEnd w:id="12"/>
    <w:bookmarkStart w:id="14" w:name="X467fa0657ceaae33997b928ae799f38f4ea1488"/>
    <w:p>
      <w:pPr>
        <w:pStyle w:val="Heading3"/>
      </w:pPr>
      <w:r>
        <w:t xml:space="preserve">Growth Strategy Compatibility [M2 - 0.0/100]</w:t>
      </w:r>
    </w:p>
    <w:p>
      <w:pPr>
        <w:pStyle w:val="FirstParagraph"/>
      </w:pPr>
      <w:r>
        <w:t xml:space="preserve">0th percentile compatibility</w:t>
      </w:r>
      <w:r>
        <w:br/>
      </w:r>
      <w:r>
        <w:t xml:space="preserve">CSR strategies measure how plants allocate resources to Competitive growth, Stress tolerance, or Ruderal (disturbance) strategies. Guild composition: 5 Competitive-dominant, 2 Stress-tolerant-dominant (high CSR values: &gt;75th percentile). Many potential conflicts detected - see CSR Strategy Profile below for details and recommendations.</w:t>
      </w:r>
    </w:p>
    <w:bookmarkStart w:id="13" w:name="csr-strategy-profile"/>
    <w:p>
      <w:pPr>
        <w:pStyle w:val="Heading4"/>
      </w:pPr>
      <w:r>
        <w:t xml:space="preserve">CSR Strategy Profile</w:t>
      </w:r>
    </w:p>
    <w:p>
      <w:pPr>
        <w:pStyle w:val="FirstParagraph"/>
      </w:pPr>
      <w:r>
        <w:rPr>
          <w:i/>
          <w:iCs/>
        </w:rPr>
        <w:t xml:space="preserve">Per-plant CSR breakdown and compatibility analysis</w:t>
      </w:r>
    </w:p>
    <w:p>
      <w:pPr>
        <w:pStyle w:val="BodyText"/>
      </w:pPr>
      <w:r>
        <w:rPr>
          <w:b/>
          <w:bCs/>
        </w:rPr>
        <w:t xml:space="preserve">Plant CSR Strategies:</w:t>
      </w:r>
    </w:p>
    <w:tbl>
      <w:tblPr>
        <w:tblStyle w:val="Table"/>
        <w:tblW w:type="pct" w:w="5000"/>
        <w:tblLayout w:type="fixed"/>
        <w:tblLook w:firstRow="1" w:lastRow="0" w:firstColumn="0" w:lastColumn="0" w:noHBand="0" w:noVBand="0" w:val="0020"/>
      </w:tblPr>
      <w:tblGrid>
        <w:gridCol w:w="1108"/>
        <w:gridCol w:w="1267"/>
        <w:gridCol w:w="1267"/>
        <w:gridCol w:w="1267"/>
        <w:gridCol w:w="3009"/>
      </w:tblGrid>
      <w:tr>
        <w:trPr>
          <w:tblHeader w:val="on"/>
        </w:trPr>
        <w:tc>
          <w:tcPr/>
          <w:p>
            <w:pPr>
              <w:pStyle w:val="Compact"/>
            </w:pPr>
            <w:r>
              <w:t xml:space="preserve">Plant</w:t>
            </w:r>
          </w:p>
        </w:tc>
        <w:tc>
          <w:tcPr/>
          <w:p>
            <w:pPr>
              <w:pStyle w:val="Compact"/>
            </w:pPr>
            <w:r>
              <w:t xml:space="preserve">C %ile</w:t>
            </w:r>
          </w:p>
        </w:tc>
        <w:tc>
          <w:tcPr/>
          <w:p>
            <w:pPr>
              <w:pStyle w:val="Compact"/>
            </w:pPr>
            <w:r>
              <w:t xml:space="preserve">S %ile</w:t>
            </w:r>
          </w:p>
        </w:tc>
        <w:tc>
          <w:tcPr/>
          <w:p>
            <w:pPr>
              <w:pStyle w:val="Compact"/>
            </w:pPr>
            <w:r>
              <w:t xml:space="preserve">R %ile</w:t>
            </w:r>
          </w:p>
        </w:tc>
        <w:tc>
          <w:tcPr/>
          <w:p>
            <w:pPr>
              <w:pStyle w:val="Compact"/>
            </w:pPr>
            <w:r>
              <w:t xml:space="preserve">Dominant Strategy</w:t>
            </w:r>
          </w:p>
        </w:tc>
      </w:tr>
      <w:tr>
        <w:tc>
          <w:tcPr/>
          <w:p>
            <w:pPr>
              <w:pStyle w:val="Compact"/>
            </w:pPr>
            <w:r>
              <w:t xml:space="preserve">Allium schoenoprasum (Chives)</w:t>
            </w:r>
          </w:p>
        </w:tc>
        <w:tc>
          <w:tcPr/>
          <w:p>
            <w:pPr>
              <w:pStyle w:val="Compact"/>
            </w:pPr>
            <w:r>
              <w:t xml:space="preserve">25</w:t>
            </w:r>
          </w:p>
        </w:tc>
        <w:tc>
          <w:tcPr/>
          <w:p>
            <w:pPr>
              <w:pStyle w:val="Compact"/>
            </w:pPr>
            <w:r>
              <w:t xml:space="preserve">89 ⚠</w:t>
            </w:r>
          </w:p>
        </w:tc>
        <w:tc>
          <w:tcPr/>
          <w:p>
            <w:pPr>
              <w:pStyle w:val="Compact"/>
            </w:pPr>
            <w:r>
              <w:t xml:space="preserve">0</w:t>
            </w:r>
          </w:p>
        </w:tc>
        <w:tc>
          <w:tcPr/>
          <w:p>
            <w:pPr>
              <w:pStyle w:val="Compact"/>
            </w:pPr>
            <w:r>
              <w:t xml:space="preserve">Stress-tolerant</w:t>
            </w:r>
          </w:p>
        </w:tc>
      </w:tr>
      <w:tr>
        <w:tc>
          <w:tcPr/>
          <w:p>
            <w:pPr>
              <w:pStyle w:val="Compact"/>
            </w:pPr>
            <w:r>
              <w:t xml:space="preserve">Alnus acuminata (Andean Alder)</w:t>
            </w:r>
          </w:p>
        </w:tc>
        <w:tc>
          <w:tcPr/>
          <w:p>
            <w:pPr>
              <w:pStyle w:val="Compact"/>
            </w:pPr>
            <w:r>
              <w:t xml:space="preserve">55</w:t>
            </w:r>
          </w:p>
        </w:tc>
        <w:tc>
          <w:tcPr/>
          <w:p>
            <w:pPr>
              <w:pStyle w:val="Compact"/>
            </w:pPr>
            <w:r>
              <w:t xml:space="preserve">76 ⚠</w:t>
            </w:r>
          </w:p>
        </w:tc>
        <w:tc>
          <w:tcPr/>
          <w:p>
            <w:pPr>
              <w:pStyle w:val="Compact"/>
            </w:pPr>
            <w:r>
              <w:t xml:space="preserve">0</w:t>
            </w:r>
          </w:p>
        </w:tc>
        <w:tc>
          <w:tcPr/>
          <w:p>
            <w:pPr>
              <w:pStyle w:val="Compact"/>
            </w:pPr>
            <w:r>
              <w:t xml:space="preserve">Stress-tolerant</w:t>
            </w:r>
          </w:p>
        </w:tc>
      </w:tr>
      <w:tr>
        <w:tc>
          <w:tcPr/>
          <w:p>
            <w:pPr>
              <w:pStyle w:val="Compact"/>
            </w:pPr>
            <w:r>
              <w:t xml:space="preserve">Cheirodendron trigynum (Common Cheirodendron)</w:t>
            </w:r>
          </w:p>
        </w:tc>
        <w:tc>
          <w:tcPr/>
          <w:p>
            <w:pPr>
              <w:pStyle w:val="Compact"/>
            </w:pPr>
            <w:r>
              <w:t xml:space="preserve">100 ⚠</w:t>
            </w:r>
          </w:p>
        </w:tc>
        <w:tc>
          <w:tcPr/>
          <w:p>
            <w:pPr>
              <w:pStyle w:val="Compact"/>
            </w:pPr>
            <w:r>
              <w:t xml:space="preserve">24</w:t>
            </w:r>
          </w:p>
        </w:tc>
        <w:tc>
          <w:tcPr/>
          <w:p>
            <w:pPr>
              <w:pStyle w:val="Compact"/>
            </w:pPr>
            <w:r>
              <w:t xml:space="preserve">0</w:t>
            </w:r>
          </w:p>
        </w:tc>
        <w:tc>
          <w:tcPr/>
          <w:p>
            <w:pPr>
              <w:pStyle w:val="Compact"/>
            </w:pPr>
            <w:r>
              <w:t xml:space="preserve">Competitive</w:t>
            </w:r>
          </w:p>
        </w:tc>
      </w:tr>
      <w:tr>
        <w:tc>
          <w:tcPr/>
          <w:p>
            <w:pPr>
              <w:pStyle w:val="Compact"/>
            </w:pPr>
            <w:r>
              <w:t xml:space="preserve">Erythrina sandwicensis (Hawaiian Coral Tree)</w:t>
            </w:r>
          </w:p>
        </w:tc>
        <w:tc>
          <w:tcPr/>
          <w:p>
            <w:pPr>
              <w:pStyle w:val="Compact"/>
            </w:pPr>
            <w:r>
              <w:t xml:space="preserve">90 ⚠</w:t>
            </w:r>
          </w:p>
        </w:tc>
        <w:tc>
          <w:tcPr/>
          <w:p>
            <w:pPr>
              <w:pStyle w:val="Compact"/>
            </w:pPr>
            <w:r>
              <w:t xml:space="preserve">35</w:t>
            </w:r>
          </w:p>
        </w:tc>
        <w:tc>
          <w:tcPr/>
          <w:p>
            <w:pPr>
              <w:pStyle w:val="Compact"/>
            </w:pPr>
            <w:r>
              <w:t xml:space="preserve">40</w:t>
            </w:r>
          </w:p>
        </w:tc>
        <w:tc>
          <w:tcPr/>
          <w:p>
            <w:pPr>
              <w:pStyle w:val="Compact"/>
            </w:pPr>
            <w:r>
              <w:t xml:space="preserve">Competitive</w:t>
            </w:r>
          </w:p>
        </w:tc>
      </w:tr>
      <w:tr>
        <w:tc>
          <w:tcPr/>
          <w:p>
            <w:pPr>
              <w:pStyle w:val="Compact"/>
            </w:pPr>
            <w:r>
              <w:t xml:space="preserve">Pfaffia gnaphalioides</w:t>
            </w:r>
          </w:p>
        </w:tc>
        <w:tc>
          <w:tcPr/>
          <w:p>
            <w:pPr>
              <w:pStyle w:val="Compact"/>
            </w:pPr>
            <w:r>
              <w:t xml:space="preserve">96 ⚠</w:t>
            </w:r>
          </w:p>
        </w:tc>
        <w:tc>
          <w:tcPr/>
          <w:p>
            <w:pPr>
              <w:pStyle w:val="Compact"/>
            </w:pPr>
            <w:r>
              <w:t xml:space="preserve">28</w:t>
            </w:r>
          </w:p>
        </w:tc>
        <w:tc>
          <w:tcPr/>
          <w:p>
            <w:pPr>
              <w:pStyle w:val="Compact"/>
            </w:pPr>
            <w:r>
              <w:t xml:space="preserve">34</w:t>
            </w:r>
          </w:p>
        </w:tc>
        <w:tc>
          <w:tcPr/>
          <w:p>
            <w:pPr>
              <w:pStyle w:val="Compact"/>
            </w:pPr>
            <w:r>
              <w:t xml:space="preserve">Competitive</w:t>
            </w:r>
          </w:p>
        </w:tc>
      </w:tr>
      <w:tr>
        <w:tc>
          <w:tcPr/>
          <w:p>
            <w:pPr>
              <w:pStyle w:val="Compact"/>
            </w:pPr>
            <w:r>
              <w:t xml:space="preserve">Virola bicuhyba</w:t>
            </w:r>
          </w:p>
        </w:tc>
        <w:tc>
          <w:tcPr/>
          <w:p>
            <w:pPr>
              <w:pStyle w:val="Compact"/>
            </w:pPr>
            <w:r>
              <w:t xml:space="preserve">92 ⚠</w:t>
            </w:r>
          </w:p>
        </w:tc>
        <w:tc>
          <w:tcPr/>
          <w:p>
            <w:pPr>
              <w:pStyle w:val="Compact"/>
            </w:pPr>
            <w:r>
              <w:t xml:space="preserve">45</w:t>
            </w:r>
          </w:p>
        </w:tc>
        <w:tc>
          <w:tcPr/>
          <w:p>
            <w:pPr>
              <w:pStyle w:val="Compact"/>
            </w:pPr>
            <w:r>
              <w:t xml:space="preserve">0</w:t>
            </w:r>
          </w:p>
        </w:tc>
        <w:tc>
          <w:tcPr/>
          <w:p>
            <w:pPr>
              <w:pStyle w:val="Compact"/>
            </w:pPr>
            <w:r>
              <w:t xml:space="preserve">Competitive</w:t>
            </w:r>
          </w:p>
        </w:tc>
      </w:tr>
      <w:tr>
        <w:tc>
          <w:tcPr/>
          <w:p>
            <w:pPr>
              <w:pStyle w:val="Compact"/>
            </w:pPr>
            <w:r>
              <w:t xml:space="preserve">Vitis vinifera (Common Grape)</w:t>
            </w:r>
          </w:p>
        </w:tc>
        <w:tc>
          <w:tcPr/>
          <w:p>
            <w:pPr>
              <w:pStyle w:val="Compact"/>
            </w:pPr>
            <w:r>
              <w:t xml:space="preserve">93 ⚠</w:t>
            </w:r>
          </w:p>
        </w:tc>
        <w:tc>
          <w:tcPr/>
          <w:p>
            <w:pPr>
              <w:pStyle w:val="Compact"/>
            </w:pPr>
            <w:r>
              <w:t xml:space="preserve">0</w:t>
            </w:r>
          </w:p>
        </w:tc>
        <w:tc>
          <w:tcPr/>
          <w:p>
            <w:pPr>
              <w:pStyle w:val="Compact"/>
            </w:pPr>
            <w:r>
              <w:t xml:space="preserve">63</w:t>
            </w:r>
          </w:p>
        </w:tc>
        <w:tc>
          <w:tcPr/>
          <w:p>
            <w:pPr>
              <w:pStyle w:val="Compact"/>
            </w:pPr>
            <w:r>
              <w:t xml:space="preserve">Competitive</w:t>
            </w:r>
          </w:p>
        </w:tc>
      </w:tr>
    </w:tbl>
    <w:p>
      <w:pPr>
        <w:pStyle w:val="BodyText"/>
      </w:pPr>
      <w:r>
        <w:t xml:space="preserve">⚠ = High (&gt;75th percentile)</w:t>
      </w:r>
    </w:p>
    <w:p>
      <w:pPr>
        <w:pStyle w:val="BodyText"/>
      </w:pPr>
      <w:r>
        <w:rPr>
          <w:b/>
          <w:bCs/>
        </w:rPr>
        <w:t xml:space="preserve">Detected Conflicts:</w:t>
      </w:r>
    </w:p>
    <w:p>
      <w:pPr>
        <w:pStyle w:val="Compact"/>
        <w:numPr>
          <w:ilvl w:val="0"/>
          <w:numId w:val="1001"/>
        </w:numPr>
      </w:pPr>
      <w:r>
        <w:rPr>
          <w:b/>
          <w:bCs/>
        </w:rPr>
        <w:t xml:space="preserve">C-C</w:t>
      </w:r>
      <w:r>
        <w:t xml:space="preserve">: Cheirodendron trigynum (Common Cheirodendron), Erythrina sandwicensis (Hawaiian Coral Tree), Pfaffia gnaphalioides, Virola bicuhyba, Vitis vinifera (Common Grape)</w:t>
      </w:r>
    </w:p>
    <w:p>
      <w:pPr>
        <w:pStyle w:val="Compact"/>
        <w:numPr>
          <w:ilvl w:val="1"/>
          <w:numId w:val="1002"/>
        </w:numPr>
      </w:pPr>
      <w:r>
        <w:t xml:space="preserve">Multiple competitive plants may compete intensely for light, nutrients, and space. Consider spatial separation or staggered planting times.</w:t>
      </w:r>
    </w:p>
    <w:p>
      <w:pPr>
        <w:pStyle w:val="Compact"/>
        <w:numPr>
          <w:ilvl w:val="0"/>
          <w:numId w:val="1001"/>
        </w:numPr>
      </w:pPr>
      <w:r>
        <w:rPr>
          <w:b/>
          <w:bCs/>
        </w:rPr>
        <w:t xml:space="preserve">C-S</w:t>
      </w:r>
      <w:r>
        <w:t xml:space="preserve">: Cheirodendron trigynum (Common Cheirodendron), Erythrina sandwicensis (Hawaiian Coral Tree), Pfaffia gnaphalioides, Virola bicuhyba, Vitis vinifera (Common Grape), Allium schoenoprasum (Chives), Alnus acuminata (Andean Alder)</w:t>
      </w:r>
    </w:p>
    <w:p>
      <w:pPr>
        <w:pStyle w:val="Compact"/>
        <w:numPr>
          <w:ilvl w:val="1"/>
          <w:numId w:val="1003"/>
        </w:numPr>
      </w:pPr>
      <w:r>
        <w:t xml:space="preserve">Competitive plants may shade out stress-tolerant plants unless the stress-tolerant plants are shade-adapted or have significant height separation.</w:t>
      </w:r>
    </w:p>
    <w:bookmarkEnd w:id="13"/>
    <w:bookmarkEnd w:id="14"/>
    <w:bookmarkStart w:id="17" w:name="Xdf58fb16244834f3a02a8c31a553ec347011a85"/>
    <w:p>
      <w:pPr>
        <w:pStyle w:val="Heading3"/>
      </w:pPr>
      <w:r>
        <w:t xml:space="preserve">Natural Insect Pest Control [M3 - 100.0/100]</w:t>
      </w:r>
    </w:p>
    <w:p>
      <w:pPr>
        <w:pStyle w:val="FirstParagraph"/>
      </w:pPr>
      <w:r>
        <w:t xml:space="preserve">100th percentile - 71% coverage (5/7 plants have biocontrol)</w:t>
      </w:r>
      <w:r>
        <w:br/>
      </w:r>
      <w:r>
        <w:t xml:space="preserve">Plants attract beneficial insects (predators and parasitoids) that naturally suppress pest populations. Excellent biocontrol - abundant predators and parasitoids provide strong pest suppression</w:t>
      </w:r>
    </w:p>
    <w:bookmarkStart w:id="15" w:name="pest-vulnerability-profile"/>
    <w:p>
      <w:pPr>
        <w:pStyle w:val="Heading4"/>
      </w:pPr>
      <w:r>
        <w:t xml:space="preserve">Pest Vulnerability Profile</w:t>
      </w:r>
    </w:p>
    <w:p>
      <w:pPr>
        <w:pStyle w:val="FirstParagraph"/>
      </w:pPr>
      <w:r>
        <w:rPr>
          <w:b/>
          <w:bCs/>
        </w:rPr>
        <w:t xml:space="preserve">Total unique pest species:</w:t>
      </w:r>
      <w:r>
        <w:t xml:space="preserve"> </w:t>
      </w:r>
      <w:r>
        <w:t xml:space="preserve">134</w:t>
      </w:r>
    </w:p>
    <w:p>
      <w:pPr>
        <w:pStyle w:val="BodyText"/>
      </w:pPr>
      <w:r>
        <w:rPr>
          <w:b/>
          <w:bCs/>
        </w:rPr>
        <w:t xml:space="preserve">Top 10 Herbivores and Parasites</w:t>
      </w:r>
    </w:p>
    <w:tbl>
      <w:tblPr>
        <w:tblStyle w:val="Table"/>
        <w:tblW w:type="pct" w:w="5000"/>
        <w:tblLayout w:type="fixed"/>
        <w:tblLook w:firstRow="1" w:lastRow="0" w:firstColumn="0" w:lastColumn="0" w:noHBand="0" w:noVBand="0" w:val="0020"/>
      </w:tblPr>
      <w:tblGrid>
        <w:gridCol w:w="990"/>
        <w:gridCol w:w="2310"/>
        <w:gridCol w:w="1650"/>
        <w:gridCol w:w="2970"/>
      </w:tblGrid>
      <w:tr>
        <w:trPr>
          <w:tblHeader w:val="on"/>
        </w:trPr>
        <w:tc>
          <w:tcPr/>
          <w:p>
            <w:pPr>
              <w:pStyle w:val="Compact"/>
            </w:pPr>
            <w:r>
              <w:t xml:space="preserve">Rank</w:t>
            </w:r>
          </w:p>
        </w:tc>
        <w:tc>
          <w:tcPr/>
          <w:p>
            <w:pPr>
              <w:pStyle w:val="Compact"/>
            </w:pPr>
            <w:r>
              <w:t xml:space="preserve">Pest Species</w:t>
            </w:r>
          </w:p>
        </w:tc>
        <w:tc>
          <w:tcPr/>
          <w:p>
            <w:pPr>
              <w:pStyle w:val="Compact"/>
            </w:pPr>
            <w:r>
              <w:t xml:space="preserve">Category</w:t>
            </w:r>
          </w:p>
        </w:tc>
        <w:tc>
          <w:tcPr/>
          <w:p>
            <w:pPr>
              <w:pStyle w:val="Compact"/>
            </w:pPr>
            <w:r>
              <w:t xml:space="preserve">Plants Attacked</w:t>
            </w:r>
          </w:p>
        </w:tc>
      </w:tr>
      <w:tr>
        <w:tc>
          <w:tcPr/>
          <w:p>
            <w:pPr>
              <w:pStyle w:val="Compact"/>
            </w:pPr>
            <w:r>
              <w:t xml:space="preserve">1</w:t>
            </w:r>
          </w:p>
        </w:tc>
        <w:tc>
          <w:tcPr/>
          <w:p>
            <w:pPr>
              <w:pStyle w:val="Compact"/>
            </w:pPr>
            <w:r>
              <w:t xml:space="preserve">Rhizophagus</w:t>
            </w:r>
          </w:p>
        </w:tc>
        <w:tc>
          <w:tcPr/>
          <w:p>
            <w:pPr>
              <w:pStyle w:val="Compact"/>
            </w:pPr>
            <w:r>
              <w:t xml:space="preserve">Other Herbivores</w:t>
            </w:r>
          </w:p>
        </w:tc>
        <w:tc>
          <w:tcPr/>
          <w:p>
            <w:pPr>
              <w:pStyle w:val="Compact"/>
            </w:pPr>
            <w:r>
              <w:t xml:space="preserve">Alnus acuminata (Andean Alder), Vitis vinifera (Common Grape)</w:t>
            </w:r>
          </w:p>
        </w:tc>
      </w:tr>
      <w:tr>
        <w:tc>
          <w:tcPr/>
          <w:p>
            <w:pPr>
              <w:pStyle w:val="Compact"/>
            </w:pPr>
            <w:r>
              <w:t xml:space="preserve">2</w:t>
            </w:r>
          </w:p>
        </w:tc>
        <w:tc>
          <w:tcPr/>
          <w:p>
            <w:pPr>
              <w:pStyle w:val="Compact"/>
            </w:pPr>
            <w:r>
              <w:t xml:space="preserve">Abagrotis cupida</w:t>
            </w:r>
          </w:p>
        </w:tc>
        <w:tc>
          <w:tcPr/>
          <w:p>
            <w:pPr>
              <w:pStyle w:val="Compact"/>
            </w:pPr>
            <w:r>
              <w:t xml:space="preserve">Moths</w:t>
            </w:r>
          </w:p>
        </w:tc>
        <w:tc>
          <w:tcPr/>
          <w:p>
            <w:pPr>
              <w:pStyle w:val="Compact"/>
            </w:pPr>
            <w:r>
              <w:t xml:space="preserve">Vitis vinifera (Common Grape)</w:t>
            </w:r>
          </w:p>
        </w:tc>
      </w:tr>
      <w:tr>
        <w:tc>
          <w:tcPr/>
          <w:p>
            <w:pPr>
              <w:pStyle w:val="Compact"/>
            </w:pPr>
            <w:r>
              <w:t xml:space="preserve">3</w:t>
            </w:r>
          </w:p>
        </w:tc>
        <w:tc>
          <w:tcPr/>
          <w:p>
            <w:pPr>
              <w:pStyle w:val="Compact"/>
            </w:pPr>
            <w:r>
              <w:t xml:space="preserve">Abagrotis orbis</w:t>
            </w:r>
          </w:p>
        </w:tc>
        <w:tc>
          <w:tcPr/>
          <w:p>
            <w:pPr>
              <w:pStyle w:val="Compact"/>
            </w:pPr>
            <w:r>
              <w:t xml:space="preserve">Moths</w:t>
            </w:r>
          </w:p>
        </w:tc>
        <w:tc>
          <w:tcPr/>
          <w:p>
            <w:pPr>
              <w:pStyle w:val="Compact"/>
            </w:pPr>
            <w:r>
              <w:t xml:space="preserve">Vitis vinifera (Common Grape)</w:t>
            </w:r>
          </w:p>
        </w:tc>
      </w:tr>
      <w:tr>
        <w:tc>
          <w:tcPr/>
          <w:p>
            <w:pPr>
              <w:pStyle w:val="Compact"/>
            </w:pPr>
            <w:r>
              <w:t xml:space="preserve">4</w:t>
            </w:r>
          </w:p>
        </w:tc>
        <w:tc>
          <w:tcPr/>
          <w:p>
            <w:pPr>
              <w:pStyle w:val="Compact"/>
            </w:pPr>
            <w:r>
              <w:t xml:space="preserve">Achatia distincta</w:t>
            </w:r>
          </w:p>
        </w:tc>
        <w:tc>
          <w:tcPr/>
          <w:p>
            <w:pPr>
              <w:pStyle w:val="Compact"/>
            </w:pPr>
            <w:r>
              <w:t xml:space="preserve">Moths</w:t>
            </w:r>
          </w:p>
        </w:tc>
        <w:tc>
          <w:tcPr/>
          <w:p>
            <w:pPr>
              <w:pStyle w:val="Compact"/>
            </w:pPr>
            <w:r>
              <w:t xml:space="preserve">Vitis vinifera (Common Grape)</w:t>
            </w:r>
          </w:p>
        </w:tc>
      </w:tr>
      <w:tr>
        <w:tc>
          <w:tcPr/>
          <w:p>
            <w:pPr>
              <w:pStyle w:val="Compact"/>
            </w:pPr>
            <w:r>
              <w:t xml:space="preserve">5</w:t>
            </w:r>
          </w:p>
        </w:tc>
        <w:tc>
          <w:tcPr/>
          <w:p>
            <w:pPr>
              <w:pStyle w:val="Compact"/>
            </w:pPr>
            <w:r>
              <w:t xml:space="preserve">Acrolepia sapporensis</w:t>
            </w:r>
          </w:p>
        </w:tc>
        <w:tc>
          <w:tcPr/>
          <w:p>
            <w:pPr>
              <w:pStyle w:val="Compact"/>
            </w:pPr>
            <w:r>
              <w:t xml:space="preserve">Moths</w:t>
            </w:r>
          </w:p>
        </w:tc>
        <w:tc>
          <w:tcPr/>
          <w:p>
            <w:pPr>
              <w:pStyle w:val="Compact"/>
            </w:pPr>
            <w:r>
              <w:t xml:space="preserve">Allium schoenoprasum (Chives)</w:t>
            </w:r>
          </w:p>
        </w:tc>
      </w:tr>
      <w:tr>
        <w:tc>
          <w:tcPr/>
          <w:p>
            <w:pPr>
              <w:pStyle w:val="Compact"/>
            </w:pPr>
            <w:r>
              <w:t xml:space="preserve">6</w:t>
            </w:r>
          </w:p>
        </w:tc>
        <w:tc>
          <w:tcPr/>
          <w:p>
            <w:pPr>
              <w:pStyle w:val="Compact"/>
            </w:pPr>
            <w:r>
              <w:t xml:space="preserve">Acrolepiopsis assectella</w:t>
            </w:r>
          </w:p>
        </w:tc>
        <w:tc>
          <w:tcPr/>
          <w:p>
            <w:pPr>
              <w:pStyle w:val="Compact"/>
            </w:pPr>
            <w:r>
              <w:t xml:space="preserve">Moths</w:t>
            </w:r>
          </w:p>
        </w:tc>
        <w:tc>
          <w:tcPr/>
          <w:p>
            <w:pPr>
              <w:pStyle w:val="Compact"/>
            </w:pPr>
            <w:r>
              <w:t xml:space="preserve">Allium schoenoprasum (Chives)</w:t>
            </w:r>
          </w:p>
        </w:tc>
      </w:tr>
      <w:tr>
        <w:tc>
          <w:tcPr/>
          <w:p>
            <w:pPr>
              <w:pStyle w:val="Compact"/>
            </w:pPr>
            <w:r>
              <w:t xml:space="preserve">7</w:t>
            </w:r>
          </w:p>
        </w:tc>
        <w:tc>
          <w:tcPr/>
          <w:p>
            <w:pPr>
              <w:pStyle w:val="Compact"/>
            </w:pPr>
            <w:r>
              <w:t xml:space="preserve">Agrilus derasofasciatus</w:t>
            </w:r>
          </w:p>
        </w:tc>
        <w:tc>
          <w:tcPr/>
          <w:p>
            <w:pPr>
              <w:pStyle w:val="Compact"/>
            </w:pPr>
            <w:r>
              <w:t xml:space="preserve">Beetles</w:t>
            </w:r>
          </w:p>
        </w:tc>
        <w:tc>
          <w:tcPr/>
          <w:p>
            <w:pPr>
              <w:pStyle w:val="Compact"/>
            </w:pPr>
            <w:r>
              <w:t xml:space="preserve">Vitis vinifera (Common Grape)</w:t>
            </w:r>
          </w:p>
        </w:tc>
      </w:tr>
      <w:tr>
        <w:tc>
          <w:tcPr/>
          <w:p>
            <w:pPr>
              <w:pStyle w:val="Compact"/>
            </w:pPr>
            <w:r>
              <w:t xml:space="preserve">8</w:t>
            </w:r>
          </w:p>
        </w:tc>
        <w:tc>
          <w:tcPr/>
          <w:p>
            <w:pPr>
              <w:pStyle w:val="Compact"/>
            </w:pPr>
            <w:r>
              <w:t xml:space="preserve">Amphicerus bicaudatus</w:t>
            </w:r>
          </w:p>
        </w:tc>
        <w:tc>
          <w:tcPr/>
          <w:p>
            <w:pPr>
              <w:pStyle w:val="Compact"/>
            </w:pPr>
            <w:r>
              <w:t xml:space="preserve">Beetles</w:t>
            </w:r>
          </w:p>
        </w:tc>
        <w:tc>
          <w:tcPr/>
          <w:p>
            <w:pPr>
              <w:pStyle w:val="Compact"/>
            </w:pPr>
            <w:r>
              <w:t xml:space="preserve">Vitis vinifera (Common Grape)</w:t>
            </w:r>
          </w:p>
        </w:tc>
      </w:tr>
      <w:tr>
        <w:tc>
          <w:tcPr/>
          <w:p>
            <w:pPr>
              <w:pStyle w:val="Compact"/>
            </w:pPr>
            <w:r>
              <w:t xml:space="preserve">9</w:t>
            </w:r>
          </w:p>
        </w:tc>
        <w:tc>
          <w:tcPr/>
          <w:p>
            <w:pPr>
              <w:pStyle w:val="Compact"/>
            </w:pPr>
            <w:r>
              <w:t xml:space="preserve">Amphipyra pyramidoides</w:t>
            </w:r>
          </w:p>
        </w:tc>
        <w:tc>
          <w:tcPr/>
          <w:p>
            <w:pPr>
              <w:pStyle w:val="Compact"/>
            </w:pPr>
            <w:r>
              <w:t xml:space="preserve">Moths</w:t>
            </w:r>
          </w:p>
        </w:tc>
        <w:tc>
          <w:tcPr/>
          <w:p>
            <w:pPr>
              <w:pStyle w:val="Compact"/>
            </w:pPr>
            <w:r>
              <w:t xml:space="preserve">Vitis vinifera (Common Grape)</w:t>
            </w:r>
          </w:p>
        </w:tc>
      </w:tr>
      <w:tr>
        <w:tc>
          <w:tcPr/>
          <w:p>
            <w:pPr>
              <w:pStyle w:val="Compact"/>
            </w:pPr>
            <w:r>
              <w:t xml:space="preserve">10</w:t>
            </w:r>
          </w:p>
        </w:tc>
        <w:tc>
          <w:tcPr/>
          <w:p>
            <w:pPr>
              <w:pStyle w:val="Compact"/>
            </w:pPr>
            <w:r>
              <w:t xml:space="preserve">Antheraea polyphemus</w:t>
            </w:r>
          </w:p>
        </w:tc>
        <w:tc>
          <w:tcPr/>
          <w:p>
            <w:pPr>
              <w:pStyle w:val="Compact"/>
            </w:pPr>
            <w:r>
              <w:t xml:space="preserve">Moths</w:t>
            </w:r>
          </w:p>
        </w:tc>
        <w:tc>
          <w:tcPr/>
          <w:p>
            <w:pPr>
              <w:pStyle w:val="Compact"/>
            </w:pPr>
            <w:r>
              <w:t xml:space="preserve">Vitis vinifera (Common Grape)</w:t>
            </w:r>
          </w:p>
        </w:tc>
      </w:tr>
    </w:tbl>
    <w:p>
      <w:pPr>
        <w:pStyle w:val="BodyText"/>
      </w:pPr>
      <w:r>
        <w:rPr>
          <w:b/>
          <w:bCs/>
        </w:rPr>
        <w:t xml:space="preserve">Most Vulnerable Plants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Plant</w:t>
            </w:r>
          </w:p>
        </w:tc>
        <w:tc>
          <w:tcPr/>
          <w:p>
            <w:pPr>
              <w:pStyle w:val="Compact"/>
            </w:pPr>
            <w:r>
              <w:t xml:space="preserve">Pest Count</w:t>
            </w:r>
          </w:p>
        </w:tc>
      </w:tr>
      <w:tr>
        <w:tc>
          <w:tcPr/>
          <w:p>
            <w:pPr>
              <w:pStyle w:val="Compact"/>
            </w:pPr>
            <w:r>
              <w:t xml:space="preserve">Vitis vinifera (Common Grape)</w:t>
            </w:r>
          </w:p>
        </w:tc>
        <w:tc>
          <w:tcPr/>
          <w:p>
            <w:pPr>
              <w:pStyle w:val="Compact"/>
            </w:pPr>
            <w:r>
              <w:t xml:space="preserve">124</w:t>
            </w:r>
          </w:p>
        </w:tc>
      </w:tr>
      <w:tr>
        <w:tc>
          <w:tcPr/>
          <w:p>
            <w:pPr>
              <w:pStyle w:val="Compact"/>
            </w:pPr>
            <w:r>
              <w:t xml:space="preserve">Allium schoenoprasum (Chives)</w:t>
            </w:r>
          </w:p>
        </w:tc>
        <w:tc>
          <w:tcPr/>
          <w:p>
            <w:pPr>
              <w:pStyle w:val="Compact"/>
            </w:pPr>
            <w:r>
              <w:t xml:space="preserve">7</w:t>
            </w:r>
          </w:p>
        </w:tc>
      </w:tr>
      <w:tr>
        <w:tc>
          <w:tcPr/>
          <w:p>
            <w:pPr>
              <w:pStyle w:val="Compact"/>
            </w:pPr>
            <w:r>
              <w:t xml:space="preserve">Cheirodendron trigynum (Common Cheirodendron)</w:t>
            </w:r>
          </w:p>
        </w:tc>
        <w:tc>
          <w:tcPr/>
          <w:p>
            <w:pPr>
              <w:pStyle w:val="Compact"/>
            </w:pPr>
            <w:r>
              <w:t xml:space="preserve">3</w:t>
            </w:r>
          </w:p>
        </w:tc>
      </w:tr>
      <w:tr>
        <w:tc>
          <w:tcPr/>
          <w:p>
            <w:pPr>
              <w:pStyle w:val="Compact"/>
            </w:pPr>
            <w:r>
              <w:t xml:space="preserve">Alnus acuminata (Andean Alder)</w:t>
            </w:r>
          </w:p>
        </w:tc>
        <w:tc>
          <w:tcPr/>
          <w:p>
            <w:pPr>
              <w:pStyle w:val="Compact"/>
            </w:pPr>
            <w:r>
              <w:t xml:space="preserve">1</w:t>
            </w:r>
          </w:p>
        </w:tc>
      </w:tr>
    </w:tbl>
    <w:bookmarkEnd w:id="15"/>
    <w:bookmarkStart w:id="16" w:name="biocontrol-network-profile"/>
    <w:p>
      <w:pPr>
        <w:pStyle w:val="Heading4"/>
      </w:pPr>
      <w:r>
        <w:t xml:space="preserve">Biocontrol Network Profile</w:t>
      </w:r>
    </w:p>
    <w:p>
      <w:pPr>
        <w:pStyle w:val="FirstParagraph"/>
      </w:pPr>
      <w:r>
        <w:rPr>
          <w:b/>
          <w:bCs/>
        </w:rPr>
        <w:t xml:space="preserve">Summary:</w:t>
      </w:r>
      <w:r>
        <w:t xml:space="preserve"> </w:t>
      </w:r>
      <w:r>
        <w:t xml:space="preserve">- 9 known predator species (predators of herbivores/parasites, 0 with documented pest matches in this guild)</w:t>
      </w:r>
      <w:r>
        <w:t xml:space="preserve"> </w:t>
      </w:r>
      <w:r>
        <w:t xml:space="preserve">- 4 known entomopathogenic fungi species (0 with documented pest matches in this guild)</w:t>
      </w:r>
    </w:p>
    <w:p>
      <w:pPr>
        <w:pStyle w:val="BodyText"/>
      </w:pPr>
      <w:r>
        <w:rPr>
          <w:b/>
          <w:bCs/>
        </w:rPr>
        <w:t xml:space="preserve">Mechanism Summary:</w:t>
      </w:r>
      <w:r>
        <w:t xml:space="preserve"> </w:t>
      </w:r>
      <w:r>
        <w:t xml:space="preserve">- 4 general entomopathogenic fungi species (4 total occurrences, broad-spectrum biocontrol)</w:t>
      </w:r>
    </w:p>
    <w:p>
      <w:pPr>
        <w:pStyle w:val="BodyText"/>
      </w:pPr>
      <w:r>
        <w:rPr>
          <w:b/>
          <w:bCs/>
        </w:rPr>
        <w:t xml:space="preserve">No specific pest-predator matches found.</w:t>
      </w:r>
      <w:r>
        <w:t xml:space="preserve"> </w:t>
      </w:r>
      <w:r>
        <w:t xml:space="preserve">The biocontrol score is driven by the presence of</w:t>
      </w:r>
      <w:r>
        <w:t xml:space="preserve"> </w:t>
      </w:r>
      <w:r>
        <w:rPr>
          <w:b/>
          <w:bCs/>
        </w:rPr>
        <w:t xml:space="preserve">general entomopathogenic fungi</w:t>
      </w:r>
      <w:r>
        <w:t xml:space="preserve"> </w:t>
      </w:r>
      <w:r>
        <w:t xml:space="preserve">which provide broad-spectrum protection against insect pests.</w:t>
      </w:r>
    </w:p>
    <w:bookmarkEnd w:id="16"/>
    <w:bookmarkEnd w:id="17"/>
    <w:bookmarkStart w:id="19" w:name="natural-disease-suppression-m4---80.0100"/>
    <w:p>
      <w:pPr>
        <w:pStyle w:val="Heading3"/>
      </w:pPr>
      <w:r>
        <w:t xml:space="preserve">Natural Disease Suppression [M4 - 80.0/100]</w:t>
      </w:r>
    </w:p>
    <w:p>
      <w:pPr>
        <w:pStyle w:val="FirstParagraph"/>
      </w:pPr>
      <w:r>
        <w:t xml:space="preserve">80th percentile - 71% coverage (5/7 plants have disease control)</w:t>
      </w:r>
      <w:r>
        <w:br/>
      </w:r>
      <w:r>
        <w:t xml:space="preserve">Plants harbor beneficial fungi that antagonize pathogens, reducing disease incidence through biological control. Excellent disease suppression - abundant antagonistic fungi provide strong pathogen control</w:t>
      </w:r>
    </w:p>
    <w:bookmarkStart w:id="18" w:name="pathogen-control-network-profile"/>
    <w:p>
      <w:pPr>
        <w:pStyle w:val="Heading4"/>
      </w:pPr>
      <w:r>
        <w:t xml:space="preserve">Pathogen Control Network Profile</w:t>
      </w:r>
    </w:p>
    <w:p>
      <w:pPr>
        <w:pStyle w:val="FirstParagraph"/>
      </w:pPr>
      <w:r>
        <w:rPr>
          <w:b/>
          <w:bCs/>
        </w:rPr>
        <w:t xml:space="preserve">Summary:</w:t>
      </w:r>
      <w:r>
        <w:t xml:space="preserve"> </w:t>
      </w:r>
      <w:r>
        <w:t xml:space="preserve">- 4 unique mycoparasite species (fungi that parasitize other fungi)</w:t>
      </w:r>
      <w:r>
        <w:t xml:space="preserve"> </w:t>
      </w:r>
      <w:r>
        <w:t xml:space="preserve">- 197 unique pathogen species in guild</w:t>
      </w:r>
    </w:p>
    <w:p>
      <w:pPr>
        <w:pStyle w:val="BodyText"/>
      </w:pPr>
      <w:r>
        <w:rPr>
          <w:b/>
          <w:bCs/>
        </w:rPr>
        <w:t xml:space="preserve">Mechanism Summary:</w:t>
      </w:r>
      <w:r>
        <w:t xml:space="preserve"> </w:t>
      </w:r>
      <w:r>
        <w:t xml:space="preserve">- 1 Specific antagonist matches (pathogen → known mycoparasite or fungivore)</w:t>
      </w:r>
      <w:r>
        <w:t xml:space="preserve"> </w:t>
      </w:r>
      <w:r>
        <w:t xml:space="preserve">- 4 general mycoparasite species (5 total occurrences, primary mechanism)</w:t>
      </w:r>
    </w:p>
    <w:p>
      <w:pPr>
        <w:pStyle w:val="BodyText"/>
      </w:pPr>
      <w:r>
        <w:rPr>
          <w:b/>
          <w:bCs/>
        </w:rPr>
        <w:t xml:space="preserve">Matched Pathogen → Fungivore Pairs:</w:t>
      </w:r>
    </w:p>
    <w:tbl>
      <w:tblPr>
        <w:tblStyle w:val="Table"/>
        <w:tblW w:type="pct" w:w="5000"/>
        <w:tblLayout w:type="fixed"/>
        <w:tblLook w:firstRow="1" w:lastRow="0" w:firstColumn="0" w:lastColumn="0" w:noHBand="0" w:noVBand="0" w:val="0020"/>
      </w:tblPr>
      <w:tblGrid>
        <w:gridCol w:w="1131"/>
        <w:gridCol w:w="4299"/>
        <w:gridCol w:w="1131"/>
        <w:gridCol w:w="1357"/>
      </w:tblGrid>
      <w:tr>
        <w:trPr>
          <w:tblHeader w:val="on"/>
        </w:trPr>
        <w:tc>
          <w:tcPr/>
          <w:p>
            <w:pPr>
              <w:pStyle w:val="Compact"/>
            </w:pPr>
            <w:r>
              <w:t xml:space="preserve">Pathogen</w:t>
            </w:r>
          </w:p>
        </w:tc>
        <w:tc>
          <w:tcPr/>
          <w:p>
            <w:pPr>
              <w:pStyle w:val="Compact"/>
            </w:pPr>
            <w:r>
              <w:t xml:space="preserve">Known Antagonist (Animal Fungivore)</w:t>
            </w:r>
          </w:p>
        </w:tc>
        <w:tc>
          <w:tcPr/>
          <w:p>
            <w:pPr>
              <w:pStyle w:val="Compact"/>
            </w:pPr>
            <w:r>
              <w:t xml:space="preserve">Category</w:t>
            </w:r>
          </w:p>
        </w:tc>
        <w:tc>
          <w:tcPr/>
          <w:p>
            <w:pPr>
              <w:pStyle w:val="Compact"/>
            </w:pPr>
            <w:r>
              <w:t xml:space="preserve">Match Type</w:t>
            </w:r>
          </w:p>
        </w:tc>
      </w:tr>
      <w:tr>
        <w:tc>
          <w:tcPr/>
          <w:p>
            <w:pPr>
              <w:pStyle w:val="Compact"/>
            </w:pPr>
            <w:r>
              <w:t xml:space="preserve">armillaria</w:t>
            </w:r>
          </w:p>
        </w:tc>
        <w:tc>
          <w:tcPr/>
          <w:p>
            <w:pPr>
              <w:pStyle w:val="Compact"/>
            </w:pPr>
            <w:r>
              <w:t xml:space="preserve">ariolimax californicus</w:t>
            </w:r>
          </w:p>
        </w:tc>
        <w:tc>
          <w:tcPr/>
          <w:p>
            <w:pPr>
              <w:pStyle w:val="Compact"/>
            </w:pPr>
            <w:r>
              <w:t xml:space="preserve">Snails &amp; Slugs</w:t>
            </w:r>
          </w:p>
        </w:tc>
        <w:tc>
          <w:tcPr/>
          <w:p>
            <w:pPr>
              <w:pStyle w:val="Compact"/>
            </w:pPr>
            <w:r>
              <w:t xml:space="preserve">Specific</w:t>
            </w:r>
          </w:p>
        </w:tc>
      </w:tr>
    </w:tbl>
    <w:p>
      <w:pPr>
        <w:pStyle w:val="BodyText"/>
      </w:pPr>
      <w:r>
        <w:rPr>
          <w:b/>
          <w:bCs/>
        </w:rPr>
        <w:t xml:space="preserve">Network Hubs (plants harboring most mycoparasites):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Plant</w:t>
            </w:r>
          </w:p>
        </w:tc>
        <w:tc>
          <w:tcPr/>
          <w:p>
            <w:pPr>
              <w:pStyle w:val="Compact"/>
            </w:pPr>
            <w:r>
              <w:t xml:space="preserve">Mycoparasites</w:t>
            </w:r>
          </w:p>
        </w:tc>
        <w:tc>
          <w:tcPr/>
          <w:p>
            <w:pPr>
              <w:pStyle w:val="Compact"/>
            </w:pPr>
            <w:r>
              <w:t xml:space="preserve">Pathogens</w:t>
            </w:r>
          </w:p>
        </w:tc>
      </w:tr>
      <w:tr>
        <w:tc>
          <w:tcPr/>
          <w:p>
            <w:pPr>
              <w:pStyle w:val="Compact"/>
            </w:pPr>
            <w:r>
              <w:t xml:space="preserve">Vitis vinifera (Common Grape)</w:t>
            </w:r>
          </w:p>
        </w:tc>
        <w:tc>
          <w:tcPr/>
          <w:p>
            <w:pPr>
              <w:pStyle w:val="Compact"/>
            </w:pPr>
            <w:r>
              <w:t xml:space="preserve">4</w:t>
            </w:r>
          </w:p>
        </w:tc>
        <w:tc>
          <w:tcPr/>
          <w:p>
            <w:pPr>
              <w:pStyle w:val="Compact"/>
            </w:pPr>
            <w:r>
              <w:t xml:space="preserve">181</w:t>
            </w:r>
          </w:p>
        </w:tc>
      </w:tr>
      <w:tr>
        <w:tc>
          <w:tcPr/>
          <w:p>
            <w:pPr>
              <w:pStyle w:val="Compact"/>
            </w:pPr>
            <w:r>
              <w:t xml:space="preserve">Cheirodendron trigynum (Common Cheirodendron)</w:t>
            </w:r>
          </w:p>
        </w:tc>
        <w:tc>
          <w:tcPr/>
          <w:p>
            <w:pPr>
              <w:pStyle w:val="Compact"/>
            </w:pPr>
            <w:r>
              <w:t xml:space="preserve">1</w:t>
            </w:r>
          </w:p>
        </w:tc>
        <w:tc>
          <w:tcPr/>
          <w:p>
            <w:pPr>
              <w:pStyle w:val="Compact"/>
            </w:pPr>
            <w:r>
              <w:t xml:space="preserve">11</w:t>
            </w:r>
          </w:p>
        </w:tc>
      </w:tr>
      <w:tr>
        <w:tc>
          <w:tcPr/>
          <w:p>
            <w:pPr>
              <w:pStyle w:val="Compact"/>
            </w:pPr>
            <w:r>
              <w:t xml:space="preserve">Allium schoenoprasum (Chives)</w:t>
            </w:r>
          </w:p>
        </w:tc>
        <w:tc>
          <w:tcPr/>
          <w:p>
            <w:pPr>
              <w:pStyle w:val="Compact"/>
            </w:pPr>
            <w:r>
              <w:t xml:space="preserve">0</w:t>
            </w:r>
          </w:p>
        </w:tc>
        <w:tc>
          <w:tcPr/>
          <w:p>
            <w:pPr>
              <w:pStyle w:val="Compact"/>
            </w:pPr>
            <w:r>
              <w:t xml:space="preserve">18</w:t>
            </w:r>
          </w:p>
        </w:tc>
      </w:tr>
      <w:tr>
        <w:tc>
          <w:tcPr/>
          <w:p>
            <w:pPr>
              <w:pStyle w:val="Compact"/>
            </w:pPr>
            <w:r>
              <w:t xml:space="preserve">Alnus acuminata (Andean Alder)</w:t>
            </w:r>
          </w:p>
        </w:tc>
        <w:tc>
          <w:tcPr/>
          <w:p>
            <w:pPr>
              <w:pStyle w:val="Compact"/>
            </w:pPr>
            <w:r>
              <w:t xml:space="preserve">0</w:t>
            </w:r>
          </w:p>
        </w:tc>
        <w:tc>
          <w:tcPr/>
          <w:p>
            <w:pPr>
              <w:pStyle w:val="Compact"/>
            </w:pPr>
            <w:r>
              <w:t xml:space="preserve">1</w:t>
            </w:r>
          </w:p>
        </w:tc>
      </w:tr>
      <w:tr>
        <w:tc>
          <w:tcPr/>
          <w:p>
            <w:pPr>
              <w:pStyle w:val="Compact"/>
            </w:pPr>
            <w:r>
              <w:t xml:space="preserve">Erythrina sandwicensis (Hawaiian Coral Tree) ⚠️</w:t>
            </w:r>
          </w:p>
        </w:tc>
        <w:tc>
          <w:tcPr/>
          <w:p>
            <w:pPr>
              <w:pStyle w:val="Compact"/>
            </w:pPr>
            <w:r>
              <w:t xml:space="preserve">0</w:t>
            </w:r>
          </w:p>
        </w:tc>
        <w:tc>
          <w:tcPr/>
          <w:p>
            <w:pPr>
              <w:pStyle w:val="Compact"/>
            </w:pPr>
            <w:r>
              <w:t xml:space="preserve">0</w:t>
            </w:r>
          </w:p>
        </w:tc>
      </w:tr>
      <w:tr>
        <w:tc>
          <w:tcPr/>
          <w:p>
            <w:pPr>
              <w:pStyle w:val="Compact"/>
            </w:pPr>
            <w:r>
              <w:t xml:space="preserve">Pfaffia gnaphalioides</w:t>
            </w:r>
          </w:p>
        </w:tc>
        <w:tc>
          <w:tcPr/>
          <w:p>
            <w:pPr>
              <w:pStyle w:val="Compact"/>
            </w:pPr>
            <w:r>
              <w:t xml:space="preserve">0</w:t>
            </w:r>
          </w:p>
        </w:tc>
        <w:tc>
          <w:tcPr/>
          <w:p>
            <w:pPr>
              <w:pStyle w:val="Compact"/>
            </w:pPr>
            <w:r>
              <w:t xml:space="preserve">1</w:t>
            </w:r>
          </w:p>
        </w:tc>
      </w:tr>
      <w:tr>
        <w:tc>
          <w:tcPr/>
          <w:p>
            <w:pPr>
              <w:pStyle w:val="Compact"/>
            </w:pPr>
            <w:r>
              <w:t xml:space="preserve">Virola bicuhyba ⚠️</w:t>
            </w:r>
          </w:p>
        </w:tc>
        <w:tc>
          <w:tcPr/>
          <w:p>
            <w:pPr>
              <w:pStyle w:val="Compact"/>
            </w:pPr>
            <w:r>
              <w:t xml:space="preserve">0</w:t>
            </w:r>
          </w:p>
        </w:tc>
        <w:tc>
          <w:tcPr/>
          <w:p>
            <w:pPr>
              <w:pStyle w:val="Compact"/>
            </w:pPr>
            <w:r>
              <w:t xml:space="preserve">0</w:t>
            </w:r>
          </w:p>
        </w:tc>
      </w:tr>
    </w:tbl>
    <w:p>
      <w:pPr>
        <w:pStyle w:val="BodyText"/>
      </w:pPr>
      <w:r>
        <w:t xml:space="preserve">⚠️</w:t>
      </w:r>
      <w:r>
        <w:t xml:space="preserve"> </w:t>
      </w:r>
      <w:r>
        <w:rPr>
          <w:b/>
          <w:bCs/>
        </w:rPr>
        <w:t xml:space="preserve">Data Completeness Note:</w:t>
      </w:r>
      <w:r>
        <w:t xml:space="preserve"> </w:t>
      </w:r>
      <w:r>
        <w:t xml:space="preserve">Plants marked with ⚠️ have no interaction data in this dimension. This likely indicates a data gap rather than true ecological absence.</w:t>
      </w:r>
    </w:p>
    <w:bookmarkEnd w:id="18"/>
    <w:bookmarkEnd w:id="19"/>
    <w:bookmarkStart w:id="21" w:name="X075a8cb06d7908ca1c5bced06e4931f3536ed1a"/>
    <w:p>
      <w:pPr>
        <w:pStyle w:val="Heading3"/>
      </w:pPr>
      <w:r>
        <w:t xml:space="preserve">Beneficial Mycorrhizal Network [M5 - 70.0/100]</w:t>
      </w:r>
    </w:p>
    <w:p>
      <w:pPr>
        <w:pStyle w:val="FirstParagraph"/>
      </w:pPr>
      <w:r>
        <w:t xml:space="preserve">70th percentile - 57% coverage (4/7 plants have beneficial fungi)</w:t>
      </w:r>
      <w:r>
        <w:br/>
      </w:r>
      <w:r>
        <w:t xml:space="preserve">Beneficial fungi (mycorrhizal partners, endophytes, and saprotrophs) create underground networks that facilitate nutrient exchange, water sharing, and chemical communication between plants. Good fungal network - many plants have beneficial fungal associations</w:t>
      </w:r>
    </w:p>
    <w:bookmarkStart w:id="20" w:name="beneficial-fungi-network-profile"/>
    <w:p>
      <w:pPr>
        <w:pStyle w:val="Heading4"/>
      </w:pPr>
      <w:r>
        <w:t xml:space="preserve">Beneficial Fungi Network Profile</w:t>
      </w:r>
    </w:p>
    <w:p>
      <w:pPr>
        <w:pStyle w:val="FirstParagraph"/>
      </w:pPr>
      <w:r>
        <w:rPr>
          <w:b/>
          <w:bCs/>
        </w:rPr>
        <w:t xml:space="preserve">Total unique beneficial fungi species:</w:t>
      </w:r>
      <w:r>
        <w:t xml:space="preserve"> </w:t>
      </w:r>
      <w:r>
        <w:t xml:space="preserve">279</w:t>
      </w:r>
    </w:p>
    <w:p>
      <w:pPr>
        <w:pStyle w:val="BodyText"/>
      </w:pPr>
      <w:r>
        <w:rPr>
          <w:b/>
          <w:bCs/>
        </w:rPr>
        <w:t xml:space="preserve">Fungal Community Composition:</w:t>
      </w:r>
    </w:p>
    <w:p>
      <w:pPr>
        <w:pStyle w:val="Compact"/>
        <w:numPr>
          <w:ilvl w:val="0"/>
          <w:numId w:val="1004"/>
        </w:numPr>
      </w:pPr>
      <w:r>
        <w:t xml:space="preserve">6 AMF species (Arbuscular Mycorrhizal) - 2.2%</w:t>
      </w:r>
    </w:p>
    <w:p>
      <w:pPr>
        <w:pStyle w:val="Compact"/>
        <w:numPr>
          <w:ilvl w:val="0"/>
          <w:numId w:val="1004"/>
        </w:numPr>
      </w:pPr>
      <w:r>
        <w:t xml:space="preserve">2 EMF species (Ectomycorrhizal) - 0.7%</w:t>
      </w:r>
    </w:p>
    <w:p>
      <w:pPr>
        <w:pStyle w:val="Compact"/>
        <w:numPr>
          <w:ilvl w:val="0"/>
          <w:numId w:val="1004"/>
        </w:numPr>
      </w:pPr>
      <w:r>
        <w:t xml:space="preserve">33 Endophytic species - 11.8%</w:t>
      </w:r>
    </w:p>
    <w:p>
      <w:pPr>
        <w:pStyle w:val="Compact"/>
        <w:numPr>
          <w:ilvl w:val="0"/>
          <w:numId w:val="1004"/>
        </w:numPr>
      </w:pPr>
      <w:r>
        <w:t xml:space="preserve">238 Saprotrophic species - 85.3%</w:t>
      </w:r>
    </w:p>
    <w:p>
      <w:pPr>
        <w:pStyle w:val="FirstParagraph"/>
      </w:pPr>
      <w:r>
        <w:rPr>
          <w:b/>
          <w:bCs/>
        </w:rPr>
        <w:t xml:space="preserve">Top Network Fungi (by connectivity):</w:t>
      </w:r>
    </w:p>
    <w:tbl>
      <w:tblPr>
        <w:tblStyle w:val="Table"/>
        <w:tblW w:type="pct" w:w="5000"/>
        <w:tblLayout w:type="fixed"/>
        <w:tblLook w:firstRow="1" w:lastRow="0" w:firstColumn="0" w:lastColumn="0" w:noHBand="0" w:noVBand="0" w:val="0020"/>
      </w:tblPr>
      <w:tblGrid>
        <w:gridCol w:w="660"/>
        <w:gridCol w:w="1760"/>
        <w:gridCol w:w="1100"/>
        <w:gridCol w:w="1980"/>
        <w:gridCol w:w="2420"/>
      </w:tblGrid>
      <w:tr>
        <w:trPr>
          <w:tblHeader w:val="on"/>
        </w:trPr>
        <w:tc>
          <w:tcPr/>
          <w:p>
            <w:pPr>
              <w:pStyle w:val="Compact"/>
            </w:pPr>
            <w:r>
              <w:t xml:space="preserve">Rank</w:t>
            </w:r>
          </w:p>
        </w:tc>
        <w:tc>
          <w:tcPr/>
          <w:p>
            <w:pPr>
              <w:pStyle w:val="Compact"/>
            </w:pPr>
            <w:r>
              <w:t xml:space="preserve">Fungus Species</w:t>
            </w:r>
          </w:p>
        </w:tc>
        <w:tc>
          <w:tcPr/>
          <w:p>
            <w:pPr>
              <w:pStyle w:val="Compact"/>
            </w:pPr>
            <w:r>
              <w:t xml:space="preserve">Category</w:t>
            </w:r>
          </w:p>
        </w:tc>
        <w:tc>
          <w:tcPr/>
          <w:p>
            <w:pPr>
              <w:pStyle w:val="Compact"/>
            </w:pPr>
            <w:r>
              <w:t xml:space="preserve">Plants Connected</w:t>
            </w:r>
          </w:p>
        </w:tc>
        <w:tc>
          <w:tcPr/>
          <w:p>
            <w:pPr>
              <w:pStyle w:val="Compact"/>
            </w:pPr>
            <w:r>
              <w:t xml:space="preserve">Network Contribution</w:t>
            </w:r>
          </w:p>
        </w:tc>
      </w:tr>
      <w:tr>
        <w:tc>
          <w:tcPr/>
          <w:p>
            <w:pPr>
              <w:pStyle w:val="Compact"/>
            </w:pPr>
            <w:r>
              <w:t xml:space="preserve">1</w:t>
            </w:r>
          </w:p>
        </w:tc>
        <w:tc>
          <w:tcPr/>
          <w:p>
            <w:pPr>
              <w:pStyle w:val="Compact"/>
            </w:pPr>
            <w:r>
              <w:t xml:space="preserve">cladosporium</w:t>
            </w:r>
          </w:p>
        </w:tc>
        <w:tc>
          <w:tcPr/>
          <w:p>
            <w:pPr>
              <w:pStyle w:val="Compact"/>
            </w:pPr>
            <w:r>
              <w:t xml:space="preserve">Saprotrophic ⚠ Pathogen</w:t>
            </w:r>
          </w:p>
        </w:tc>
        <w:tc>
          <w:tcPr/>
          <w:p>
            <w:pPr>
              <w:pStyle w:val="Compact"/>
            </w:pPr>
            <w:r>
              <w:t xml:space="preserve">3 plants</w:t>
            </w:r>
          </w:p>
        </w:tc>
        <w:tc>
          <w:tcPr/>
          <w:p>
            <w:pPr>
              <w:pStyle w:val="Compact"/>
            </w:pPr>
            <w:r>
              <w:t xml:space="preserve">42.9%</w:t>
            </w:r>
          </w:p>
        </w:tc>
      </w:tr>
      <w:tr>
        <w:tc>
          <w:tcPr/>
          <w:p>
            <w:pPr>
              <w:pStyle w:val="Compact"/>
            </w:pPr>
            <w:r>
              <w:t xml:space="preserve">2</w:t>
            </w:r>
          </w:p>
        </w:tc>
        <w:tc>
          <w:tcPr/>
          <w:p>
            <w:pPr>
              <w:pStyle w:val="Compact"/>
            </w:pPr>
            <w:r>
              <w:t xml:space="preserve">acremonium</w:t>
            </w:r>
          </w:p>
        </w:tc>
        <w:tc>
          <w:tcPr/>
          <w:p>
            <w:pPr>
              <w:pStyle w:val="Compact"/>
            </w:pPr>
            <w:r>
              <w:t xml:space="preserve">Endophytic</w:t>
            </w:r>
          </w:p>
        </w:tc>
        <w:tc>
          <w:tcPr/>
          <w:p>
            <w:pPr>
              <w:pStyle w:val="Compact"/>
            </w:pPr>
            <w:r>
              <w:t xml:space="preserve">2 plants</w:t>
            </w:r>
          </w:p>
        </w:tc>
        <w:tc>
          <w:tcPr/>
          <w:p>
            <w:pPr>
              <w:pStyle w:val="Compact"/>
            </w:pPr>
            <w:r>
              <w:t xml:space="preserve">28.6%</w:t>
            </w:r>
          </w:p>
        </w:tc>
      </w:tr>
      <w:tr>
        <w:tc>
          <w:tcPr/>
          <w:p>
            <w:pPr>
              <w:pStyle w:val="Compact"/>
            </w:pPr>
            <w:r>
              <w:t xml:space="preserve">3</w:t>
            </w:r>
          </w:p>
        </w:tc>
        <w:tc>
          <w:tcPr/>
          <w:p>
            <w:pPr>
              <w:pStyle w:val="Compact"/>
            </w:pPr>
            <w:r>
              <w:t xml:space="preserve">alternaria</w:t>
            </w:r>
          </w:p>
        </w:tc>
        <w:tc>
          <w:tcPr/>
          <w:p>
            <w:pPr>
              <w:pStyle w:val="Compact"/>
            </w:pPr>
            <w:r>
              <w:t xml:space="preserve">Saprotrophic ⚠ Pathogen</w:t>
            </w:r>
          </w:p>
        </w:tc>
        <w:tc>
          <w:tcPr/>
          <w:p>
            <w:pPr>
              <w:pStyle w:val="Compact"/>
            </w:pPr>
            <w:r>
              <w:t xml:space="preserve">2 plants</w:t>
            </w:r>
          </w:p>
        </w:tc>
        <w:tc>
          <w:tcPr/>
          <w:p>
            <w:pPr>
              <w:pStyle w:val="Compact"/>
            </w:pPr>
            <w:r>
              <w:t xml:space="preserve">28.6%</w:t>
            </w:r>
          </w:p>
        </w:tc>
      </w:tr>
      <w:tr>
        <w:tc>
          <w:tcPr/>
          <w:p>
            <w:pPr>
              <w:pStyle w:val="Compact"/>
            </w:pPr>
            <w:r>
              <w:t xml:space="preserve">4</w:t>
            </w:r>
          </w:p>
        </w:tc>
        <w:tc>
          <w:tcPr/>
          <w:p>
            <w:pPr>
              <w:pStyle w:val="Compact"/>
            </w:pPr>
            <w:r>
              <w:t xml:space="preserve">aspergillus</w:t>
            </w:r>
          </w:p>
        </w:tc>
        <w:tc>
          <w:tcPr/>
          <w:p>
            <w:pPr>
              <w:pStyle w:val="Compact"/>
            </w:pPr>
            <w:r>
              <w:t xml:space="preserve">Endophytic</w:t>
            </w:r>
          </w:p>
        </w:tc>
        <w:tc>
          <w:tcPr/>
          <w:p>
            <w:pPr>
              <w:pStyle w:val="Compact"/>
            </w:pPr>
            <w:r>
              <w:t xml:space="preserve">2 plants</w:t>
            </w:r>
          </w:p>
        </w:tc>
        <w:tc>
          <w:tcPr/>
          <w:p>
            <w:pPr>
              <w:pStyle w:val="Compact"/>
            </w:pPr>
            <w:r>
              <w:t xml:space="preserve">28.6%</w:t>
            </w:r>
          </w:p>
        </w:tc>
      </w:tr>
      <w:tr>
        <w:tc>
          <w:tcPr/>
          <w:p>
            <w:pPr>
              <w:pStyle w:val="Compact"/>
            </w:pPr>
            <w:r>
              <w:t xml:space="preserve">5</w:t>
            </w:r>
          </w:p>
        </w:tc>
        <w:tc>
          <w:tcPr/>
          <w:p>
            <w:pPr>
              <w:pStyle w:val="Compact"/>
            </w:pPr>
            <w:r>
              <w:t xml:space="preserve">athelia</w:t>
            </w:r>
          </w:p>
        </w:tc>
        <w:tc>
          <w:tcPr/>
          <w:p>
            <w:pPr>
              <w:pStyle w:val="Compact"/>
            </w:pPr>
            <w:r>
              <w:t xml:space="preserve">Saprotrophic</w:t>
            </w:r>
          </w:p>
        </w:tc>
        <w:tc>
          <w:tcPr/>
          <w:p>
            <w:pPr>
              <w:pStyle w:val="Compact"/>
            </w:pPr>
            <w:r>
              <w:t xml:space="preserve">2 plants</w:t>
            </w:r>
          </w:p>
        </w:tc>
        <w:tc>
          <w:tcPr/>
          <w:p>
            <w:pPr>
              <w:pStyle w:val="Compact"/>
            </w:pPr>
            <w:r>
              <w:t xml:space="preserve">28.6%</w:t>
            </w:r>
          </w:p>
        </w:tc>
      </w:tr>
      <w:tr>
        <w:tc>
          <w:tcPr/>
          <w:p>
            <w:pPr>
              <w:pStyle w:val="Compact"/>
            </w:pPr>
            <w:r>
              <w:t xml:space="preserve">6</w:t>
            </w:r>
          </w:p>
        </w:tc>
        <w:tc>
          <w:tcPr/>
          <w:p>
            <w:pPr>
              <w:pStyle w:val="Compact"/>
            </w:pPr>
            <w:r>
              <w:t xml:space="preserve">aureobasidium</w:t>
            </w:r>
          </w:p>
        </w:tc>
        <w:tc>
          <w:tcPr/>
          <w:p>
            <w:pPr>
              <w:pStyle w:val="Compact"/>
            </w:pPr>
            <w:r>
              <w:t xml:space="preserve">Saprotrophic</w:t>
            </w:r>
          </w:p>
        </w:tc>
        <w:tc>
          <w:tcPr/>
          <w:p>
            <w:pPr>
              <w:pStyle w:val="Compact"/>
            </w:pPr>
            <w:r>
              <w:t xml:space="preserve">2 plants</w:t>
            </w:r>
          </w:p>
        </w:tc>
        <w:tc>
          <w:tcPr/>
          <w:p>
            <w:pPr>
              <w:pStyle w:val="Compact"/>
            </w:pPr>
            <w:r>
              <w:t xml:space="preserve">28.6%</w:t>
            </w:r>
          </w:p>
        </w:tc>
      </w:tr>
      <w:tr>
        <w:tc>
          <w:tcPr/>
          <w:p>
            <w:pPr>
              <w:pStyle w:val="Compact"/>
            </w:pPr>
            <w:r>
              <w:t xml:space="preserve">7</w:t>
            </w:r>
          </w:p>
        </w:tc>
        <w:tc>
          <w:tcPr/>
          <w:p>
            <w:pPr>
              <w:pStyle w:val="Compact"/>
            </w:pPr>
            <w:r>
              <w:t xml:space="preserve">botrytis</w:t>
            </w:r>
          </w:p>
        </w:tc>
        <w:tc>
          <w:tcPr/>
          <w:p>
            <w:pPr>
              <w:pStyle w:val="Compact"/>
            </w:pPr>
            <w:r>
              <w:t xml:space="preserve">Saprotrophic ⚠ Pathogen</w:t>
            </w:r>
          </w:p>
        </w:tc>
        <w:tc>
          <w:tcPr/>
          <w:p>
            <w:pPr>
              <w:pStyle w:val="Compact"/>
            </w:pPr>
            <w:r>
              <w:t xml:space="preserve">2 plants</w:t>
            </w:r>
          </w:p>
        </w:tc>
        <w:tc>
          <w:tcPr/>
          <w:p>
            <w:pPr>
              <w:pStyle w:val="Compact"/>
            </w:pPr>
            <w:r>
              <w:t xml:space="preserve">28.6%</w:t>
            </w:r>
          </w:p>
        </w:tc>
      </w:tr>
      <w:tr>
        <w:tc>
          <w:tcPr/>
          <w:p>
            <w:pPr>
              <w:pStyle w:val="Compact"/>
            </w:pPr>
            <w:r>
              <w:t xml:space="preserve">8</w:t>
            </w:r>
          </w:p>
        </w:tc>
        <w:tc>
          <w:tcPr/>
          <w:p>
            <w:pPr>
              <w:pStyle w:val="Compact"/>
            </w:pPr>
            <w:r>
              <w:t xml:space="preserve">colletotrichum</w:t>
            </w:r>
          </w:p>
        </w:tc>
        <w:tc>
          <w:tcPr/>
          <w:p>
            <w:pPr>
              <w:pStyle w:val="Compact"/>
            </w:pPr>
            <w:r>
              <w:t xml:space="preserve">Saprotrophic ⚠ Pathogen</w:t>
            </w:r>
          </w:p>
        </w:tc>
        <w:tc>
          <w:tcPr/>
          <w:p>
            <w:pPr>
              <w:pStyle w:val="Compact"/>
            </w:pPr>
            <w:r>
              <w:t xml:space="preserve">2 plants</w:t>
            </w:r>
          </w:p>
        </w:tc>
        <w:tc>
          <w:tcPr/>
          <w:p>
            <w:pPr>
              <w:pStyle w:val="Compact"/>
            </w:pPr>
            <w:r>
              <w:t xml:space="preserve">28.6%</w:t>
            </w:r>
          </w:p>
        </w:tc>
      </w:tr>
      <w:tr>
        <w:tc>
          <w:tcPr/>
          <w:p>
            <w:pPr>
              <w:pStyle w:val="Compact"/>
            </w:pPr>
            <w:r>
              <w:t xml:space="preserve">9</w:t>
            </w:r>
          </w:p>
        </w:tc>
        <w:tc>
          <w:tcPr/>
          <w:p>
            <w:pPr>
              <w:pStyle w:val="Compact"/>
            </w:pPr>
            <w:r>
              <w:t xml:space="preserve">coniochaeta</w:t>
            </w:r>
          </w:p>
        </w:tc>
        <w:tc>
          <w:tcPr/>
          <w:p>
            <w:pPr>
              <w:pStyle w:val="Compact"/>
            </w:pPr>
            <w:r>
              <w:t xml:space="preserve">Endophytic</w:t>
            </w:r>
          </w:p>
        </w:tc>
        <w:tc>
          <w:tcPr/>
          <w:p>
            <w:pPr>
              <w:pStyle w:val="Compact"/>
            </w:pPr>
            <w:r>
              <w:t xml:space="preserve">2 plants</w:t>
            </w:r>
          </w:p>
        </w:tc>
        <w:tc>
          <w:tcPr/>
          <w:p>
            <w:pPr>
              <w:pStyle w:val="Compact"/>
            </w:pPr>
            <w:r>
              <w:t xml:space="preserve">28.6%</w:t>
            </w:r>
          </w:p>
        </w:tc>
      </w:tr>
      <w:tr>
        <w:tc>
          <w:tcPr/>
          <w:p>
            <w:pPr>
              <w:pStyle w:val="Compact"/>
            </w:pPr>
            <w:r>
              <w:t xml:space="preserve">10</w:t>
            </w:r>
          </w:p>
        </w:tc>
        <w:tc>
          <w:tcPr/>
          <w:p>
            <w:pPr>
              <w:pStyle w:val="Compact"/>
            </w:pPr>
            <w:r>
              <w:t xml:space="preserve">funneliformis</w:t>
            </w:r>
          </w:p>
        </w:tc>
        <w:tc>
          <w:tcPr/>
          <w:p>
            <w:pPr>
              <w:pStyle w:val="Compact"/>
            </w:pPr>
            <w:r>
              <w:t xml:space="preserve">AMF</w:t>
            </w:r>
          </w:p>
        </w:tc>
        <w:tc>
          <w:tcPr/>
          <w:p>
            <w:pPr>
              <w:pStyle w:val="Compact"/>
            </w:pPr>
            <w:r>
              <w:t xml:space="preserve">2 plants</w:t>
            </w:r>
          </w:p>
        </w:tc>
        <w:tc>
          <w:tcPr/>
          <w:p>
            <w:pPr>
              <w:pStyle w:val="Compact"/>
            </w:pPr>
            <w:r>
              <w:t xml:space="preserve">28.6%</w:t>
            </w:r>
          </w:p>
        </w:tc>
      </w:tr>
    </w:tbl>
    <w:p>
      <w:pPr>
        <w:pStyle w:val="BodyText"/>
      </w:pPr>
      <w:r>
        <w:t xml:space="preserve">⚠</w:t>
      </w:r>
      <w:r>
        <w:t xml:space="preserve"> </w:t>
      </w:r>
      <w:r>
        <w:rPr>
          <w:b/>
          <w:bCs/>
        </w:rPr>
        <w:t xml:space="preserve">Dual-Lifestyle Fungi</w:t>
      </w:r>
      <w:r>
        <w:t xml:space="preserve">: Some fungi have both beneficial (decomposition, nutrient cycling) and pathogenic (disease-causing) roles. While they contribute to the beneficial fungi network (included in M5 score), they may cause leaf spots, fruit rot, or other diseases under favorable conditions.</w:t>
      </w:r>
    </w:p>
    <w:p>
      <w:pPr>
        <w:pStyle w:val="BodyText"/>
      </w:pPr>
      <w:r>
        <w:rPr>
          <w:b/>
          <w:bCs/>
        </w:rPr>
        <w:t xml:space="preserve">Network Hubs (most connected plants):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Plant</w:t>
            </w:r>
          </w:p>
        </w:tc>
        <w:tc>
          <w:tcPr/>
          <w:p>
            <w:pPr>
              <w:pStyle w:val="Compact"/>
            </w:pPr>
            <w:r>
              <w:t xml:space="preserve">Total Fungi</w:t>
            </w:r>
          </w:p>
        </w:tc>
        <w:tc>
          <w:tcPr/>
          <w:p>
            <w:pPr>
              <w:pStyle w:val="Compact"/>
            </w:pPr>
            <w:r>
              <w:t xml:space="preserve">AMF</w:t>
            </w:r>
          </w:p>
        </w:tc>
        <w:tc>
          <w:tcPr/>
          <w:p>
            <w:pPr>
              <w:pStyle w:val="Compact"/>
            </w:pPr>
            <w:r>
              <w:t xml:space="preserve">EMF</w:t>
            </w:r>
          </w:p>
        </w:tc>
        <w:tc>
          <w:tcPr/>
          <w:p>
            <w:pPr>
              <w:pStyle w:val="Compact"/>
            </w:pPr>
            <w:r>
              <w:t xml:space="preserve">Endophytic</w:t>
            </w:r>
          </w:p>
        </w:tc>
        <w:tc>
          <w:tcPr/>
          <w:p>
            <w:pPr>
              <w:pStyle w:val="Compact"/>
            </w:pPr>
            <w:r>
              <w:t xml:space="preserve">Saprotrophic</w:t>
            </w:r>
          </w:p>
        </w:tc>
      </w:tr>
      <w:tr>
        <w:tc>
          <w:tcPr/>
          <w:p>
            <w:pPr>
              <w:pStyle w:val="Compact"/>
            </w:pPr>
            <w:r>
              <w:t xml:space="preserve">Vitis vinifera (Common Grape)</w:t>
            </w:r>
          </w:p>
        </w:tc>
        <w:tc>
          <w:tcPr/>
          <w:p>
            <w:pPr>
              <w:pStyle w:val="Compact"/>
            </w:pPr>
            <w:r>
              <w:t xml:space="preserve">279</w:t>
            </w:r>
          </w:p>
        </w:tc>
        <w:tc>
          <w:tcPr/>
          <w:p>
            <w:pPr>
              <w:pStyle w:val="Compact"/>
            </w:pPr>
            <w:r>
              <w:t xml:space="preserve">4</w:t>
            </w:r>
          </w:p>
        </w:tc>
        <w:tc>
          <w:tcPr/>
          <w:p>
            <w:pPr>
              <w:pStyle w:val="Compact"/>
            </w:pPr>
            <w:r>
              <w:t xml:space="preserve">2</w:t>
            </w:r>
          </w:p>
        </w:tc>
        <w:tc>
          <w:tcPr/>
          <w:p>
            <w:pPr>
              <w:pStyle w:val="Compact"/>
            </w:pPr>
            <w:r>
              <w:t xml:space="preserve">51</w:t>
            </w:r>
          </w:p>
        </w:tc>
        <w:tc>
          <w:tcPr/>
          <w:p>
            <w:pPr>
              <w:pStyle w:val="Compact"/>
            </w:pPr>
            <w:r>
              <w:t xml:space="preserve">222</w:t>
            </w:r>
          </w:p>
        </w:tc>
      </w:tr>
      <w:tr>
        <w:tc>
          <w:tcPr/>
          <w:p>
            <w:pPr>
              <w:pStyle w:val="Compact"/>
            </w:pPr>
            <w:r>
              <w:t xml:space="preserve">Cheirodendron trigynum (Common Cheirodendron)</w:t>
            </w:r>
          </w:p>
        </w:tc>
        <w:tc>
          <w:tcPr/>
          <w:p>
            <w:pPr>
              <w:pStyle w:val="Compact"/>
            </w:pPr>
            <w:r>
              <w:t xml:space="preserve">32</w:t>
            </w:r>
          </w:p>
        </w:tc>
        <w:tc>
          <w:tcPr/>
          <w:p>
            <w:pPr>
              <w:pStyle w:val="Compact"/>
            </w:pPr>
            <w:r>
              <w:t xml:space="preserve">0</w:t>
            </w:r>
          </w:p>
        </w:tc>
        <w:tc>
          <w:tcPr/>
          <w:p>
            <w:pPr>
              <w:pStyle w:val="Compact"/>
            </w:pPr>
            <w:r>
              <w:t xml:space="preserve">0</w:t>
            </w:r>
          </w:p>
        </w:tc>
        <w:tc>
          <w:tcPr/>
          <w:p>
            <w:pPr>
              <w:pStyle w:val="Compact"/>
            </w:pPr>
            <w:r>
              <w:t xml:space="preserve">14</w:t>
            </w:r>
          </w:p>
        </w:tc>
        <w:tc>
          <w:tcPr/>
          <w:p>
            <w:pPr>
              <w:pStyle w:val="Compact"/>
            </w:pPr>
            <w:r>
              <w:t xml:space="preserve">18</w:t>
            </w:r>
          </w:p>
        </w:tc>
      </w:tr>
      <w:tr>
        <w:tc>
          <w:tcPr/>
          <w:p>
            <w:pPr>
              <w:pStyle w:val="Compact"/>
            </w:pPr>
            <w:r>
              <w:t xml:space="preserve">Allium schoenoprasum (Chives)</w:t>
            </w:r>
          </w:p>
        </w:tc>
        <w:tc>
          <w:tcPr/>
          <w:p>
            <w:pPr>
              <w:pStyle w:val="Compact"/>
            </w:pPr>
            <w:r>
              <w:t xml:space="preserve">15</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12</w:t>
            </w:r>
          </w:p>
        </w:tc>
      </w:tr>
      <w:tr>
        <w:tc>
          <w:tcPr/>
          <w:p>
            <w:pPr>
              <w:pStyle w:val="Compact"/>
            </w:pPr>
            <w:r>
              <w:t xml:space="preserve">Erythrina sandwicensis (Hawaiian Coral Tree)</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2</w:t>
            </w:r>
          </w:p>
        </w:tc>
      </w:tr>
      <w:tr>
        <w:tc>
          <w:tcPr/>
          <w:p>
            <w:pPr>
              <w:pStyle w:val="Compact"/>
            </w:pPr>
            <w:r>
              <w:t xml:space="preserve">Alnus acuminata (Andean Alder)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Pfaffia gnaphalioides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Virola bicuhyba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p>
      <w:pPr>
        <w:pStyle w:val="BodyText"/>
      </w:pPr>
      <w:r>
        <w:t xml:space="preserve">⚠️</w:t>
      </w:r>
      <w:r>
        <w:t xml:space="preserve"> </w:t>
      </w:r>
      <w:r>
        <w:rPr>
          <w:b/>
          <w:bCs/>
        </w:rPr>
        <w:t xml:space="preserve">Data Completeness Note:</w:t>
      </w:r>
      <w:r>
        <w:t xml:space="preserve"> </w:t>
      </w:r>
      <w:r>
        <w:t xml:space="preserve">Plants marked with ⚠️ have no interaction data in this dimension. This likely indicates a data gap rather than true ecological absence.</w:t>
      </w:r>
    </w:p>
    <w:bookmarkEnd w:id="20"/>
    <w:bookmarkEnd w:id="21"/>
    <w:bookmarkStart w:id="22" w:name="structural-diversity-m6---16.7100"/>
    <w:p>
      <w:pPr>
        <w:pStyle w:val="Heading3"/>
      </w:pPr>
      <w:r>
        <w:t xml:space="preserve">Structural Diversity [M6 - 16.7/100]</w:t>
      </w:r>
    </w:p>
    <w:p>
      <w:pPr>
        <w:pStyle w:val="FirstParagraph"/>
      </w:pPr>
      <w:r>
        <w:t xml:space="preserve">3 growth forms spanning 14.1m height range (17th percentile)</w:t>
      </w:r>
      <w:r>
        <w:br/>
      </w:r>
      <w:r>
        <w:rPr>
          <w:b/>
          <w:bCs/>
        </w:rPr>
        <w:t xml:space="preserve">Vertical Stratification (Quality: 0.12 - Poor):</w:t>
      </w:r>
    </w:p>
    <w:p>
      <w:pPr>
        <w:pStyle w:val="BodyText"/>
      </w:pPr>
      <w:r>
        <w:rPr>
          <w:b/>
          <w:bCs/>
        </w:rPr>
        <w:t xml:space="preserve">Understory (5-15m):</w:t>
      </w:r>
      <w:r>
        <w:t xml:space="preserve"> </w:t>
      </w:r>
      <w:r>
        <w:t xml:space="preserve">- Alnus acuminata (Andean Alder): 14.2m, EIVE-L: 7.1 (flexible)</w:t>
      </w:r>
      <w:r>
        <w:t xml:space="preserve"> </w:t>
      </w:r>
      <w:r>
        <w:t xml:space="preserve">- Vitis vinifera (Common Grape): 9.7m, EIVE-L: 6.2 (flexible)</w:t>
      </w:r>
      <w:r>
        <w:t xml:space="preserve"> </w:t>
      </w:r>
      <w:r>
        <w:t xml:space="preserve">- Erythrina sandwicensis (Hawaiian Coral Tree): 9.1m, EIVE-L: 7.1 (flexible)</w:t>
      </w:r>
      <w:r>
        <w:t xml:space="preserve"> </w:t>
      </w:r>
      <w:r>
        <w:t xml:space="preserve">- Cheirodendron trigynum (Common Cheirodendron): 8.3m, EIVE-L: 6.4 (flexible)</w:t>
      </w:r>
      <w:r>
        <w:t xml:space="preserve"> </w:t>
      </w:r>
      <w:r>
        <w:t xml:space="preserve">- Virola bicuhyba: 8.0m, EIVE-L: 4.9 (flexible)</w:t>
      </w:r>
    </w:p>
    <w:p>
      <w:pPr>
        <w:pStyle w:val="BodyText"/>
      </w:pPr>
      <w:r>
        <w:rPr>
          <w:b/>
          <w:bCs/>
        </w:rPr>
        <w:t xml:space="preserve">Ground Layer (&lt;1m):</w:t>
      </w:r>
      <w:r>
        <w:t xml:space="preserve"> </w:t>
      </w:r>
      <w:r>
        <w:t xml:space="preserve">- Allium schoenoprasum (Chives): 0.3m, EIVE-L: 7.5 (sun-loving ⚠)</w:t>
      </w:r>
      <w:r>
        <w:t xml:space="preserve"> </w:t>
      </w:r>
      <w:r>
        <w:t xml:space="preserve">- Pfaffia gnaphalioides: 0.1m, EIVE-L: 8.0 (sun-loving ⚠)</w:t>
      </w:r>
    </w:p>
    <w:p>
      <w:pPr>
        <w:pStyle w:val="BodyText"/>
      </w:pPr>
      <w:r>
        <w:rPr>
          <w:b/>
          <w:bCs/>
        </w:rPr>
        <w:t xml:space="preserve">Why this stratification has issues:</w:t>
      </w:r>
      <w:r>
        <w:t xml:space="preserve"> </w:t>
      </w:r>
      <w:r>
        <w:t xml:space="preserve">5 plants are flexible (EIVE-L 3.2-7.47) and tolerate partial shade. ⚠ 2 plants are sun-loving (EIVE-L &gt;7.47) and may be shaded out by taller plants.</w:t>
      </w:r>
    </w:p>
    <w:p>
      <w:pPr>
        <w:pStyle w:val="BodyText"/>
      </w:pPr>
      <w:r>
        <w:t xml:space="preserve">Limited structural diversity - few layers or growth forms, less efficient space use</w:t>
      </w:r>
    </w:p>
    <w:bookmarkEnd w:id="22"/>
    <w:bookmarkStart w:id="24" w:name="pollinator-support-m7---95.0100"/>
    <w:p>
      <w:pPr>
        <w:pStyle w:val="Heading3"/>
      </w:pPr>
      <w:r>
        <w:t xml:space="preserve">Pollinator Support [M7 - 95.0/100]</w:t>
      </w:r>
    </w:p>
    <w:p>
      <w:pPr>
        <w:pStyle w:val="FirstParagraph"/>
      </w:pPr>
      <w:r>
        <w:t xml:space="preserve">95th percentile - 43% coverage (3/7 plants have documented pollinators)</w:t>
      </w:r>
      <w:r>
        <w:br/>
      </w:r>
      <w:r>
        <w:t xml:space="preserve">Plants attract and support pollinator communities, ensuring reliable pollination services and promoting pollinator diversity. Excellent pollinator support - most plants have documented pollinators</w:t>
      </w:r>
    </w:p>
    <w:bookmarkStart w:id="23" w:name="pollinator-network-profile"/>
    <w:p>
      <w:pPr>
        <w:pStyle w:val="Heading4"/>
      </w:pPr>
      <w:r>
        <w:t xml:space="preserve">Pollinator Network Profile</w:t>
      </w:r>
    </w:p>
    <w:p>
      <w:pPr>
        <w:pStyle w:val="FirstParagraph"/>
      </w:pPr>
      <w:r>
        <w:rPr>
          <w:b/>
          <w:bCs/>
        </w:rPr>
        <w:t xml:space="preserve">Total unique pollinator species:</w:t>
      </w:r>
      <w:r>
        <w:t xml:space="preserve"> </w:t>
      </w:r>
      <w:r>
        <w:t xml:space="preserve">20</w:t>
      </w:r>
    </w:p>
    <w:p>
      <w:pPr>
        <w:pStyle w:val="BodyText"/>
      </w:pPr>
      <w:r>
        <w:rPr>
          <w:b/>
          <w:bCs/>
        </w:rPr>
        <w:t xml:space="preserve">Pollinator Community Composition:</w:t>
      </w:r>
    </w:p>
    <w:p>
      <w:pPr>
        <w:pStyle w:val="Compact"/>
        <w:numPr>
          <w:ilvl w:val="0"/>
          <w:numId w:val="1005"/>
        </w:numPr>
      </w:pPr>
      <w:r>
        <w:t xml:space="preserve">1 Honey Bees - 5.0%</w:t>
      </w:r>
    </w:p>
    <w:p>
      <w:pPr>
        <w:pStyle w:val="Compact"/>
        <w:numPr>
          <w:ilvl w:val="0"/>
          <w:numId w:val="1005"/>
        </w:numPr>
      </w:pPr>
      <w:r>
        <w:t xml:space="preserve">14 Bumblebees - 70.0%</w:t>
      </w:r>
    </w:p>
    <w:p>
      <w:pPr>
        <w:pStyle w:val="Compact"/>
        <w:numPr>
          <w:ilvl w:val="0"/>
          <w:numId w:val="1005"/>
        </w:numPr>
      </w:pPr>
      <w:r>
        <w:t xml:space="preserve">2 Solitary Bees - 10.0%</w:t>
      </w:r>
    </w:p>
    <w:p>
      <w:pPr>
        <w:pStyle w:val="Compact"/>
        <w:numPr>
          <w:ilvl w:val="0"/>
          <w:numId w:val="1005"/>
        </w:numPr>
      </w:pPr>
      <w:r>
        <w:t xml:space="preserve">1 Birds - 5.0%</w:t>
      </w:r>
    </w:p>
    <w:p>
      <w:pPr>
        <w:pStyle w:val="Compact"/>
        <w:numPr>
          <w:ilvl w:val="0"/>
          <w:numId w:val="1005"/>
        </w:numPr>
      </w:pPr>
      <w:r>
        <w:t xml:space="preserve">2 Other - 10.0%</w:t>
      </w:r>
    </w:p>
    <w:p>
      <w:pPr>
        <w:pStyle w:val="FirstParagraph"/>
      </w:pPr>
      <w:r>
        <w:rPr>
          <w:b/>
          <w:bCs/>
        </w:rPr>
        <w:t xml:space="preserve">No shared pollinators detected</w:t>
      </w:r>
      <w:r>
        <w:t xml:space="preserve"> </w:t>
      </w:r>
      <w:r>
        <w:t xml:space="preserve">- Each pollinator visits only one plant species in this guild.</w:t>
      </w:r>
    </w:p>
    <w:p>
      <w:pPr>
        <w:pStyle w:val="BodyText"/>
      </w:pPr>
      <w:r>
        <w:rPr>
          <w:b/>
          <w:bCs/>
        </w:rPr>
        <w:t xml:space="preserve">Top Network Pollinators (by connectivity):</w:t>
      </w:r>
    </w:p>
    <w:tbl>
      <w:tblPr>
        <w:tblStyle w:val="Table"/>
        <w:tblW w:type="pct" w:w="5000"/>
        <w:tblLayout w:type="fixed"/>
        <w:tblLook w:firstRow="1" w:lastRow="0" w:firstColumn="0" w:lastColumn="0" w:noHBand="0" w:noVBand="0" w:val="0020"/>
      </w:tblPr>
      <w:tblGrid>
        <w:gridCol w:w="633"/>
        <w:gridCol w:w="2006"/>
        <w:gridCol w:w="1056"/>
        <w:gridCol w:w="1900"/>
        <w:gridCol w:w="2323"/>
      </w:tblGrid>
      <w:tr>
        <w:trPr>
          <w:tblHeader w:val="on"/>
        </w:trPr>
        <w:tc>
          <w:tcPr/>
          <w:p>
            <w:pPr>
              <w:pStyle w:val="Compact"/>
            </w:pPr>
            <w:r>
              <w:t xml:space="preserve">Rank</w:t>
            </w:r>
          </w:p>
        </w:tc>
        <w:tc>
          <w:tcPr/>
          <w:p>
            <w:pPr>
              <w:pStyle w:val="Compact"/>
            </w:pPr>
            <w:r>
              <w:t xml:space="preserve">Pollinator Species</w:t>
            </w:r>
          </w:p>
        </w:tc>
        <w:tc>
          <w:tcPr/>
          <w:p>
            <w:pPr>
              <w:pStyle w:val="Compact"/>
            </w:pPr>
            <w:r>
              <w:t xml:space="preserve">Category</w:t>
            </w:r>
          </w:p>
        </w:tc>
        <w:tc>
          <w:tcPr/>
          <w:p>
            <w:pPr>
              <w:pStyle w:val="Compact"/>
            </w:pPr>
            <w:r>
              <w:t xml:space="preserve">Plants Connected</w:t>
            </w:r>
          </w:p>
        </w:tc>
        <w:tc>
          <w:tcPr/>
          <w:p>
            <w:pPr>
              <w:pStyle w:val="Compact"/>
            </w:pPr>
            <w:r>
              <w:t xml:space="preserve">Network Contribution</w:t>
            </w:r>
          </w:p>
        </w:tc>
      </w:tr>
      <w:tr>
        <w:tc>
          <w:tcPr/>
          <w:p>
            <w:pPr>
              <w:pStyle w:val="Compact"/>
            </w:pPr>
            <w:r>
              <w:t xml:space="preserve">1</w:t>
            </w:r>
          </w:p>
        </w:tc>
        <w:tc>
          <w:tcPr/>
          <w:p>
            <w:pPr>
              <w:pStyle w:val="Compact"/>
            </w:pPr>
            <w:r>
              <w:t xml:space="preserve">Apis mellifera</w:t>
            </w:r>
          </w:p>
        </w:tc>
        <w:tc>
          <w:tcPr/>
          <w:p>
            <w:pPr>
              <w:pStyle w:val="Compact"/>
            </w:pPr>
            <w:r>
              <w:t xml:space="preserve">Honey Bees</w:t>
            </w:r>
          </w:p>
        </w:tc>
        <w:tc>
          <w:tcPr/>
          <w:p>
            <w:pPr>
              <w:pStyle w:val="Compact"/>
            </w:pPr>
            <w:r>
              <w:t xml:space="preserve">1 plant</w:t>
            </w:r>
          </w:p>
        </w:tc>
        <w:tc>
          <w:tcPr/>
          <w:p>
            <w:pPr>
              <w:pStyle w:val="Compact"/>
            </w:pPr>
            <w:r>
              <w:t xml:space="preserve">14.3%</w:t>
            </w:r>
          </w:p>
        </w:tc>
      </w:tr>
      <w:tr>
        <w:tc>
          <w:tcPr/>
          <w:p>
            <w:pPr>
              <w:pStyle w:val="Compact"/>
            </w:pPr>
            <w:r>
              <w:t xml:space="preserve">2</w:t>
            </w:r>
          </w:p>
        </w:tc>
        <w:tc>
          <w:tcPr/>
          <w:p>
            <w:pPr>
              <w:pStyle w:val="Compact"/>
            </w:pPr>
            <w:r>
              <w:t xml:space="preserve">Apoidea</w:t>
            </w:r>
          </w:p>
        </w:tc>
        <w:tc>
          <w:tcPr/>
          <w:p>
            <w:pPr>
              <w:pStyle w:val="Compact"/>
            </w:pPr>
            <w:r>
              <w:t xml:space="preserve">Other Pollinators</w:t>
            </w:r>
          </w:p>
        </w:tc>
        <w:tc>
          <w:tcPr/>
          <w:p>
            <w:pPr>
              <w:pStyle w:val="Compact"/>
            </w:pPr>
            <w:r>
              <w:t xml:space="preserve">1 plant</w:t>
            </w:r>
          </w:p>
        </w:tc>
        <w:tc>
          <w:tcPr/>
          <w:p>
            <w:pPr>
              <w:pStyle w:val="Compact"/>
            </w:pPr>
            <w:r>
              <w:t xml:space="preserve">14.3%</w:t>
            </w:r>
          </w:p>
        </w:tc>
      </w:tr>
      <w:tr>
        <w:tc>
          <w:tcPr/>
          <w:p>
            <w:pPr>
              <w:pStyle w:val="Compact"/>
            </w:pPr>
            <w:r>
              <w:t xml:space="preserve">3</w:t>
            </w:r>
          </w:p>
        </w:tc>
        <w:tc>
          <w:tcPr/>
          <w:p>
            <w:pPr>
              <w:pStyle w:val="Compact"/>
            </w:pPr>
            <w:r>
              <w:t xml:space="preserve">Aves</w:t>
            </w:r>
          </w:p>
        </w:tc>
        <w:tc>
          <w:tcPr/>
          <w:p>
            <w:pPr>
              <w:pStyle w:val="Compact"/>
            </w:pPr>
            <w:r>
              <w:t xml:space="preserve">Birds</w:t>
            </w:r>
          </w:p>
        </w:tc>
        <w:tc>
          <w:tcPr/>
          <w:p>
            <w:pPr>
              <w:pStyle w:val="Compact"/>
            </w:pPr>
            <w:r>
              <w:t xml:space="preserve">1 plant</w:t>
            </w:r>
          </w:p>
        </w:tc>
        <w:tc>
          <w:tcPr/>
          <w:p>
            <w:pPr>
              <w:pStyle w:val="Compact"/>
            </w:pPr>
            <w:r>
              <w:t xml:space="preserve">14.3%</w:t>
            </w:r>
          </w:p>
        </w:tc>
      </w:tr>
      <w:tr>
        <w:tc>
          <w:tcPr/>
          <w:p>
            <w:pPr>
              <w:pStyle w:val="Compact"/>
            </w:pPr>
            <w:r>
              <w:t xml:space="preserve">4</w:t>
            </w:r>
          </w:p>
        </w:tc>
        <w:tc>
          <w:tcPr/>
          <w:p>
            <w:pPr>
              <w:pStyle w:val="Compact"/>
            </w:pPr>
            <w:r>
              <w:t xml:space="preserve">Bombus californicus</w:t>
            </w:r>
          </w:p>
        </w:tc>
        <w:tc>
          <w:tcPr/>
          <w:p>
            <w:pPr>
              <w:pStyle w:val="Compact"/>
            </w:pPr>
            <w:r>
              <w:t xml:space="preserve">Bumblebees</w:t>
            </w:r>
          </w:p>
        </w:tc>
        <w:tc>
          <w:tcPr/>
          <w:p>
            <w:pPr>
              <w:pStyle w:val="Compact"/>
            </w:pPr>
            <w:r>
              <w:t xml:space="preserve">1 plant</w:t>
            </w:r>
          </w:p>
        </w:tc>
        <w:tc>
          <w:tcPr/>
          <w:p>
            <w:pPr>
              <w:pStyle w:val="Compact"/>
            </w:pPr>
            <w:r>
              <w:t xml:space="preserve">14.3%</w:t>
            </w:r>
          </w:p>
        </w:tc>
      </w:tr>
      <w:tr>
        <w:tc>
          <w:tcPr/>
          <w:p>
            <w:pPr>
              <w:pStyle w:val="Compact"/>
            </w:pPr>
            <w:r>
              <w:t xml:space="preserve">5</w:t>
            </w:r>
          </w:p>
        </w:tc>
        <w:tc>
          <w:tcPr/>
          <w:p>
            <w:pPr>
              <w:pStyle w:val="Compact"/>
            </w:pPr>
            <w:r>
              <w:t xml:space="preserve">Bombus flavifrons</w:t>
            </w:r>
          </w:p>
        </w:tc>
        <w:tc>
          <w:tcPr/>
          <w:p>
            <w:pPr>
              <w:pStyle w:val="Compact"/>
            </w:pPr>
            <w:r>
              <w:t xml:space="preserve">Bumblebees</w:t>
            </w:r>
          </w:p>
        </w:tc>
        <w:tc>
          <w:tcPr/>
          <w:p>
            <w:pPr>
              <w:pStyle w:val="Compact"/>
            </w:pPr>
            <w:r>
              <w:t xml:space="preserve">1 plant</w:t>
            </w:r>
          </w:p>
        </w:tc>
        <w:tc>
          <w:tcPr/>
          <w:p>
            <w:pPr>
              <w:pStyle w:val="Compact"/>
            </w:pPr>
            <w:r>
              <w:t xml:space="preserve">14.3%</w:t>
            </w:r>
          </w:p>
        </w:tc>
      </w:tr>
      <w:tr>
        <w:tc>
          <w:tcPr/>
          <w:p>
            <w:pPr>
              <w:pStyle w:val="Compact"/>
            </w:pPr>
            <w:r>
              <w:t xml:space="preserve">6</w:t>
            </w:r>
          </w:p>
        </w:tc>
        <w:tc>
          <w:tcPr/>
          <w:p>
            <w:pPr>
              <w:pStyle w:val="Compact"/>
            </w:pPr>
            <w:r>
              <w:t xml:space="preserve">Bombus hypnorum</w:t>
            </w:r>
          </w:p>
        </w:tc>
        <w:tc>
          <w:tcPr/>
          <w:p>
            <w:pPr>
              <w:pStyle w:val="Compact"/>
            </w:pPr>
            <w:r>
              <w:t xml:space="preserve">Bumblebees</w:t>
            </w:r>
          </w:p>
        </w:tc>
        <w:tc>
          <w:tcPr/>
          <w:p>
            <w:pPr>
              <w:pStyle w:val="Compact"/>
            </w:pPr>
            <w:r>
              <w:t xml:space="preserve">1 plant</w:t>
            </w:r>
          </w:p>
        </w:tc>
        <w:tc>
          <w:tcPr/>
          <w:p>
            <w:pPr>
              <w:pStyle w:val="Compact"/>
            </w:pPr>
            <w:r>
              <w:t xml:space="preserve">14.3%</w:t>
            </w:r>
          </w:p>
        </w:tc>
      </w:tr>
      <w:tr>
        <w:tc>
          <w:tcPr/>
          <w:p>
            <w:pPr>
              <w:pStyle w:val="Compact"/>
            </w:pPr>
            <w:r>
              <w:t xml:space="preserve">7</w:t>
            </w:r>
          </w:p>
        </w:tc>
        <w:tc>
          <w:tcPr/>
          <w:p>
            <w:pPr>
              <w:pStyle w:val="Compact"/>
            </w:pPr>
            <w:r>
              <w:t xml:space="preserve">Bombus jonellus</w:t>
            </w:r>
          </w:p>
        </w:tc>
        <w:tc>
          <w:tcPr/>
          <w:p>
            <w:pPr>
              <w:pStyle w:val="Compact"/>
            </w:pPr>
            <w:r>
              <w:t xml:space="preserve">Bumblebees</w:t>
            </w:r>
          </w:p>
        </w:tc>
        <w:tc>
          <w:tcPr/>
          <w:p>
            <w:pPr>
              <w:pStyle w:val="Compact"/>
            </w:pPr>
            <w:r>
              <w:t xml:space="preserve">1 plant</w:t>
            </w:r>
          </w:p>
        </w:tc>
        <w:tc>
          <w:tcPr/>
          <w:p>
            <w:pPr>
              <w:pStyle w:val="Compact"/>
            </w:pPr>
            <w:r>
              <w:t xml:space="preserve">14.3%</w:t>
            </w:r>
          </w:p>
        </w:tc>
      </w:tr>
      <w:tr>
        <w:tc>
          <w:tcPr/>
          <w:p>
            <w:pPr>
              <w:pStyle w:val="Compact"/>
            </w:pPr>
            <w:r>
              <w:t xml:space="preserve">8</w:t>
            </w:r>
          </w:p>
        </w:tc>
        <w:tc>
          <w:tcPr/>
          <w:p>
            <w:pPr>
              <w:pStyle w:val="Compact"/>
            </w:pPr>
            <w:r>
              <w:t xml:space="preserve">Bombus lapidarius</w:t>
            </w:r>
          </w:p>
        </w:tc>
        <w:tc>
          <w:tcPr/>
          <w:p>
            <w:pPr>
              <w:pStyle w:val="Compact"/>
            </w:pPr>
            <w:r>
              <w:t xml:space="preserve">Bumblebees</w:t>
            </w:r>
          </w:p>
        </w:tc>
        <w:tc>
          <w:tcPr/>
          <w:p>
            <w:pPr>
              <w:pStyle w:val="Compact"/>
            </w:pPr>
            <w:r>
              <w:t xml:space="preserve">1 plant</w:t>
            </w:r>
          </w:p>
        </w:tc>
        <w:tc>
          <w:tcPr/>
          <w:p>
            <w:pPr>
              <w:pStyle w:val="Compact"/>
            </w:pPr>
            <w:r>
              <w:t xml:space="preserve">14.3%</w:t>
            </w:r>
          </w:p>
        </w:tc>
      </w:tr>
      <w:tr>
        <w:tc>
          <w:tcPr/>
          <w:p>
            <w:pPr>
              <w:pStyle w:val="Compact"/>
            </w:pPr>
            <w:r>
              <w:t xml:space="preserve">9</w:t>
            </w:r>
          </w:p>
        </w:tc>
        <w:tc>
          <w:tcPr/>
          <w:p>
            <w:pPr>
              <w:pStyle w:val="Compact"/>
            </w:pPr>
            <w:r>
              <w:t xml:space="preserve">Bombus lucorum</w:t>
            </w:r>
          </w:p>
        </w:tc>
        <w:tc>
          <w:tcPr/>
          <w:p>
            <w:pPr>
              <w:pStyle w:val="Compact"/>
            </w:pPr>
            <w:r>
              <w:t xml:space="preserve">Bumblebees</w:t>
            </w:r>
          </w:p>
        </w:tc>
        <w:tc>
          <w:tcPr/>
          <w:p>
            <w:pPr>
              <w:pStyle w:val="Compact"/>
            </w:pPr>
            <w:r>
              <w:t xml:space="preserve">1 plant</w:t>
            </w:r>
          </w:p>
        </w:tc>
        <w:tc>
          <w:tcPr/>
          <w:p>
            <w:pPr>
              <w:pStyle w:val="Compact"/>
            </w:pPr>
            <w:r>
              <w:t xml:space="preserve">14.3%</w:t>
            </w:r>
          </w:p>
        </w:tc>
      </w:tr>
      <w:tr>
        <w:tc>
          <w:tcPr/>
          <w:p>
            <w:pPr>
              <w:pStyle w:val="Compact"/>
            </w:pPr>
            <w:r>
              <w:t xml:space="preserve">10</w:t>
            </w:r>
          </w:p>
        </w:tc>
        <w:tc>
          <w:tcPr/>
          <w:p>
            <w:pPr>
              <w:pStyle w:val="Compact"/>
            </w:pPr>
            <w:r>
              <w:t xml:space="preserve">Bombus melanopygus</w:t>
            </w:r>
          </w:p>
        </w:tc>
        <w:tc>
          <w:tcPr/>
          <w:p>
            <w:pPr>
              <w:pStyle w:val="Compact"/>
            </w:pPr>
            <w:r>
              <w:t xml:space="preserve">Bumblebees</w:t>
            </w:r>
          </w:p>
        </w:tc>
        <w:tc>
          <w:tcPr/>
          <w:p>
            <w:pPr>
              <w:pStyle w:val="Compact"/>
            </w:pPr>
            <w:r>
              <w:t xml:space="preserve">1 plant</w:t>
            </w:r>
          </w:p>
        </w:tc>
        <w:tc>
          <w:tcPr/>
          <w:p>
            <w:pPr>
              <w:pStyle w:val="Compact"/>
            </w:pPr>
            <w:r>
              <w:t xml:space="preserve">14.3%</w:t>
            </w:r>
          </w:p>
        </w:tc>
      </w:tr>
    </w:tbl>
    <w:p>
      <w:pPr>
        <w:pStyle w:val="BodyText"/>
      </w:pPr>
      <w:r>
        <w:rPr>
          <w:b/>
          <w:bCs/>
        </w:rPr>
        <w:t xml:space="preserve">Network Hubs (most connected plants):</w:t>
      </w:r>
    </w:p>
    <w:tbl>
      <w:tblPr>
        <w:tblStyle w:val="Table"/>
        <w:tblW w:type="pct" w:w="5000"/>
        <w:tblLayout w:type="fixed"/>
        <w:tblLook w:firstRow="1" w:lastRow="0" w:firstColumn="0" w:lastColumn="0" w:noHBand="0" w:noVBand="0" w:val="0020"/>
      </w:tblPr>
      <w:tblGrid>
        <w:gridCol w:w="302"/>
        <w:gridCol w:w="302"/>
        <w:gridCol w:w="519"/>
        <w:gridCol w:w="519"/>
        <w:gridCol w:w="649"/>
        <w:gridCol w:w="562"/>
        <w:gridCol w:w="605"/>
        <w:gridCol w:w="519"/>
        <w:gridCol w:w="562"/>
        <w:gridCol w:w="562"/>
        <w:gridCol w:w="302"/>
        <w:gridCol w:w="692"/>
        <w:gridCol w:w="649"/>
        <w:gridCol w:w="302"/>
        <w:gridCol w:w="302"/>
        <w:gridCol w:w="259"/>
        <w:gridCol w:w="302"/>
      </w:tblGrid>
      <w:tr>
        <w:trPr>
          <w:tblHeader w:val="on"/>
        </w:trPr>
        <w:tc>
          <w:tcPr/>
          <w:p>
            <w:pPr>
              <w:pStyle w:val="Compact"/>
            </w:pPr>
            <w:r>
              <w:t xml:space="preserve">Plant</w:t>
            </w:r>
          </w:p>
        </w:tc>
        <w:tc>
          <w:tcPr/>
          <w:p>
            <w:pPr>
              <w:pStyle w:val="Compact"/>
            </w:pPr>
            <w:r>
              <w:t xml:space="preserve">Total</w:t>
            </w:r>
          </w:p>
        </w:tc>
        <w:tc>
          <w:tcPr/>
          <w:p>
            <w:pPr>
              <w:pStyle w:val="Compact"/>
            </w:pPr>
            <w:r>
              <w:t xml:space="preserve">Honey Bees</w:t>
            </w:r>
          </w:p>
        </w:tc>
        <w:tc>
          <w:tcPr/>
          <w:p>
            <w:pPr>
              <w:pStyle w:val="Compact"/>
            </w:pPr>
            <w:r>
              <w:t xml:space="preserve">Bumblebees</w:t>
            </w:r>
          </w:p>
        </w:tc>
        <w:tc>
          <w:tcPr/>
          <w:p>
            <w:pPr>
              <w:pStyle w:val="Compact"/>
            </w:pPr>
            <w:r>
              <w:t xml:space="preserve">Solitary Bees</w:t>
            </w:r>
          </w:p>
        </w:tc>
        <w:tc>
          <w:tcPr/>
          <w:p>
            <w:pPr>
              <w:pStyle w:val="Compact"/>
            </w:pPr>
            <w:r>
              <w:t xml:space="preserve">Hover Flies</w:t>
            </w:r>
          </w:p>
        </w:tc>
        <w:tc>
          <w:tcPr/>
          <w:p>
            <w:pPr>
              <w:pStyle w:val="Compact"/>
            </w:pPr>
            <w:r>
              <w:t xml:space="preserve">Muscid Flies</w:t>
            </w:r>
          </w:p>
        </w:tc>
        <w:tc>
          <w:tcPr/>
          <w:p>
            <w:pPr>
              <w:pStyle w:val="Compact"/>
            </w:pPr>
            <w:r>
              <w:t xml:space="preserve">Mosquitoes</w:t>
            </w:r>
          </w:p>
        </w:tc>
        <w:tc>
          <w:tcPr/>
          <w:p>
            <w:pPr>
              <w:pStyle w:val="Compact"/>
            </w:pPr>
            <w:r>
              <w:t xml:space="preserve">Other Flies</w:t>
            </w:r>
          </w:p>
        </w:tc>
        <w:tc>
          <w:tcPr/>
          <w:p>
            <w:pPr>
              <w:pStyle w:val="Compact"/>
            </w:pPr>
            <w:r>
              <w:t xml:space="preserve">Butterflies</w:t>
            </w:r>
          </w:p>
        </w:tc>
        <w:tc>
          <w:tcPr/>
          <w:p>
            <w:pPr>
              <w:pStyle w:val="Compact"/>
            </w:pPr>
            <w:r>
              <w:t xml:space="preserve">Moths</w:t>
            </w:r>
          </w:p>
        </w:tc>
        <w:tc>
          <w:tcPr/>
          <w:p>
            <w:pPr>
              <w:pStyle w:val="Compact"/>
            </w:pPr>
            <w:r>
              <w:t xml:space="preserve">Pollen Beetles</w:t>
            </w:r>
          </w:p>
        </w:tc>
        <w:tc>
          <w:tcPr/>
          <w:p>
            <w:pPr>
              <w:pStyle w:val="Compact"/>
            </w:pPr>
            <w:r>
              <w:t xml:space="preserve">Other Beetles</w:t>
            </w:r>
          </w:p>
        </w:tc>
        <w:tc>
          <w:tcPr/>
          <w:p>
            <w:pPr>
              <w:pStyle w:val="Compact"/>
            </w:pPr>
            <w:r>
              <w:t xml:space="preserve">Wasps</w:t>
            </w:r>
          </w:p>
        </w:tc>
        <w:tc>
          <w:tcPr/>
          <w:p>
            <w:pPr>
              <w:pStyle w:val="Compact"/>
            </w:pPr>
            <w:r>
              <w:t xml:space="preserve">Birds</w:t>
            </w:r>
          </w:p>
        </w:tc>
        <w:tc>
          <w:tcPr/>
          <w:p>
            <w:pPr>
              <w:pStyle w:val="Compact"/>
            </w:pPr>
            <w:r>
              <w:t xml:space="preserve">Bats</w:t>
            </w:r>
          </w:p>
        </w:tc>
        <w:tc>
          <w:tcPr/>
          <w:p>
            <w:pPr>
              <w:pStyle w:val="Compact"/>
            </w:pPr>
            <w:r>
              <w:t xml:space="preserve">Other</w:t>
            </w:r>
          </w:p>
        </w:tc>
      </w:tr>
      <w:tr>
        <w:tc>
          <w:tcPr/>
          <w:p>
            <w:pPr>
              <w:pStyle w:val="Compact"/>
            </w:pPr>
            <w:r>
              <w:t xml:space="preserve">Allium schoenoprasum (Chives)</w:t>
            </w:r>
          </w:p>
        </w:tc>
        <w:tc>
          <w:tcPr/>
          <w:p>
            <w:pPr>
              <w:pStyle w:val="Compact"/>
            </w:pPr>
            <w:r>
              <w:t xml:space="preserve">17</w:t>
            </w:r>
          </w:p>
        </w:tc>
        <w:tc>
          <w:tcPr/>
          <w:p>
            <w:pPr>
              <w:pStyle w:val="Compact"/>
            </w:pPr>
            <w:r>
              <w:t xml:space="preserve">1</w:t>
            </w:r>
          </w:p>
        </w:tc>
        <w:tc>
          <w:tcPr/>
          <w:p>
            <w:pPr>
              <w:pStyle w:val="Compact"/>
            </w:pPr>
            <w:r>
              <w:t xml:space="preserve">14</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Cheirodendron trigynum (Common Cheirodendron)</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Vitis vinifera (Common Grape)</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Alnus acuminata (Andean Alder)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Erythrina sandwicensis (Hawaiian Coral Tree)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Pfaffia gnaphalioides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Virola bicuhyba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p>
      <w:pPr>
        <w:pStyle w:val="BodyText"/>
      </w:pPr>
      <w:r>
        <w:t xml:space="preserve">⚠️</w:t>
      </w:r>
      <w:r>
        <w:t xml:space="preserve"> </w:t>
      </w:r>
      <w:r>
        <w:rPr>
          <w:b/>
          <w:bCs/>
        </w:rPr>
        <w:t xml:space="preserve">Data Completeness Note:</w:t>
      </w:r>
      <w:r>
        <w:t xml:space="preserve"> </w:t>
      </w:r>
      <w:r>
        <w:t xml:space="preserve">Plants marked with ⚠️ have no interaction data in this dimension. This likely indicates a data gap rather than true ecological absence.</w:t>
      </w:r>
    </w:p>
    <w:bookmarkEnd w:id="23"/>
    <w:bookmarkEnd w:id="24"/>
    <w:bookmarkEnd w:id="25"/>
    <w:bookmarkStart w:id="36" w:name="ecosystem-services"/>
    <w:p>
      <w:pPr>
        <w:pStyle w:val="Heading2"/>
      </w:pPr>
      <w:r>
        <w:t xml:space="preserve">Ecosystem Services</w:t>
      </w:r>
    </w:p>
    <w:p>
      <w:pPr>
        <w:pStyle w:val="FirstParagraph"/>
      </w:pPr>
      <w:r>
        <w:rPr>
          <w:i/>
          <w:iCs/>
        </w:rPr>
        <w:t xml:space="preserve">These ratings show how your guild contributes to important ecosystem functions based on plant traits and growth strategies.</w:t>
      </w:r>
    </w:p>
    <w:bookmarkStart w:id="26" w:name="net-primary-productivity-high"/>
    <w:p>
      <w:pPr>
        <w:pStyle w:val="Heading3"/>
      </w:pPr>
      <w:r>
        <w:t xml:space="preserve">✅ Net Primary Productivity [High]</w:t>
      </w:r>
    </w:p>
    <w:p>
      <w:pPr>
        <w:pStyle w:val="FirstParagraph"/>
      </w:pPr>
      <w:r>
        <w:t xml:space="preserve">How much your plants grow and produce biomass each year. High productivity means more leaves, stems, and roots—providing food for wildlife, improving air quality, and creating a lush, thriving garden that captures more carbon from the atmosphere.</w:t>
      </w:r>
    </w:p>
    <w:bookmarkEnd w:id="26"/>
    <w:bookmarkStart w:id="27" w:name="decomposition-rate-high"/>
    <w:p>
      <w:pPr>
        <w:pStyle w:val="Heading3"/>
      </w:pPr>
      <w:r>
        <w:t xml:space="preserve">✅ Decomposition Rate [High]</w:t>
      </w:r>
    </w:p>
    <w:p>
      <w:pPr>
        <w:pStyle w:val="FirstParagraph"/>
      </w:pPr>
      <w:r>
        <w:t xml:space="preserve">How quickly plant material breaks down and returns nutrients to the soil. Fast decomposition means nutrients cycle rapidly, keeping your soil fertile and reducing the need for external fertilizers. This supports healthy soil biology with active earthworms and microbes.</w:t>
      </w:r>
    </w:p>
    <w:bookmarkEnd w:id="27"/>
    <w:bookmarkStart w:id="28" w:name="nutrient-cycling-high"/>
    <w:p>
      <w:pPr>
        <w:pStyle w:val="Heading3"/>
      </w:pPr>
      <w:r>
        <w:t xml:space="preserve">✅ Nutrient Cycling [High]</w:t>
      </w:r>
    </w:p>
    <w:p>
      <w:pPr>
        <w:pStyle w:val="FirstParagraph"/>
      </w:pPr>
      <w:r>
        <w:t xml:space="preserve">How efficiently nutrients move through your garden’s ecosystem—from soil to plants to decomposers and back to soil. Good cycling creates a self-sustaining system where nutrients are constantly recycled, reducing fertilizer dependency and creating resilient, healthy plants.</w:t>
      </w:r>
    </w:p>
    <w:bookmarkEnd w:id="28"/>
    <w:bookmarkStart w:id="29" w:name="nutrient-retention-high"/>
    <w:p>
      <w:pPr>
        <w:pStyle w:val="Heading3"/>
      </w:pPr>
      <w:r>
        <w:t xml:space="preserve">✅ Nutrient Retention [High]</w:t>
      </w:r>
    </w:p>
    <w:p>
      <w:pPr>
        <w:pStyle w:val="FirstParagraph"/>
      </w:pPr>
      <w:r>
        <w:t xml:space="preserve">How well plants and soil hold onto valuable nutrients instead of losing them to leaching or runoff. High retention means nutrients stay available for plant uptake longer, improving water quality downstream and reducing the need for frequent fertilizer applications.</w:t>
      </w:r>
    </w:p>
    <w:bookmarkEnd w:id="29"/>
    <w:bookmarkStart w:id="30" w:name="nutrient-loss-prevention-low"/>
    <w:p>
      <w:pPr>
        <w:pStyle w:val="Heading3"/>
      </w:pPr>
      <w:r>
        <w:t xml:space="preserve">🌟 Nutrient Loss Prevention [Low]</w:t>
      </w:r>
    </w:p>
    <w:p>
      <w:pPr>
        <w:pStyle w:val="FirstParagraph"/>
      </w:pPr>
      <w:r>
        <w:t xml:space="preserve">How much your guild prevents nutrients from being washed away by rain or irrigation. Lower nutrient loss protects water quality in nearby streams and ponds, saves money on fertilizers, and keeps nutrients available for your plants rather than polluting waterways.</w:t>
      </w:r>
    </w:p>
    <w:bookmarkEnd w:id="30"/>
    <w:bookmarkStart w:id="31" w:name="carbon-storage-living-biomass-high"/>
    <w:p>
      <w:pPr>
        <w:pStyle w:val="Heading3"/>
      </w:pPr>
      <w:r>
        <w:t xml:space="preserve">✅ Carbon Storage (Living Biomass) [High]</w:t>
      </w:r>
    </w:p>
    <w:p>
      <w:pPr>
        <w:pStyle w:val="FirstParagraph"/>
      </w:pPr>
      <w:r>
        <w:t xml:space="preserve">How much carbon your plants store in their stems, leaves, and roots while they’re alive. Plants with large, dense growth capture more CO₂ from the air, helping combat climate change while creating habitat and shade. This is the</w:t>
      </w:r>
      <w:r>
        <w:t xml:space="preserve"> </w:t>
      </w:r>
      <w:r>
        <w:t xml:space="preserve">‘green carbon’</w:t>
      </w:r>
      <w:r>
        <w:t xml:space="preserve"> </w:t>
      </w:r>
      <w:r>
        <w:t xml:space="preserve">you can see and touch.</w:t>
      </w:r>
    </w:p>
    <w:bookmarkEnd w:id="31"/>
    <w:bookmarkStart w:id="32" w:name="carbon-storage-long-term-soil-high"/>
    <w:p>
      <w:pPr>
        <w:pStyle w:val="Heading3"/>
      </w:pPr>
      <w:r>
        <w:t xml:space="preserve">✅ Carbon Storage (Long-term Soil) [High]</w:t>
      </w:r>
    </w:p>
    <w:p>
      <w:pPr>
        <w:pStyle w:val="FirstParagraph"/>
      </w:pPr>
      <w:r>
        <w:t xml:space="preserve">How much stable, long-lasting carbon your plants contribute to the soil through tough, slow-decomposing materials like woody tissues and waxy leaves. This</w:t>
      </w:r>
      <w:r>
        <w:t xml:space="preserve"> </w:t>
      </w:r>
      <w:r>
        <w:t xml:space="preserve">‘recalcitrant’</w:t>
      </w:r>
      <w:r>
        <w:t xml:space="preserve"> </w:t>
      </w:r>
      <w:r>
        <w:t xml:space="preserve">carbon stays in soil for decades or centuries, providing lasting climate benefits and improving soil structure.</w:t>
      </w:r>
    </w:p>
    <w:bookmarkEnd w:id="32"/>
    <w:bookmarkStart w:id="33" w:name="total-carbon-storage-very-high"/>
    <w:p>
      <w:pPr>
        <w:pStyle w:val="Heading3"/>
      </w:pPr>
      <w:r>
        <w:t xml:space="preserve">🌟 Total Carbon Storage [Very High]</w:t>
      </w:r>
    </w:p>
    <w:p>
      <w:pPr>
        <w:pStyle w:val="FirstParagraph"/>
      </w:pPr>
      <w:r>
        <w:t xml:space="preserve">The combined climate benefit from both living plant biomass and long-term soil carbon. High total storage means your guild acts as a powerful carbon sink, removing CO₂ from the atmosphere both quickly (through growth) and permanently (through soil enrichment).</w:t>
      </w:r>
    </w:p>
    <w:bookmarkEnd w:id="33"/>
    <w:bookmarkStart w:id="34" w:name="soil-erosion-protection-high"/>
    <w:p>
      <w:pPr>
        <w:pStyle w:val="Heading3"/>
      </w:pPr>
      <w:r>
        <w:t xml:space="preserve">✅ Soil Erosion Protection [High]</w:t>
      </w:r>
    </w:p>
    <w:p>
      <w:pPr>
        <w:pStyle w:val="FirstParagraph"/>
      </w:pPr>
      <w:r>
        <w:t xml:space="preserve">How well your plants anchor the soil and prevent it from washing or blowing away. Good protection comes from extensive root systems and ground cover that hold soil in place during storms, preserving your topsoil—the most fertile layer—and preventing sediment pollution in waterways.</w:t>
      </w:r>
    </w:p>
    <w:bookmarkEnd w:id="34"/>
    <w:bookmarkStart w:id="35" w:name="ℹ-nitrogen-fixation-unable-to-classify"/>
    <w:p>
      <w:pPr>
        <w:pStyle w:val="Heading3"/>
      </w:pPr>
      <w:r>
        <w:t xml:space="preserve">ℹ️ Nitrogen Fixation [Unable to Classify]</w:t>
      </w:r>
    </w:p>
    <w:p>
      <w:pPr>
        <w:pStyle w:val="FirstParagraph"/>
      </w:pPr>
      <w:r>
        <w:t xml:space="preserve">Whether your guild includes legumes or other plants that partner with bacteria to capture nitrogen from the air and convert it into plant-usable forms. This natural fertilizer factory can provide 25-75+ pounds of nitrogen per acre per year, reducing or eliminating the need for synthetic fertilizers.</w:t>
      </w:r>
    </w:p>
    <w:bookmarkEnd w:id="35"/>
    <w:bookmarkEnd w:id="36"/>
    <w:bookmarkStart w:id="37" w:name="warnings"/>
    <w:p>
      <w:pPr>
        <w:pStyle w:val="Heading2"/>
      </w:pPr>
      <w:r>
        <w:t xml:space="preserve">Warnings</w:t>
      </w:r>
    </w:p>
    <w:p>
      <w:pPr>
        <w:pStyle w:val="FirstParagraph"/>
      </w:pPr>
      <w:r>
        <w:t xml:space="preserve">⚠️</w:t>
      </w:r>
      <w:r>
        <w:t xml:space="preserve"> </w:t>
      </w:r>
      <w:r>
        <w:rPr>
          <w:b/>
          <w:bCs/>
        </w:rPr>
        <w:t xml:space="preserve">Soil pH incompatibility detected</w:t>
      </w:r>
    </w:p>
    <w:p>
      <w:pPr>
        <w:pStyle w:val="BodyText"/>
      </w:pPr>
      <w:r>
        <w:t xml:space="preserve">EIVE R range: 5.2-7.5 (difference: 2.3 units)</w:t>
      </w:r>
    </w:p>
    <w:p>
      <w:pPr>
        <w:pStyle w:val="BodyText"/>
      </w:pPr>
      <w:r>
        <w:t xml:space="preserve">Plant pH preferences:</w:t>
      </w:r>
      <w:r>
        <w:t xml:space="preserve"> </w:t>
      </w:r>
      <w:r>
        <w:t xml:space="preserve">Allium schoenoprasum (Chives): Alkaline (pH 7-8)</w:t>
      </w:r>
      <w:r>
        <w:t xml:space="preserve"> </w:t>
      </w:r>
      <w:r>
        <w:t xml:space="preserve">Alnus acuminata (Andean Alder): Neutral (pH 6-7)</w:t>
      </w:r>
      <w:r>
        <w:t xml:space="preserve"> </w:t>
      </w:r>
      <w:r>
        <w:t xml:space="preserve">Cheirodendron trigynum (Common Cheirodendron): Neutral (pH 6-7)</w:t>
      </w:r>
      <w:r>
        <w:t xml:space="preserve"> </w:t>
      </w:r>
      <w:r>
        <w:t xml:space="preserve">Erythrina sandwicensis (Hawaiian Coral Tree): Neutral (pH 6-7)</w:t>
      </w:r>
      <w:r>
        <w:t xml:space="preserve"> </w:t>
      </w:r>
      <w:r>
        <w:t xml:space="preserve">Pfaffia gnaphalioides: Neutral (pH 6-7)</w:t>
      </w:r>
      <w:r>
        <w:t xml:space="preserve"> </w:t>
      </w:r>
      <w:r>
        <w:t xml:space="preserve">Virola bicuhyba: Slightly Acidic (pH 5-6)</w:t>
      </w:r>
      <w:r>
        <w:t xml:space="preserve"> </w:t>
      </w:r>
      <w:r>
        <w:t xml:space="preserve">Vitis vinifera (Common Grape): Alkaline (pH 7-8)</w:t>
      </w:r>
      <w:r>
        <w:br/>
      </w:r>
      <w:r>
        <w:rPr>
          <w:i/>
          <w:iCs/>
        </w:rPr>
        <w:t xml:space="preserve">Advice:</w:t>
      </w:r>
      <w:r>
        <w:t xml:space="preserve"> </w:t>
      </w:r>
      <w:r>
        <w:t xml:space="preserve">Moderate pH incompatibility. Use soil amendments to adjust pH for different zones.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2025-11-26T13:11:10Z</dcterms:created>
  <dcterms:modified xsi:type="dcterms:W3CDTF">2025-11-26T13:11:10Z</dcterms:modified>
</cp:coreProperties>
</file>

<file path=docProps/custom.xml><?xml version="1.0" encoding="utf-8"?>
<Properties xmlns="http://schemas.openxmlformats.org/officeDocument/2006/custom-properties" xmlns:vt="http://schemas.openxmlformats.org/officeDocument/2006/docPropsVTypes"/>
</file>