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unsuitable"/>
    <w:p>
      <w:pPr>
        <w:pStyle w:val="Heading1"/>
      </w:pPr>
      <w:r>
        <w:t xml:space="preserve">☆☆☆☆☆ - Unsuitable</w:t>
      </w:r>
    </w:p>
    <w:p>
      <w:pPr>
        <w:pStyle w:val="FirstParagraph"/>
      </w:pPr>
      <w:r>
        <w:rPr>
          <w:b/>
          <w:bCs/>
        </w:rPr>
        <w:t xml:space="preserve">Overall Score:</w:t>
      </w:r>
      <w:r>
        <w:t xml:space="preserve"> </w:t>
      </w:r>
      <w:r>
        <w:t xml:space="preserve">44.1/100</w:t>
      </w:r>
    </w:p>
    <w:bookmarkStart w:id="9" w:name="metrics-breakdown"/>
    <w:p>
      <w:pPr>
        <w:pStyle w:val="Heading2"/>
      </w:pPr>
      <w:r>
        <w:t xml:space="preserve">Metrics Breakdown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Score</w:t>
            </w:r>
          </w:p>
        </w:tc>
        <w:tc>
          <w:tcPr/>
          <w:p>
            <w:pPr>
              <w:pStyle w:val="Compact"/>
            </w:pPr>
            <w:r>
              <w:t xml:space="preserve">Interpretation</w:t>
            </w:r>
          </w:p>
        </w:tc>
      </w:tr>
      <w:tr>
        <w:tc>
          <w:tcPr/>
          <w:p>
            <w:pPr>
              <w:pStyle w:val="Compact"/>
            </w:pPr>
            <w:r>
              <w:t xml:space="preserve">M1 - Pest &amp; Pathogen Independence</w:t>
            </w:r>
          </w:p>
        </w:tc>
        <w:tc>
          <w:tcPr/>
          <w:p>
            <w:pPr>
              <w:pStyle w:val="Compact"/>
            </w:pPr>
            <w:r>
              <w:t xml:space="preserve">32.6</w:t>
            </w:r>
          </w:p>
        </w:tc>
        <w:tc>
          <w:tcPr/>
          <w:p>
            <w:pPr>
              <w:pStyle w:val="Compact"/>
            </w:pPr>
            <w:r>
              <w:t xml:space="preserve">Poor</w:t>
            </w:r>
          </w:p>
        </w:tc>
      </w:tr>
      <w:tr>
        <w:tc>
          <w:tcPr/>
          <w:p>
            <w:pPr>
              <w:pStyle w:val="Compact"/>
            </w:pPr>
            <w:r>
              <w:t xml:space="preserve">M2 - Growth Compatibility</w:t>
            </w:r>
          </w:p>
        </w:tc>
        <w:tc>
          <w:tcPr/>
          <w:p>
            <w:pPr>
              <w:pStyle w:val="Compact"/>
            </w:pPr>
            <w:r>
              <w:t xml:space="preserve">100.0</w:t>
            </w:r>
          </w:p>
        </w:tc>
        <w:tc>
          <w:tcPr/>
          <w:p>
            <w:pPr>
              <w:pStyle w:val="Compact"/>
            </w:pPr>
            <w:r>
              <w:t xml:space="preserve">Excellent</w:t>
            </w:r>
          </w:p>
        </w:tc>
      </w:tr>
      <w:tr>
        <w:tc>
          <w:tcPr/>
          <w:p>
            <w:pPr>
              <w:pStyle w:val="Compact"/>
            </w:pPr>
            <w:r>
              <w:t xml:space="preserve">M3 - Insect Pest Control</w:t>
            </w:r>
          </w:p>
        </w:tc>
        <w:tc>
          <w:tcPr/>
          <w:p>
            <w:pPr>
              <w:pStyle w:val="Compact"/>
            </w:pPr>
            <w:r>
              <w:t xml:space="preserve">0.0</w:t>
            </w:r>
          </w:p>
        </w:tc>
        <w:tc>
          <w:tcPr/>
          <w:p>
            <w:pPr>
              <w:pStyle w:val="Compact"/>
            </w:pPr>
            <w:r>
              <w:t xml:space="preserve">Poor</w:t>
            </w:r>
          </w:p>
        </w:tc>
      </w:tr>
      <w:tr>
        <w:tc>
          <w:tcPr/>
          <w:p>
            <w:pPr>
              <w:pStyle w:val="Compact"/>
            </w:pPr>
            <w:r>
              <w:t xml:space="preserve">M4 - Disease Suppression</w:t>
            </w:r>
          </w:p>
        </w:tc>
        <w:tc>
          <w:tcPr/>
          <w:p>
            <w:pPr>
              <w:pStyle w:val="Compact"/>
            </w:pPr>
            <w:r>
              <w:t xml:space="preserve">60.0</w:t>
            </w:r>
          </w:p>
        </w:tc>
        <w:tc>
          <w:tcPr/>
          <w:p>
            <w:pPr>
              <w:pStyle w:val="Compact"/>
            </w:pPr>
            <w:r>
              <w:t xml:space="preserve">Good</w:t>
            </w:r>
          </w:p>
        </w:tc>
      </w:tr>
      <w:tr>
        <w:tc>
          <w:tcPr/>
          <w:p>
            <w:pPr>
              <w:pStyle w:val="Compact"/>
            </w:pPr>
            <w:r>
              <w:t xml:space="preserve">M5 - Beneficial Fungi</w:t>
            </w:r>
          </w:p>
        </w:tc>
        <w:tc>
          <w:tcPr/>
          <w:p>
            <w:pPr>
              <w:pStyle w:val="Compact"/>
            </w:pPr>
            <w:r>
              <w:t xml:space="preserve">70.0</w:t>
            </w:r>
          </w:p>
        </w:tc>
        <w:tc>
          <w:tcPr/>
          <w:p>
            <w:pPr>
              <w:pStyle w:val="Compact"/>
            </w:pPr>
            <w:r>
              <w:t xml:space="preserve">Good</w:t>
            </w:r>
          </w:p>
        </w:tc>
      </w:tr>
      <w:tr>
        <w:tc>
          <w:tcPr/>
          <w:p>
            <w:pPr>
              <w:pStyle w:val="Compact"/>
            </w:pPr>
            <w:r>
              <w:t xml:space="preserve">M6 - Structural Diversity</w:t>
            </w:r>
          </w:p>
        </w:tc>
        <w:tc>
          <w:tcPr/>
          <w:p>
            <w:pPr>
              <w:pStyle w:val="Compact"/>
            </w:pPr>
            <w:r>
              <w:t xml:space="preserve">46.1</w:t>
            </w:r>
          </w:p>
        </w:tc>
        <w:tc>
          <w:tcPr/>
          <w:p>
            <w:pPr>
              <w:pStyle w:val="Compact"/>
            </w:pPr>
            <w:r>
              <w:t xml:space="preserve">Fair</w:t>
            </w:r>
          </w:p>
        </w:tc>
      </w:tr>
      <w:tr>
        <w:tc>
          <w:tcPr/>
          <w:p>
            <w:pPr>
              <w:pStyle w:val="Compact"/>
            </w:pPr>
            <w:r>
              <w:t xml:space="preserve">M7 - Pollinator Support</w:t>
            </w:r>
          </w:p>
        </w:tc>
        <w:tc>
          <w:tcPr/>
          <w:p>
            <w:pPr>
              <w:pStyle w:val="Compact"/>
            </w:pPr>
            <w:r>
              <w:t xml:space="preserve">0.0</w:t>
            </w:r>
          </w:p>
        </w:tc>
        <w:tc>
          <w:tcPr/>
          <w:p>
            <w:pPr>
              <w:pStyle w:val="Compact"/>
            </w:pPr>
            <w:r>
              <w:t xml:space="preserve">Poor</w:t>
            </w:r>
          </w:p>
        </w:tc>
      </w:tr>
    </w:tbl>
    <w:p>
      <w:pPr>
        <w:pStyle w:val="BodyText"/>
      </w:pPr>
      <w:r>
        <w:rPr>
          <w:b/>
          <w:bCs/>
        </w:rPr>
        <w:t xml:space="preserve">How to Read These Scores:</w:t>
      </w:r>
      <w:r>
        <w:t xml:space="preserve"> </w:t>
      </w:r>
      <w:r>
        <w:t xml:space="preserve">Metrics M1-M7 are percentiles (0-100) comparing your guild to 120,000 randomly generated plant combinations in your climate zone—a score of 80 means better than 80% of random guilds. Scores reflect documented ecological interactions and plant information in scientific databases. Higher scores indicate well-documented beneficial relationships; lower scores may indicate either incomplete research or true absence of these interactions.</w:t>
      </w:r>
    </w:p>
    <w:bookmarkEnd w:id="9"/>
    <w:bookmarkStart w:id="10" w:name="climate-compatibility"/>
    <w:p>
      <w:pPr>
        <w:pStyle w:val="Heading2"/>
      </w:pPr>
      <w:r>
        <w:t xml:space="preserve">Climate Compatibility</w:t>
      </w:r>
    </w:p>
    <w:p>
      <w:pPr>
        <w:pStyle w:val="FirstParagraph"/>
      </w:pPr>
      <w:r>
        <w:t xml:space="preserve">✅ All plants compatible with Tier 3 (Humid Temperate)</w:t>
      </w:r>
    </w:p>
    <w:bookmarkEnd w:id="10"/>
    <w:bookmarkStart w:id="23" w:name="metrics-explanation"/>
    <w:p>
      <w:pPr>
        <w:pStyle w:val="Heading2"/>
      </w:pPr>
      <w:r>
        <w:t xml:space="preserve">Metrics Explanation</w:t>
      </w:r>
    </w:p>
    <w:bookmarkStart w:id="12" w:name="X44929cfa4703c2c6b48bb006d4f9ae00266c54e"/>
    <w:p>
      <w:pPr>
        <w:pStyle w:val="Heading3"/>
      </w:pPr>
      <w:r>
        <w:t xml:space="preserve">Pest and Pathogen Independence (Measured by Phylogenetic Diversity) [M1 - 32.6/100]</w:t>
      </w:r>
    </w:p>
    <w:p>
      <w:pPr>
        <w:pStyle w:val="FirstParagraph"/>
      </w:pPr>
      <w:r>
        <w:t xml:space="preserve">33th percentile (Faith’s PD: 785.39) - Plants have some close relatives (fair phylogenetic diversity)</w:t>
      </w:r>
      <w:r>
        <w:br/>
      </w:r>
      <w:r>
        <w:t xml:space="preserve">Several plants share recent evolutionary history. Related plants often share susceptibility to the same pests and pathogens, though the guild is not critically clustered.</w:t>
      </w:r>
    </w:p>
    <w:bookmarkStart w:id="11" w:name="taxonomic-diversity-profile"/>
    <w:p>
      <w:pPr>
        <w:pStyle w:val="Heading4"/>
      </w:pPr>
      <w:r>
        <w:t xml:space="preserve">Taxonomic Diversity Profile</w:t>
      </w:r>
    </w:p>
    <w:p>
      <w:pPr>
        <w:pStyle w:val="FirstParagraph"/>
      </w:pPr>
      <w:r>
        <w:rPr>
          <w:i/>
          <w:iCs/>
        </w:rPr>
        <w:t xml:space="preserve">Taxonomic diversity (variety of families and genera) generally correlates with phylogenetic diversity, as plants from different families typically share more distant evolutionary ancestry. However, the relationship is not perfect—phylogenetic diversity (measured using Faith’s PD) quantifies total evolutionary history by summing branch lengths in the evolutionary tree, where branch lengths represent millions of years of independent evolution. This is what our percentile calculations are based on.</w:t>
      </w:r>
    </w:p>
    <w:p>
      <w:pPr>
        <w:pStyle w:val="BodyText"/>
      </w:pPr>
      <w:r>
        <w:rPr>
          <w:b/>
          <w:bCs/>
        </w:rPr>
        <w:t xml:space="preserve">Guild contains: 7 plants from 7 families across 7 genera</w:t>
      </w:r>
    </w:p>
    <w:tbl>
      <w:tblPr>
        <w:tblStyle w:val="Table"/>
        <w:tblW w:type="pct" w:w="5000"/>
        <w:tblLayout w:type="fixed"/>
        <w:tblLook w:firstRow="1" w:lastRow="0" w:firstColumn="0" w:lastColumn="0" w:noHBand="0" w:noVBand="0" w:val="0020"/>
      </w:tblPr>
      <w:tblGrid>
        <w:gridCol w:w="1584"/>
        <w:gridCol w:w="1386"/>
        <w:gridCol w:w="4950"/>
      </w:tblGrid>
      <w:tr>
        <w:trPr>
          <w:tblHeader w:val="on"/>
        </w:trPr>
        <w:tc>
          <w:tcPr/>
          <w:p>
            <w:pPr>
              <w:pStyle w:val="Compact"/>
            </w:pPr>
            <w:r>
              <w:t xml:space="preserve">Family</w:t>
            </w:r>
          </w:p>
        </w:tc>
        <w:tc>
          <w:tcPr/>
          <w:p>
            <w:pPr>
              <w:pStyle w:val="Compact"/>
            </w:pPr>
            <w:r>
              <w:t xml:space="preserve">Genus</w:t>
            </w:r>
          </w:p>
        </w:tc>
        <w:tc>
          <w:tcPr/>
          <w:p>
            <w:pPr>
              <w:pStyle w:val="Compact"/>
            </w:pPr>
            <w:r>
              <w:t xml:space="preserve">Plant (Vernacular Name)</w:t>
            </w:r>
          </w:p>
        </w:tc>
      </w:tr>
      <w:tr>
        <w:tc>
          <w:tcPr/>
          <w:p>
            <w:pPr>
              <w:pStyle w:val="Compact"/>
            </w:pPr>
            <w:r>
              <w:t xml:space="preserve">Apocynaceae</w:t>
            </w:r>
          </w:p>
        </w:tc>
        <w:tc>
          <w:tcPr/>
          <w:p>
            <w:pPr>
              <w:pStyle w:val="Compact"/>
            </w:pPr>
            <w:r>
              <w:t xml:space="preserve">Alyxia</w:t>
            </w:r>
          </w:p>
        </w:tc>
        <w:tc>
          <w:tcPr/>
          <w:p>
            <w:pPr>
              <w:pStyle w:val="Compact"/>
            </w:pPr>
            <w:r>
              <w:t xml:space="preserve">Alyxia ruscifolia (Chainfruit, Chain Fruit)</w:t>
            </w:r>
          </w:p>
        </w:tc>
      </w:tr>
      <w:tr>
        <w:tc>
          <w:tcPr/>
          <w:p>
            <w:pPr>
              <w:pStyle w:val="Compact"/>
            </w:pPr>
            <w:r>
              <w:t xml:space="preserve">Cyperaceae</w:t>
            </w:r>
          </w:p>
        </w:tc>
        <w:tc>
          <w:tcPr/>
          <w:p>
            <w:pPr>
              <w:pStyle w:val="Compact"/>
            </w:pPr>
            <w:r>
              <w:t xml:space="preserve">Carex</w:t>
            </w:r>
          </w:p>
        </w:tc>
        <w:tc>
          <w:tcPr/>
          <w:p>
            <w:pPr>
              <w:pStyle w:val="Compact"/>
            </w:pPr>
            <w:r>
              <w:t xml:space="preserve">Carex mucronata</w:t>
            </w:r>
          </w:p>
        </w:tc>
      </w:tr>
      <w:tr>
        <w:tc>
          <w:tcPr/>
          <w:p>
            <w:pPr>
              <w:pStyle w:val="Compact"/>
            </w:pPr>
            <w:r>
              <w:t xml:space="preserve">Dilleniaceae</w:t>
            </w:r>
          </w:p>
        </w:tc>
        <w:tc>
          <w:tcPr/>
          <w:p>
            <w:pPr>
              <w:pStyle w:val="Compact"/>
            </w:pPr>
            <w:r>
              <w:t xml:space="preserve">Hibbertia</w:t>
            </w:r>
          </w:p>
        </w:tc>
        <w:tc>
          <w:tcPr/>
          <w:p>
            <w:pPr>
              <w:pStyle w:val="Compact"/>
            </w:pPr>
            <w:r>
              <w:t xml:space="preserve">Hibbertia diffusa (Wedge Guinea Flower)</w:t>
            </w:r>
          </w:p>
        </w:tc>
      </w:tr>
      <w:tr>
        <w:tc>
          <w:tcPr/>
          <w:p>
            <w:pPr>
              <w:pStyle w:val="Compact"/>
            </w:pPr>
            <w:r>
              <w:t xml:space="preserve">Juncaceae</w:t>
            </w:r>
          </w:p>
        </w:tc>
        <w:tc>
          <w:tcPr/>
          <w:p>
            <w:pPr>
              <w:pStyle w:val="Compact"/>
            </w:pPr>
            <w:r>
              <w:t xml:space="preserve">Juncus</w:t>
            </w:r>
          </w:p>
        </w:tc>
        <w:tc>
          <w:tcPr/>
          <w:p>
            <w:pPr>
              <w:pStyle w:val="Compact"/>
            </w:pPr>
            <w:r>
              <w:t xml:space="preserve">Juncus usitatus (Common Rush, Australian Rush)</w:t>
            </w:r>
          </w:p>
        </w:tc>
      </w:tr>
      <w:tr>
        <w:tc>
          <w:tcPr/>
          <w:p>
            <w:pPr>
              <w:pStyle w:val="Compact"/>
            </w:pPr>
            <w:r>
              <w:t xml:space="preserve">Leguminosae</w:t>
            </w:r>
          </w:p>
        </w:tc>
        <w:tc>
          <w:tcPr/>
          <w:p>
            <w:pPr>
              <w:pStyle w:val="Compact"/>
            </w:pPr>
            <w:r>
              <w:t xml:space="preserve">Senna</w:t>
            </w:r>
          </w:p>
        </w:tc>
        <w:tc>
          <w:tcPr/>
          <w:p>
            <w:pPr>
              <w:pStyle w:val="Compact"/>
            </w:pPr>
            <w:r>
              <w:t xml:space="preserve">Senna artemisioides (Silver Cassia, Silver Senna)</w:t>
            </w:r>
          </w:p>
        </w:tc>
      </w:tr>
      <w:tr>
        <w:tc>
          <w:tcPr/>
          <w:p>
            <w:pPr>
              <w:pStyle w:val="Compact"/>
            </w:pPr>
            <w:r>
              <w:t xml:space="preserve">Myrtaceae</w:t>
            </w:r>
          </w:p>
        </w:tc>
        <w:tc>
          <w:tcPr/>
          <w:p>
            <w:pPr>
              <w:pStyle w:val="Compact"/>
            </w:pPr>
            <w:r>
              <w:t xml:space="preserve">Eucalyptus</w:t>
            </w:r>
          </w:p>
        </w:tc>
        <w:tc>
          <w:tcPr/>
          <w:p>
            <w:pPr>
              <w:pStyle w:val="Compact"/>
            </w:pPr>
            <w:r>
              <w:t xml:space="preserve">Eucalyptus melanophloia (Silver-leaved Ironbark)</w:t>
            </w:r>
          </w:p>
        </w:tc>
      </w:tr>
      <w:tr>
        <w:tc>
          <w:tcPr/>
          <w:p>
            <w:pPr>
              <w:pStyle w:val="Compact"/>
            </w:pPr>
            <w:r>
              <w:t xml:space="preserve">Poaceae</w:t>
            </w:r>
          </w:p>
        </w:tc>
        <w:tc>
          <w:tcPr/>
          <w:p>
            <w:pPr>
              <w:pStyle w:val="Compact"/>
            </w:pPr>
            <w:r>
              <w:t xml:space="preserve">Sporobolus</w:t>
            </w:r>
          </w:p>
        </w:tc>
        <w:tc>
          <w:tcPr/>
          <w:p>
            <w:pPr>
              <w:pStyle w:val="Compact"/>
            </w:pPr>
            <w:r>
              <w:t xml:space="preserve">Sporobolus compositus (Composite Dropseed, Tall Dropseed)</w:t>
            </w:r>
          </w:p>
        </w:tc>
      </w:tr>
    </w:tbl>
    <w:p>
      <w:pPr>
        <w:pStyle w:val="BodyText"/>
      </w:pPr>
      <w:r>
        <w:rPr>
          <w:b/>
          <w:bCs/>
        </w:rPr>
        <w:t xml:space="preserve">Family clustering:</w:t>
      </w:r>
      <w:r>
        <w:t xml:space="preserve"> </w:t>
      </w:r>
      <w:r>
        <w:t xml:space="preserve">Apocynaceae (1 plant), Cyperaceae (1 plant), Dilleniaceae (1 plant), Juncaceae (1 plant), Leguminosae (1 plant), Myrtaceae (1 plant), Poaceae (1 plant)</w:t>
      </w:r>
    </w:p>
    <w:bookmarkEnd w:id="11"/>
    <w:bookmarkEnd w:id="12"/>
    <w:bookmarkStart w:id="14" w:name="X7fc37d095dbe42b22a13f745e304e4efa9b2ed9"/>
    <w:p>
      <w:pPr>
        <w:pStyle w:val="Heading3"/>
      </w:pPr>
      <w:r>
        <w:t xml:space="preserve">Growth Strategy Compatibility [M2 - 100.0/100]</w:t>
      </w:r>
    </w:p>
    <w:p>
      <w:pPr>
        <w:pStyle w:val="FirstParagraph"/>
      </w:pPr>
      <w:r>
        <w:t xml:space="preserve">100th percentile compatibility</w:t>
      </w:r>
      <w:r>
        <w:br/>
      </w:r>
      <w:r>
        <w:t xml:space="preserve">CSR strategies measure how plants allocate resources to Competitive growth, Stress tolerance, or Ruderal (disturbance) strategies. Guild composition: 7 Stress-tolerant-dominant (high CSR values: &gt;75th percentile). No conflicts detected - plants have compatible resource allocation strategies.</w:t>
      </w:r>
    </w:p>
    <w:bookmarkStart w:id="13" w:name="csr-strategy-profile"/>
    <w:p>
      <w:pPr>
        <w:pStyle w:val="Heading4"/>
      </w:pPr>
      <w:r>
        <w:t xml:space="preserve">CSR Strategy Profile</w:t>
      </w:r>
    </w:p>
    <w:p>
      <w:pPr>
        <w:pStyle w:val="FirstParagraph"/>
      </w:pPr>
      <w:r>
        <w:rPr>
          <w:i/>
          <w:iCs/>
        </w:rPr>
        <w:t xml:space="preserve">Per-plant CSR breakdown and compatibility analysis</w:t>
      </w:r>
    </w:p>
    <w:p>
      <w:pPr>
        <w:pStyle w:val="BodyText"/>
      </w:pPr>
      <w:r>
        <w:rPr>
          <w:b/>
          <w:bCs/>
        </w:rPr>
        <w:t xml:space="preserve">Plant CSR Strategies:</w:t>
      </w:r>
    </w:p>
    <w:tbl>
      <w:tblPr>
        <w:tblStyle w:val="Table"/>
        <w:tblW w:type="pct" w:w="5000"/>
        <w:tblLayout w:type="fixed"/>
        <w:tblLook w:firstRow="1" w:lastRow="0" w:firstColumn="0" w:lastColumn="0" w:noHBand="0" w:noVBand="0" w:val="0020"/>
      </w:tblPr>
      <w:tblGrid>
        <w:gridCol w:w="1108"/>
        <w:gridCol w:w="1267"/>
        <w:gridCol w:w="1267"/>
        <w:gridCol w:w="1267"/>
        <w:gridCol w:w="3009"/>
      </w:tblGrid>
      <w:tr>
        <w:trPr>
          <w:tblHeader w:val="on"/>
        </w:trPr>
        <w:tc>
          <w:tcPr/>
          <w:p>
            <w:pPr>
              <w:pStyle w:val="Compact"/>
            </w:pPr>
            <w:r>
              <w:t xml:space="preserve">Plant</w:t>
            </w:r>
          </w:p>
        </w:tc>
        <w:tc>
          <w:tcPr/>
          <w:p>
            <w:pPr>
              <w:pStyle w:val="Compact"/>
            </w:pPr>
            <w:r>
              <w:t xml:space="preserve">C %ile</w:t>
            </w:r>
          </w:p>
        </w:tc>
        <w:tc>
          <w:tcPr/>
          <w:p>
            <w:pPr>
              <w:pStyle w:val="Compact"/>
            </w:pPr>
            <w:r>
              <w:t xml:space="preserve">S %ile</w:t>
            </w:r>
          </w:p>
        </w:tc>
        <w:tc>
          <w:tcPr/>
          <w:p>
            <w:pPr>
              <w:pStyle w:val="Compact"/>
            </w:pPr>
            <w:r>
              <w:t xml:space="preserve">R %ile</w:t>
            </w:r>
          </w:p>
        </w:tc>
        <w:tc>
          <w:tcPr/>
          <w:p>
            <w:pPr>
              <w:pStyle w:val="Compact"/>
            </w:pPr>
            <w:r>
              <w:t xml:space="preserve">Dominant Strategy</w:t>
            </w:r>
          </w:p>
        </w:tc>
      </w:tr>
      <w:tr>
        <w:tc>
          <w:tcPr/>
          <w:p>
            <w:pPr>
              <w:pStyle w:val="Compact"/>
            </w:pPr>
            <w:r>
              <w:t xml:space="preserve">Alyxia ruscifolia (Chain Fruit)</w:t>
            </w:r>
          </w:p>
        </w:tc>
        <w:tc>
          <w:tcPr/>
          <w:p>
            <w:pPr>
              <w:pStyle w:val="Compact"/>
            </w:pPr>
            <w:r>
              <w:t xml:space="preserve">16</w:t>
            </w:r>
          </w:p>
        </w:tc>
        <w:tc>
          <w:tcPr/>
          <w:p>
            <w:pPr>
              <w:pStyle w:val="Compact"/>
            </w:pPr>
            <w:r>
              <w:t xml:space="preserve">93 ⚠</w:t>
            </w:r>
          </w:p>
        </w:tc>
        <w:tc>
          <w:tcPr/>
          <w:p>
            <w:pPr>
              <w:pStyle w:val="Compact"/>
            </w:pPr>
            <w:r>
              <w:t xml:space="preserve">0</w:t>
            </w:r>
          </w:p>
        </w:tc>
        <w:tc>
          <w:tcPr/>
          <w:p>
            <w:pPr>
              <w:pStyle w:val="Compact"/>
            </w:pPr>
            <w:r>
              <w:t xml:space="preserve">Stress-tolerant</w:t>
            </w:r>
          </w:p>
        </w:tc>
      </w:tr>
      <w:tr>
        <w:tc>
          <w:tcPr/>
          <w:p>
            <w:pPr>
              <w:pStyle w:val="Compact"/>
            </w:pPr>
            <w:r>
              <w:t xml:space="preserve">Carex mucronata</w:t>
            </w:r>
          </w:p>
        </w:tc>
        <w:tc>
          <w:tcPr/>
          <w:p>
            <w:pPr>
              <w:pStyle w:val="Compact"/>
            </w:pPr>
            <w:r>
              <w:t xml:space="preserve">29</w:t>
            </w:r>
          </w:p>
        </w:tc>
        <w:tc>
          <w:tcPr/>
          <w:p>
            <w:pPr>
              <w:pStyle w:val="Compact"/>
            </w:pPr>
            <w:r>
              <w:t xml:space="preserve">88 ⚠</w:t>
            </w:r>
          </w:p>
        </w:tc>
        <w:tc>
          <w:tcPr/>
          <w:p>
            <w:pPr>
              <w:pStyle w:val="Compact"/>
            </w:pPr>
            <w:r>
              <w:t xml:space="preserve">0</w:t>
            </w:r>
          </w:p>
        </w:tc>
        <w:tc>
          <w:tcPr/>
          <w:p>
            <w:pPr>
              <w:pStyle w:val="Compact"/>
            </w:pPr>
            <w:r>
              <w:t xml:space="preserve">Stress-tolerant</w:t>
            </w:r>
          </w:p>
        </w:tc>
      </w:tr>
      <w:tr>
        <w:tc>
          <w:tcPr/>
          <w:p>
            <w:pPr>
              <w:pStyle w:val="Compact"/>
            </w:pPr>
            <w:r>
              <w:t xml:space="preserve">Eucalyptus melanophloia (Silver-leaved Ironbark)</w:t>
            </w:r>
          </w:p>
        </w:tc>
        <w:tc>
          <w:tcPr/>
          <w:p>
            <w:pPr>
              <w:pStyle w:val="Compact"/>
            </w:pPr>
            <w:r>
              <w:t xml:space="preserve">55</w:t>
            </w:r>
          </w:p>
        </w:tc>
        <w:tc>
          <w:tcPr/>
          <w:p>
            <w:pPr>
              <w:pStyle w:val="Compact"/>
            </w:pPr>
            <w:r>
              <w:t xml:space="preserve">76 ⚠</w:t>
            </w:r>
          </w:p>
        </w:tc>
        <w:tc>
          <w:tcPr/>
          <w:p>
            <w:pPr>
              <w:pStyle w:val="Compact"/>
            </w:pPr>
            <w:r>
              <w:t xml:space="preserve">0</w:t>
            </w:r>
          </w:p>
        </w:tc>
        <w:tc>
          <w:tcPr/>
          <w:p>
            <w:pPr>
              <w:pStyle w:val="Compact"/>
            </w:pPr>
            <w:r>
              <w:t xml:space="preserve">Stress-tolerant</w:t>
            </w:r>
          </w:p>
        </w:tc>
      </w:tr>
      <w:tr>
        <w:tc>
          <w:tcPr/>
          <w:p>
            <w:pPr>
              <w:pStyle w:val="Compact"/>
            </w:pPr>
            <w:r>
              <w:t xml:space="preserve">Hibbertia diffusa (Wedge Guinea Flower)</w:t>
            </w:r>
          </w:p>
        </w:tc>
        <w:tc>
          <w:tcPr/>
          <w:p>
            <w:pPr>
              <w:pStyle w:val="Compact"/>
            </w:pPr>
            <w:r>
              <w:t xml:space="preserve">7</w:t>
            </w:r>
          </w:p>
        </w:tc>
        <w:tc>
          <w:tcPr/>
          <w:p>
            <w:pPr>
              <w:pStyle w:val="Compact"/>
            </w:pPr>
            <w:r>
              <w:t xml:space="preserve">82 ⚠</w:t>
            </w:r>
          </w:p>
        </w:tc>
        <w:tc>
          <w:tcPr/>
          <w:p>
            <w:pPr>
              <w:pStyle w:val="Compact"/>
            </w:pPr>
            <w:r>
              <w:t xml:space="preserve">43</w:t>
            </w:r>
          </w:p>
        </w:tc>
        <w:tc>
          <w:tcPr/>
          <w:p>
            <w:pPr>
              <w:pStyle w:val="Compact"/>
            </w:pPr>
            <w:r>
              <w:t xml:space="preserve">Stress-tolerant</w:t>
            </w:r>
          </w:p>
        </w:tc>
      </w:tr>
      <w:tr>
        <w:tc>
          <w:tcPr/>
          <w:p>
            <w:pPr>
              <w:pStyle w:val="Compact"/>
            </w:pPr>
            <w:r>
              <w:t xml:space="preserve">Juncus usitatus (Australian Rush)</w:t>
            </w:r>
          </w:p>
        </w:tc>
        <w:tc>
          <w:tcPr/>
          <w:p>
            <w:pPr>
              <w:pStyle w:val="Compact"/>
            </w:pPr>
            <w:r>
              <w:t xml:space="preserve">37</w:t>
            </w:r>
          </w:p>
        </w:tc>
        <w:tc>
          <w:tcPr/>
          <w:p>
            <w:pPr>
              <w:pStyle w:val="Compact"/>
            </w:pPr>
            <w:r>
              <w:t xml:space="preserve">85 ⚠</w:t>
            </w:r>
          </w:p>
        </w:tc>
        <w:tc>
          <w:tcPr/>
          <w:p>
            <w:pPr>
              <w:pStyle w:val="Compact"/>
            </w:pPr>
            <w:r>
              <w:t xml:space="preserve">0</w:t>
            </w:r>
          </w:p>
        </w:tc>
        <w:tc>
          <w:tcPr/>
          <w:p>
            <w:pPr>
              <w:pStyle w:val="Compact"/>
            </w:pPr>
            <w:r>
              <w:t xml:space="preserve">Stress-tolerant</w:t>
            </w:r>
          </w:p>
        </w:tc>
      </w:tr>
      <w:tr>
        <w:tc>
          <w:tcPr/>
          <w:p>
            <w:pPr>
              <w:pStyle w:val="Compact"/>
            </w:pPr>
            <w:r>
              <w:t xml:space="preserve">Senna artemisioides (Silver Cassia)</w:t>
            </w:r>
          </w:p>
        </w:tc>
        <w:tc>
          <w:tcPr/>
          <w:p>
            <w:pPr>
              <w:pStyle w:val="Compact"/>
            </w:pPr>
            <w:r>
              <w:t xml:space="preserve">8</w:t>
            </w:r>
          </w:p>
        </w:tc>
        <w:tc>
          <w:tcPr/>
          <w:p>
            <w:pPr>
              <w:pStyle w:val="Compact"/>
            </w:pPr>
            <w:r>
              <w:t xml:space="preserve">98 ⚠</w:t>
            </w:r>
          </w:p>
        </w:tc>
        <w:tc>
          <w:tcPr/>
          <w:p>
            <w:pPr>
              <w:pStyle w:val="Compact"/>
            </w:pPr>
            <w:r>
              <w:t xml:space="preserve">0</w:t>
            </w:r>
          </w:p>
        </w:tc>
        <w:tc>
          <w:tcPr/>
          <w:p>
            <w:pPr>
              <w:pStyle w:val="Compact"/>
            </w:pPr>
            <w:r>
              <w:t xml:space="preserve">Stress-tolerant</w:t>
            </w:r>
          </w:p>
        </w:tc>
      </w:tr>
      <w:tr>
        <w:tc>
          <w:tcPr/>
          <w:p>
            <w:pPr>
              <w:pStyle w:val="Compact"/>
            </w:pPr>
            <w:r>
              <w:t xml:space="preserve">Sporobolus compositus (Composite Dropseed)</w:t>
            </w:r>
          </w:p>
        </w:tc>
        <w:tc>
          <w:tcPr/>
          <w:p>
            <w:pPr>
              <w:pStyle w:val="Compact"/>
            </w:pPr>
            <w:r>
              <w:t xml:space="preserve">43</w:t>
            </w:r>
          </w:p>
        </w:tc>
        <w:tc>
          <w:tcPr/>
          <w:p>
            <w:pPr>
              <w:pStyle w:val="Compact"/>
            </w:pPr>
            <w:r>
              <w:t xml:space="preserve">82 ⚠</w:t>
            </w:r>
          </w:p>
        </w:tc>
        <w:tc>
          <w:tcPr/>
          <w:p>
            <w:pPr>
              <w:pStyle w:val="Compact"/>
            </w:pPr>
            <w:r>
              <w:t xml:space="preserve">0</w:t>
            </w:r>
          </w:p>
        </w:tc>
        <w:tc>
          <w:tcPr/>
          <w:p>
            <w:pPr>
              <w:pStyle w:val="Compact"/>
            </w:pPr>
            <w:r>
              <w:t xml:space="preserve">Stress-tolerant</w:t>
            </w:r>
          </w:p>
        </w:tc>
      </w:tr>
    </w:tbl>
    <w:p>
      <w:pPr>
        <w:pStyle w:val="BodyText"/>
      </w:pPr>
      <w:r>
        <w:t xml:space="preserve">⚠ = High (&gt;75th percentile)</w:t>
      </w:r>
    </w:p>
    <w:p>
      <w:pPr>
        <w:pStyle w:val="BodyText"/>
      </w:pPr>
      <w:r>
        <w:rPr>
          <w:b/>
          <w:bCs/>
        </w:rPr>
        <w:t xml:space="preserve">Compatible Groupings:</w:t>
      </w:r>
    </w:p>
    <w:p>
      <w:pPr>
        <w:pStyle w:val="Compact"/>
        <w:numPr>
          <w:ilvl w:val="0"/>
          <w:numId w:val="1001"/>
        </w:numPr>
      </w:pPr>
      <w:r>
        <w:rPr>
          <w:b/>
          <w:bCs/>
        </w:rPr>
        <w:t xml:space="preserve">Stress-tolerant</w:t>
      </w:r>
      <w:r>
        <w:t xml:space="preserve">: Alyxia ruscifolia (Chain Fruit), Carex mucronata, Eucalyptus melanophloia (Silver-leaved Ironbark), Hibbertia diffusa (Wedge Guinea Flower), Juncus usitatus (Australian Rush), Senna artemisioides (Silver Cassia), Sporobolus compositus (Composite Dropseed)</w:t>
      </w:r>
    </w:p>
    <w:p>
      <w:pPr>
        <w:pStyle w:val="Compact"/>
        <w:numPr>
          <w:ilvl w:val="1"/>
          <w:numId w:val="1002"/>
        </w:numPr>
      </w:pPr>
      <w:r>
        <w:t xml:space="preserve">Stress-tolerant plants without competitive dominants - compatible niche</w:t>
      </w:r>
    </w:p>
    <w:bookmarkEnd w:id="13"/>
    <w:bookmarkEnd w:id="14"/>
    <w:bookmarkStart w:id="16" w:name="natural-insect-pest-control-m3---0.0100"/>
    <w:p>
      <w:pPr>
        <w:pStyle w:val="Heading3"/>
      </w:pPr>
      <w:r>
        <w:t xml:space="preserve">Natural Insect Pest Control [M3 - 0.0/100]</w:t>
      </w:r>
    </w:p>
    <w:p>
      <w:pPr>
        <w:pStyle w:val="FirstParagraph"/>
      </w:pPr>
      <w:r>
        <w:t xml:space="preserve">0th percentile - 0% coverage (0/7 plants have biocontrol)</w:t>
      </w:r>
      <w:r>
        <w:br/>
      </w:r>
      <w:r>
        <w:t xml:space="preserve">Plants attract beneficial insects (predators and parasitoids) that naturally suppress pest populations. Limited biocontrol - few documented predators/parasitoids, may need supplemental pest management</w:t>
      </w:r>
    </w:p>
    <w:bookmarkStart w:id="15" w:name="pest-vulnerability-profile"/>
    <w:p>
      <w:pPr>
        <w:pStyle w:val="Heading4"/>
      </w:pPr>
      <w:r>
        <w:t xml:space="preserve">Pest Vulnerability Profile</w:t>
      </w:r>
    </w:p>
    <w:p>
      <w:pPr>
        <w:pStyle w:val="FirstParagraph"/>
      </w:pPr>
      <w:r>
        <w:rPr>
          <w:b/>
          <w:bCs/>
        </w:rPr>
        <w:t xml:space="preserve">Total unique pest species:</w:t>
      </w:r>
      <w:r>
        <w:t xml:space="preserve"> </w:t>
      </w:r>
      <w:r>
        <w:t xml:space="preserve">8</w:t>
      </w:r>
    </w:p>
    <w:p>
      <w:pPr>
        <w:pStyle w:val="BodyText"/>
      </w:pPr>
      <w:r>
        <w:rPr>
          <w:b/>
          <w:bCs/>
        </w:rPr>
        <w:t xml:space="preserve">Top 10 Herbivores and Parasites</w:t>
      </w:r>
    </w:p>
    <w:tbl>
      <w:tblPr>
        <w:tblStyle w:val="Table"/>
        <w:tblW w:type="pct" w:w="5000"/>
        <w:tblLayout w:type="fixed"/>
        <w:tblLook w:firstRow="1" w:lastRow="0" w:firstColumn="0" w:lastColumn="0" w:noHBand="0" w:noVBand="0" w:val="0020"/>
      </w:tblPr>
      <w:tblGrid>
        <w:gridCol w:w="990"/>
        <w:gridCol w:w="2310"/>
        <w:gridCol w:w="1650"/>
        <w:gridCol w:w="2970"/>
      </w:tblGrid>
      <w:tr>
        <w:trPr>
          <w:tblHeader w:val="on"/>
        </w:trPr>
        <w:tc>
          <w:tcPr/>
          <w:p>
            <w:pPr>
              <w:pStyle w:val="Compact"/>
            </w:pPr>
            <w:r>
              <w:t xml:space="preserve">Rank</w:t>
            </w:r>
          </w:p>
        </w:tc>
        <w:tc>
          <w:tcPr/>
          <w:p>
            <w:pPr>
              <w:pStyle w:val="Compact"/>
            </w:pPr>
            <w:r>
              <w:t xml:space="preserve">Pest Species</w:t>
            </w:r>
          </w:p>
        </w:tc>
        <w:tc>
          <w:tcPr/>
          <w:p>
            <w:pPr>
              <w:pStyle w:val="Compact"/>
            </w:pPr>
            <w:r>
              <w:t xml:space="preserve">Category</w:t>
            </w:r>
          </w:p>
        </w:tc>
        <w:tc>
          <w:tcPr/>
          <w:p>
            <w:pPr>
              <w:pStyle w:val="Compact"/>
            </w:pPr>
            <w:r>
              <w:t xml:space="preserve">Plants Attacked</w:t>
            </w:r>
          </w:p>
        </w:tc>
      </w:tr>
      <w:tr>
        <w:tc>
          <w:tcPr/>
          <w:p>
            <w:pPr>
              <w:pStyle w:val="Compact"/>
            </w:pPr>
            <w:r>
              <w:t xml:space="preserve">1</w:t>
            </w:r>
          </w:p>
        </w:tc>
        <w:tc>
          <w:tcPr/>
          <w:p>
            <w:pPr>
              <w:pStyle w:val="Compact"/>
            </w:pPr>
            <w:r>
              <w:t xml:space="preserve">Apiomorpha ovicola</w:t>
            </w:r>
          </w:p>
        </w:tc>
        <w:tc>
          <w:tcPr/>
          <w:p>
            <w:pPr>
              <w:pStyle w:val="Compact"/>
            </w:pPr>
            <w:r>
              <w:t xml:space="preserve">Scale Insects</w:t>
            </w:r>
          </w:p>
        </w:tc>
        <w:tc>
          <w:tcPr/>
          <w:p>
            <w:pPr>
              <w:pStyle w:val="Compact"/>
            </w:pPr>
            <w:r>
              <w:t xml:space="preserve">Eucalyptus melanophloia (Silver-leaved Ironbark)</w:t>
            </w:r>
          </w:p>
        </w:tc>
      </w:tr>
      <w:tr>
        <w:tc>
          <w:tcPr/>
          <w:p>
            <w:pPr>
              <w:pStyle w:val="Compact"/>
            </w:pPr>
            <w:r>
              <w:t xml:space="preserve">2</w:t>
            </w:r>
          </w:p>
        </w:tc>
        <w:tc>
          <w:tcPr/>
          <w:p>
            <w:pPr>
              <w:pStyle w:val="Compact"/>
            </w:pPr>
            <w:r>
              <w:t xml:space="preserve">Castiarina parallelipennis</w:t>
            </w:r>
          </w:p>
        </w:tc>
        <w:tc>
          <w:tcPr/>
          <w:p>
            <w:pPr>
              <w:pStyle w:val="Compact"/>
            </w:pPr>
            <w:r>
              <w:t xml:space="preserve">Beetles</w:t>
            </w:r>
          </w:p>
        </w:tc>
        <w:tc>
          <w:tcPr/>
          <w:p>
            <w:pPr>
              <w:pStyle w:val="Compact"/>
            </w:pPr>
            <w:r>
              <w:t xml:space="preserve">Senna artemisioides (Silver Cassia)</w:t>
            </w:r>
          </w:p>
        </w:tc>
      </w:tr>
      <w:tr>
        <w:tc>
          <w:tcPr/>
          <w:p>
            <w:pPr>
              <w:pStyle w:val="Compact"/>
            </w:pPr>
            <w:r>
              <w:t xml:space="preserve">3</w:t>
            </w:r>
          </w:p>
        </w:tc>
        <w:tc>
          <w:tcPr/>
          <w:p>
            <w:pPr>
              <w:pStyle w:val="Compact"/>
            </w:pPr>
            <w:r>
              <w:t xml:space="preserve">Eurema smilax</w:t>
            </w:r>
          </w:p>
        </w:tc>
        <w:tc>
          <w:tcPr/>
          <w:p>
            <w:pPr>
              <w:pStyle w:val="Compact"/>
            </w:pPr>
            <w:r>
              <w:t xml:space="preserve">Butterflies</w:t>
            </w:r>
          </w:p>
        </w:tc>
        <w:tc>
          <w:tcPr/>
          <w:p>
            <w:pPr>
              <w:pStyle w:val="Compact"/>
            </w:pPr>
            <w:r>
              <w:t xml:space="preserve">Senna artemisioides (Silver Cassia)</w:t>
            </w:r>
          </w:p>
        </w:tc>
      </w:tr>
      <w:tr>
        <w:tc>
          <w:tcPr/>
          <w:p>
            <w:pPr>
              <w:pStyle w:val="Compact"/>
            </w:pPr>
            <w:r>
              <w:t xml:space="preserve">4</w:t>
            </w:r>
          </w:p>
        </w:tc>
        <w:tc>
          <w:tcPr/>
          <w:p>
            <w:pPr>
              <w:pStyle w:val="Compact"/>
            </w:pPr>
            <w:r>
              <w:t xml:space="preserve">Glycaspis collina</w:t>
            </w:r>
          </w:p>
        </w:tc>
        <w:tc>
          <w:tcPr/>
          <w:p>
            <w:pPr>
              <w:pStyle w:val="Compact"/>
            </w:pPr>
            <w:r>
              <w:t xml:space="preserve">Psyllids</w:t>
            </w:r>
          </w:p>
        </w:tc>
        <w:tc>
          <w:tcPr/>
          <w:p>
            <w:pPr>
              <w:pStyle w:val="Compact"/>
            </w:pPr>
            <w:r>
              <w:t xml:space="preserve">Eucalyptus melanophloia (Silver-leaved Ironbark)</w:t>
            </w:r>
          </w:p>
        </w:tc>
      </w:tr>
      <w:tr>
        <w:tc>
          <w:tcPr/>
          <w:p>
            <w:pPr>
              <w:pStyle w:val="Compact"/>
            </w:pPr>
            <w:r>
              <w:t xml:space="preserve">5</w:t>
            </w:r>
          </w:p>
        </w:tc>
        <w:tc>
          <w:tcPr/>
          <w:p>
            <w:pPr>
              <w:pStyle w:val="Compact"/>
            </w:pPr>
            <w:r>
              <w:t xml:space="preserve">Goniodes securiger</w:t>
            </w:r>
          </w:p>
        </w:tc>
        <w:tc>
          <w:tcPr/>
          <w:p>
            <w:pPr>
              <w:pStyle w:val="Compact"/>
            </w:pPr>
            <w:r>
              <w:t xml:space="preserve">Other Herbivores</w:t>
            </w:r>
          </w:p>
        </w:tc>
        <w:tc>
          <w:tcPr/>
          <w:p>
            <w:pPr>
              <w:pStyle w:val="Compact"/>
            </w:pPr>
            <w:r>
              <w:t xml:space="preserve">Alyxia ruscifolia (Chain Fruit)</w:t>
            </w:r>
          </w:p>
        </w:tc>
      </w:tr>
      <w:tr>
        <w:tc>
          <w:tcPr/>
          <w:p>
            <w:pPr>
              <w:pStyle w:val="Compact"/>
            </w:pPr>
            <w:r>
              <w:t xml:space="preserve">6</w:t>
            </w:r>
          </w:p>
        </w:tc>
        <w:tc>
          <w:tcPr/>
          <w:p>
            <w:pPr>
              <w:pStyle w:val="Compact"/>
            </w:pPr>
            <w:r>
              <w:t xml:space="preserve">Jalmenus daemeli</w:t>
            </w:r>
          </w:p>
        </w:tc>
        <w:tc>
          <w:tcPr/>
          <w:p>
            <w:pPr>
              <w:pStyle w:val="Compact"/>
            </w:pPr>
            <w:r>
              <w:t xml:space="preserve">Butterflies</w:t>
            </w:r>
          </w:p>
        </w:tc>
        <w:tc>
          <w:tcPr/>
          <w:p>
            <w:pPr>
              <w:pStyle w:val="Compact"/>
            </w:pPr>
            <w:r>
              <w:t xml:space="preserve">Eucalyptus melanophloia (Silver-leaved Ironbark)</w:t>
            </w:r>
          </w:p>
        </w:tc>
      </w:tr>
      <w:tr>
        <w:tc>
          <w:tcPr/>
          <w:p>
            <w:pPr>
              <w:pStyle w:val="Compact"/>
            </w:pPr>
            <w:r>
              <w:t xml:space="preserve">7</w:t>
            </w:r>
          </w:p>
        </w:tc>
        <w:tc>
          <w:tcPr/>
          <w:p>
            <w:pPr>
              <w:pStyle w:val="Compact"/>
            </w:pPr>
            <w:r>
              <w:t xml:space="preserve">Jalmenus icilius</w:t>
            </w:r>
          </w:p>
        </w:tc>
        <w:tc>
          <w:tcPr/>
          <w:p>
            <w:pPr>
              <w:pStyle w:val="Compact"/>
            </w:pPr>
            <w:r>
              <w:t xml:space="preserve">Butterflies</w:t>
            </w:r>
          </w:p>
        </w:tc>
        <w:tc>
          <w:tcPr/>
          <w:p>
            <w:pPr>
              <w:pStyle w:val="Compact"/>
            </w:pPr>
            <w:r>
              <w:t xml:space="preserve">Senna artemisioides (Silver Cassia)</w:t>
            </w:r>
          </w:p>
        </w:tc>
      </w:tr>
      <w:tr>
        <w:tc>
          <w:tcPr/>
          <w:p>
            <w:pPr>
              <w:pStyle w:val="Compact"/>
            </w:pPr>
            <w:r>
              <w:t xml:space="preserve">8</w:t>
            </w:r>
          </w:p>
        </w:tc>
        <w:tc>
          <w:tcPr/>
          <w:p>
            <w:pPr>
              <w:pStyle w:val="Compact"/>
            </w:pPr>
            <w:r>
              <w:t xml:space="preserve">Pseudodendrothrips gillespiei</w:t>
            </w:r>
          </w:p>
        </w:tc>
        <w:tc>
          <w:tcPr/>
          <w:p>
            <w:pPr>
              <w:pStyle w:val="Compact"/>
            </w:pPr>
            <w:r>
              <w:t xml:space="preserve">Thrips</w:t>
            </w:r>
          </w:p>
        </w:tc>
        <w:tc>
          <w:tcPr/>
          <w:p>
            <w:pPr>
              <w:pStyle w:val="Compact"/>
            </w:pPr>
            <w:r>
              <w:t xml:space="preserve">Alyxia ruscifolia (Chain Fruit)</w:t>
            </w:r>
          </w:p>
        </w:tc>
      </w:tr>
    </w:tbl>
    <w:p>
      <w:pPr>
        <w:pStyle w:val="BodyText"/>
      </w:pPr>
      <w:r>
        <w:rPr>
          <w:b/>
          <w:bCs/>
        </w:rPr>
        <w:t xml:space="preserve">Most Vulnerable Plants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Plant</w:t>
            </w:r>
          </w:p>
        </w:tc>
        <w:tc>
          <w:tcPr/>
          <w:p>
            <w:pPr>
              <w:pStyle w:val="Compact"/>
            </w:pPr>
            <w:r>
              <w:t xml:space="preserve">Pest Count</w:t>
            </w:r>
          </w:p>
        </w:tc>
      </w:tr>
      <w:tr>
        <w:tc>
          <w:tcPr/>
          <w:p>
            <w:pPr>
              <w:pStyle w:val="Compact"/>
            </w:pPr>
            <w:r>
              <w:t xml:space="preserve">Eucalyptus melanophloia (Silver-leaved Ironbark)</w:t>
            </w:r>
          </w:p>
        </w:tc>
        <w:tc>
          <w:tcPr/>
          <w:p>
            <w:pPr>
              <w:pStyle w:val="Compact"/>
            </w:pPr>
            <w:r>
              <w:t xml:space="preserve">3</w:t>
            </w:r>
          </w:p>
        </w:tc>
      </w:tr>
      <w:tr>
        <w:tc>
          <w:tcPr/>
          <w:p>
            <w:pPr>
              <w:pStyle w:val="Compact"/>
            </w:pPr>
            <w:r>
              <w:t xml:space="preserve">Senna artemisioides (Silver Cassia)</w:t>
            </w:r>
          </w:p>
        </w:tc>
        <w:tc>
          <w:tcPr/>
          <w:p>
            <w:pPr>
              <w:pStyle w:val="Compact"/>
            </w:pPr>
            <w:r>
              <w:t xml:space="preserve">3</w:t>
            </w:r>
          </w:p>
        </w:tc>
      </w:tr>
      <w:tr>
        <w:tc>
          <w:tcPr/>
          <w:p>
            <w:pPr>
              <w:pStyle w:val="Compact"/>
            </w:pPr>
            <w:r>
              <w:t xml:space="preserve">Alyxia ruscifolia (Chain Fruit)</w:t>
            </w:r>
          </w:p>
        </w:tc>
        <w:tc>
          <w:tcPr/>
          <w:p>
            <w:pPr>
              <w:pStyle w:val="Compact"/>
            </w:pPr>
            <w:r>
              <w:t xml:space="preserve">2</w:t>
            </w:r>
          </w:p>
        </w:tc>
      </w:tr>
    </w:tbl>
    <w:bookmarkEnd w:id="15"/>
    <w:bookmarkEnd w:id="16"/>
    <w:bookmarkStart w:id="18" w:name="natural-disease-suppression-m4---60.0100"/>
    <w:p>
      <w:pPr>
        <w:pStyle w:val="Heading3"/>
      </w:pPr>
      <w:r>
        <w:t xml:space="preserve">Natural Disease Suppression [M4 - 60.0/100]</w:t>
      </w:r>
    </w:p>
    <w:p>
      <w:pPr>
        <w:pStyle w:val="FirstParagraph"/>
      </w:pPr>
      <w:r>
        <w:t xml:space="preserve">60th percentile - 57% coverage (4/7 plants have disease control)</w:t>
      </w:r>
      <w:r>
        <w:br/>
      </w:r>
      <w:r>
        <w:t xml:space="preserve">Plants harbor beneficial fungi that antagonize pathogens, reducing disease incidence through biological control. Good disease suppression - beneficial fungi provide meaningful pathogen control</w:t>
      </w:r>
    </w:p>
    <w:bookmarkStart w:id="17" w:name="pathogen-control-network-profile"/>
    <w:p>
      <w:pPr>
        <w:pStyle w:val="Heading4"/>
      </w:pPr>
      <w:r>
        <w:t xml:space="preserve">Pathogen Control Network Profile</w:t>
      </w:r>
    </w:p>
    <w:p>
      <w:pPr>
        <w:pStyle w:val="FirstParagraph"/>
      </w:pPr>
      <w:r>
        <w:rPr>
          <w:b/>
          <w:bCs/>
        </w:rPr>
        <w:t xml:space="preserve">Summary:</w:t>
      </w:r>
      <w:r>
        <w:t xml:space="preserve"> </w:t>
      </w:r>
      <w:r>
        <w:t xml:space="preserve">- 1 unique mycoparasite species (fungi that parasitize other fungi)</w:t>
      </w:r>
      <w:r>
        <w:t xml:space="preserve"> </w:t>
      </w:r>
      <w:r>
        <w:t xml:space="preserve">- 22 unique pathogen species in guild</w:t>
      </w:r>
    </w:p>
    <w:p>
      <w:pPr>
        <w:pStyle w:val="BodyText"/>
      </w:pPr>
      <w:r>
        <w:rPr>
          <w:b/>
          <w:bCs/>
        </w:rPr>
        <w:t xml:space="preserve">Mechanism Summary:</w:t>
      </w:r>
      <w:r>
        <w:t xml:space="preserve"> </w:t>
      </w:r>
      <w:r>
        <w:t xml:space="preserve">- 0 Specific antagonist matches (pathogen → known mycoparasite or fungivore)</w:t>
      </w:r>
      <w:r>
        <w:t xml:space="preserve"> </w:t>
      </w:r>
      <w:r>
        <w:t xml:space="preserve">- 1 general mycoparasite species (1 total occurrences, primary mechanism)</w:t>
      </w:r>
    </w:p>
    <w:p>
      <w:pPr>
        <w:pStyle w:val="BodyText"/>
      </w:pPr>
      <w:r>
        <w:rPr>
          <w:b/>
          <w:bCs/>
        </w:rPr>
        <w:t xml:space="preserve">No specific pathogen-antagonist matches found.</w:t>
      </w:r>
      <w:r>
        <w:t xml:space="preserve"> </w:t>
      </w:r>
      <w:r>
        <w:t xml:space="preserve">The disease suppression score is driven by the presence of</w:t>
      </w:r>
      <w:r>
        <w:t xml:space="preserve"> </w:t>
      </w:r>
      <w:r>
        <w:rPr>
          <w:b/>
          <w:bCs/>
        </w:rPr>
        <w:t xml:space="preserve">general mycoparasitic fungi</w:t>
      </w:r>
      <w:r>
        <w:t xml:space="preserve"> </w:t>
      </w:r>
      <w:r>
        <w:t xml:space="preserve">(e.g., Trichoderma) which provide broad-spectrum protection against fungal pathogens.</w:t>
      </w:r>
    </w:p>
    <w:p>
      <w:pPr>
        <w:pStyle w:val="BodyText"/>
      </w:pPr>
      <w:r>
        <w:rPr>
          <w:b/>
          <w:bCs/>
        </w:rPr>
        <w:t xml:space="preserve">Network Hubs (plants harboring most mycoparasites):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Plant</w:t>
            </w:r>
          </w:p>
        </w:tc>
        <w:tc>
          <w:tcPr/>
          <w:p>
            <w:pPr>
              <w:pStyle w:val="Compact"/>
            </w:pPr>
            <w:r>
              <w:t xml:space="preserve">Mycoparasites</w:t>
            </w:r>
          </w:p>
        </w:tc>
        <w:tc>
          <w:tcPr/>
          <w:p>
            <w:pPr>
              <w:pStyle w:val="Compact"/>
            </w:pPr>
            <w:r>
              <w:t xml:space="preserve">Pathogens</w:t>
            </w:r>
          </w:p>
        </w:tc>
      </w:tr>
      <w:tr>
        <w:tc>
          <w:tcPr/>
          <w:p>
            <w:pPr>
              <w:pStyle w:val="Compact"/>
            </w:pPr>
            <w:r>
              <w:t xml:space="preserve">Alyxia ruscifolia (Chain Fruit)</w:t>
            </w:r>
          </w:p>
        </w:tc>
        <w:tc>
          <w:tcPr/>
          <w:p>
            <w:pPr>
              <w:pStyle w:val="Compact"/>
            </w:pPr>
            <w:r>
              <w:t xml:space="preserve">1</w:t>
            </w:r>
          </w:p>
        </w:tc>
        <w:tc>
          <w:tcPr/>
          <w:p>
            <w:pPr>
              <w:pStyle w:val="Compact"/>
            </w:pPr>
            <w:r>
              <w:t xml:space="preserve">2</w:t>
            </w:r>
          </w:p>
        </w:tc>
      </w:tr>
      <w:tr>
        <w:tc>
          <w:tcPr/>
          <w:p>
            <w:pPr>
              <w:pStyle w:val="Compact"/>
            </w:pPr>
            <w:r>
              <w:t xml:space="preserve">Carex mucronata</w:t>
            </w:r>
          </w:p>
        </w:tc>
        <w:tc>
          <w:tcPr/>
          <w:p>
            <w:pPr>
              <w:pStyle w:val="Compact"/>
            </w:pPr>
            <w:r>
              <w:t xml:space="preserve">0</w:t>
            </w:r>
          </w:p>
        </w:tc>
        <w:tc>
          <w:tcPr/>
          <w:p>
            <w:pPr>
              <w:pStyle w:val="Compact"/>
            </w:pPr>
            <w:r>
              <w:t xml:space="preserve">4</w:t>
            </w:r>
          </w:p>
        </w:tc>
      </w:tr>
      <w:tr>
        <w:tc>
          <w:tcPr/>
          <w:p>
            <w:pPr>
              <w:pStyle w:val="Compact"/>
            </w:pPr>
            <w:r>
              <w:t xml:space="preserve">Eucalyptus melanophloia (Silver-leaved Ironbark)</w:t>
            </w:r>
          </w:p>
        </w:tc>
        <w:tc>
          <w:tcPr/>
          <w:p>
            <w:pPr>
              <w:pStyle w:val="Compact"/>
            </w:pPr>
            <w:r>
              <w:t xml:space="preserve">0</w:t>
            </w:r>
          </w:p>
        </w:tc>
        <w:tc>
          <w:tcPr/>
          <w:p>
            <w:pPr>
              <w:pStyle w:val="Compact"/>
            </w:pPr>
            <w:r>
              <w:t xml:space="preserve">1</w:t>
            </w:r>
          </w:p>
        </w:tc>
      </w:tr>
      <w:tr>
        <w:tc>
          <w:tcPr/>
          <w:p>
            <w:pPr>
              <w:pStyle w:val="Compact"/>
            </w:pPr>
            <w:r>
              <w:t xml:space="preserve">Hibbertia diffusa (Wedge Guinea Flower) ⚠️</w:t>
            </w:r>
          </w:p>
        </w:tc>
        <w:tc>
          <w:tcPr/>
          <w:p>
            <w:pPr>
              <w:pStyle w:val="Compact"/>
            </w:pPr>
            <w:r>
              <w:t xml:space="preserve">0</w:t>
            </w:r>
          </w:p>
        </w:tc>
        <w:tc>
          <w:tcPr/>
          <w:p>
            <w:pPr>
              <w:pStyle w:val="Compact"/>
            </w:pPr>
            <w:r>
              <w:t xml:space="preserve">0</w:t>
            </w:r>
          </w:p>
        </w:tc>
      </w:tr>
      <w:tr>
        <w:tc>
          <w:tcPr/>
          <w:p>
            <w:pPr>
              <w:pStyle w:val="Compact"/>
            </w:pPr>
            <w:r>
              <w:t xml:space="preserve">Juncus usitatus (Australian Rush) ⚠️</w:t>
            </w:r>
          </w:p>
        </w:tc>
        <w:tc>
          <w:tcPr/>
          <w:p>
            <w:pPr>
              <w:pStyle w:val="Compact"/>
            </w:pPr>
            <w:r>
              <w:t xml:space="preserve">0</w:t>
            </w:r>
          </w:p>
        </w:tc>
        <w:tc>
          <w:tcPr/>
          <w:p>
            <w:pPr>
              <w:pStyle w:val="Compact"/>
            </w:pPr>
            <w:r>
              <w:t xml:space="preserve">0</w:t>
            </w:r>
          </w:p>
        </w:tc>
      </w:tr>
      <w:tr>
        <w:tc>
          <w:tcPr/>
          <w:p>
            <w:pPr>
              <w:pStyle w:val="Compact"/>
            </w:pPr>
            <w:r>
              <w:t xml:space="preserve">Senna artemisioides (Silver Cassia)</w:t>
            </w:r>
          </w:p>
        </w:tc>
        <w:tc>
          <w:tcPr/>
          <w:p>
            <w:pPr>
              <w:pStyle w:val="Compact"/>
            </w:pPr>
            <w:r>
              <w:t xml:space="preserve">0</w:t>
            </w:r>
          </w:p>
        </w:tc>
        <w:tc>
          <w:tcPr/>
          <w:p>
            <w:pPr>
              <w:pStyle w:val="Compact"/>
            </w:pPr>
            <w:r>
              <w:t xml:space="preserve">1</w:t>
            </w:r>
          </w:p>
        </w:tc>
      </w:tr>
      <w:tr>
        <w:tc>
          <w:tcPr/>
          <w:p>
            <w:pPr>
              <w:pStyle w:val="Compact"/>
            </w:pPr>
            <w:r>
              <w:t xml:space="preserve">Sporobolus compositus (Composite Dropseed)</w:t>
            </w:r>
          </w:p>
        </w:tc>
        <w:tc>
          <w:tcPr/>
          <w:p>
            <w:pPr>
              <w:pStyle w:val="Compact"/>
            </w:pPr>
            <w:r>
              <w:t xml:space="preserve">0</w:t>
            </w:r>
          </w:p>
        </w:tc>
        <w:tc>
          <w:tcPr/>
          <w:p>
            <w:pPr>
              <w:pStyle w:val="Compact"/>
            </w:pPr>
            <w:r>
              <w:t xml:space="preserve">15</w:t>
            </w:r>
          </w:p>
        </w:tc>
      </w:tr>
    </w:tbl>
    <w:p>
      <w:pPr>
        <w:pStyle w:val="BodyText"/>
      </w:pPr>
      <w:r>
        <w:t xml:space="preserve">⚠️</w:t>
      </w:r>
      <w:r>
        <w:t xml:space="preserve"> </w:t>
      </w:r>
      <w:r>
        <w:rPr>
          <w:b/>
          <w:bCs/>
        </w:rPr>
        <w:t xml:space="preserve">Data Completeness Note:</w:t>
      </w:r>
      <w:r>
        <w:t xml:space="preserve"> </w:t>
      </w:r>
      <w:r>
        <w:t xml:space="preserve">Plants marked with ⚠️ have no interaction data in this dimension. This likely indicates a data gap rather than true ecological absence.</w:t>
      </w:r>
    </w:p>
    <w:bookmarkEnd w:id="17"/>
    <w:bookmarkEnd w:id="18"/>
    <w:bookmarkStart w:id="20" w:name="X075a8cb06d7908ca1c5bced06e4931f3536ed1a"/>
    <w:p>
      <w:pPr>
        <w:pStyle w:val="Heading3"/>
      </w:pPr>
      <w:r>
        <w:t xml:space="preserve">Beneficial Mycorrhizal Network [M5 - 70.0/100]</w:t>
      </w:r>
    </w:p>
    <w:p>
      <w:pPr>
        <w:pStyle w:val="FirstParagraph"/>
      </w:pPr>
      <w:r>
        <w:t xml:space="preserve">70th percentile - 57% coverage (4/7 plants have beneficial fungi)</w:t>
      </w:r>
      <w:r>
        <w:br/>
      </w:r>
      <w:r>
        <w:t xml:space="preserve">Beneficial fungi (mycorrhizal partners, endophytes, and saprotrophs) create underground networks that facilitate nutrient exchange, water sharing, and chemical communication between plants. Good fungal network - many plants have beneficial fungal associations</w:t>
      </w:r>
    </w:p>
    <w:bookmarkStart w:id="19" w:name="beneficial-fungi-network-profile"/>
    <w:p>
      <w:pPr>
        <w:pStyle w:val="Heading4"/>
      </w:pPr>
      <w:r>
        <w:t xml:space="preserve">Beneficial Fungi Network Profile</w:t>
      </w:r>
    </w:p>
    <w:p>
      <w:pPr>
        <w:pStyle w:val="FirstParagraph"/>
      </w:pPr>
      <w:r>
        <w:rPr>
          <w:b/>
          <w:bCs/>
        </w:rPr>
        <w:t xml:space="preserve">Total unique beneficial fungi species:</w:t>
      </w:r>
      <w:r>
        <w:t xml:space="preserve"> </w:t>
      </w:r>
      <w:r>
        <w:t xml:space="preserve">16</w:t>
      </w:r>
    </w:p>
    <w:p>
      <w:pPr>
        <w:pStyle w:val="BodyText"/>
      </w:pPr>
      <w:r>
        <w:rPr>
          <w:b/>
          <w:bCs/>
        </w:rPr>
        <w:t xml:space="preserve">Fungal Community Composition:</w:t>
      </w:r>
    </w:p>
    <w:p>
      <w:pPr>
        <w:pStyle w:val="Compact"/>
        <w:numPr>
          <w:ilvl w:val="0"/>
          <w:numId w:val="1003"/>
        </w:numPr>
      </w:pPr>
      <w:r>
        <w:t xml:space="preserve">0 AMF species (Arbuscular Mycorrhizal) - 0.0%</w:t>
      </w:r>
    </w:p>
    <w:p>
      <w:pPr>
        <w:pStyle w:val="Compact"/>
        <w:numPr>
          <w:ilvl w:val="0"/>
          <w:numId w:val="1003"/>
        </w:numPr>
      </w:pPr>
      <w:r>
        <w:t xml:space="preserve">0 EMF species (Ectomycorrhizal) - 0.0%</w:t>
      </w:r>
    </w:p>
    <w:p>
      <w:pPr>
        <w:pStyle w:val="Compact"/>
        <w:numPr>
          <w:ilvl w:val="0"/>
          <w:numId w:val="1003"/>
        </w:numPr>
      </w:pPr>
      <w:r>
        <w:t xml:space="preserve">2 Endophytic species - 12.5%</w:t>
      </w:r>
    </w:p>
    <w:p>
      <w:pPr>
        <w:pStyle w:val="Compact"/>
        <w:numPr>
          <w:ilvl w:val="0"/>
          <w:numId w:val="1003"/>
        </w:numPr>
      </w:pPr>
      <w:r>
        <w:t xml:space="preserve">14 Saprotrophic species - 87.5%</w:t>
      </w:r>
    </w:p>
    <w:p>
      <w:pPr>
        <w:pStyle w:val="FirstParagraph"/>
      </w:pPr>
      <w:r>
        <w:rPr>
          <w:b/>
          <w:bCs/>
        </w:rPr>
        <w:t xml:space="preserve">Top Network Fungi (by connectivity):</w:t>
      </w:r>
    </w:p>
    <w:tbl>
      <w:tblPr>
        <w:tblStyle w:val="Table"/>
        <w:tblW w:type="pct" w:w="5000"/>
        <w:tblLayout w:type="fixed"/>
        <w:tblLook w:firstRow="1" w:lastRow="0" w:firstColumn="0" w:lastColumn="0" w:noHBand="0" w:noVBand="0" w:val="0020"/>
      </w:tblPr>
      <w:tblGrid>
        <w:gridCol w:w="660"/>
        <w:gridCol w:w="1760"/>
        <w:gridCol w:w="1100"/>
        <w:gridCol w:w="1980"/>
        <w:gridCol w:w="2420"/>
      </w:tblGrid>
      <w:tr>
        <w:trPr>
          <w:tblHeader w:val="on"/>
        </w:trPr>
        <w:tc>
          <w:tcPr/>
          <w:p>
            <w:pPr>
              <w:pStyle w:val="Compact"/>
            </w:pPr>
            <w:r>
              <w:t xml:space="preserve">Rank</w:t>
            </w:r>
          </w:p>
        </w:tc>
        <w:tc>
          <w:tcPr/>
          <w:p>
            <w:pPr>
              <w:pStyle w:val="Compact"/>
            </w:pPr>
            <w:r>
              <w:t xml:space="preserve">Fungus Species</w:t>
            </w:r>
          </w:p>
        </w:tc>
        <w:tc>
          <w:tcPr/>
          <w:p>
            <w:pPr>
              <w:pStyle w:val="Compact"/>
            </w:pPr>
            <w:r>
              <w:t xml:space="preserve">Category</w:t>
            </w:r>
          </w:p>
        </w:tc>
        <w:tc>
          <w:tcPr/>
          <w:p>
            <w:pPr>
              <w:pStyle w:val="Compact"/>
            </w:pPr>
            <w:r>
              <w:t xml:space="preserve">Plants Connected</w:t>
            </w:r>
          </w:p>
        </w:tc>
        <w:tc>
          <w:tcPr/>
          <w:p>
            <w:pPr>
              <w:pStyle w:val="Compact"/>
            </w:pPr>
            <w:r>
              <w:t xml:space="preserve">Network Contribution</w:t>
            </w:r>
          </w:p>
        </w:tc>
      </w:tr>
      <w:tr>
        <w:tc>
          <w:tcPr/>
          <w:p>
            <w:pPr>
              <w:pStyle w:val="Compact"/>
            </w:pPr>
            <w:r>
              <w:t xml:space="preserve">1</w:t>
            </w:r>
          </w:p>
        </w:tc>
        <w:tc>
          <w:tcPr/>
          <w:p>
            <w:pPr>
              <w:pStyle w:val="Compact"/>
            </w:pPr>
            <w:r>
              <w:t xml:space="preserve">ciferrioxyphium</w:t>
            </w:r>
          </w:p>
        </w:tc>
        <w:tc>
          <w:tcPr/>
          <w:p>
            <w:pPr>
              <w:pStyle w:val="Compact"/>
            </w:pPr>
            <w:r>
              <w:t xml:space="preserve">Saprotrophic</w:t>
            </w:r>
          </w:p>
        </w:tc>
        <w:tc>
          <w:tcPr/>
          <w:p>
            <w:pPr>
              <w:pStyle w:val="Compact"/>
            </w:pPr>
            <w:r>
              <w:t xml:space="preserve">1 plants</w:t>
            </w:r>
          </w:p>
        </w:tc>
        <w:tc>
          <w:tcPr/>
          <w:p>
            <w:pPr>
              <w:pStyle w:val="Compact"/>
            </w:pPr>
            <w:r>
              <w:t xml:space="preserve">14.3%</w:t>
            </w:r>
          </w:p>
        </w:tc>
      </w:tr>
      <w:tr>
        <w:tc>
          <w:tcPr/>
          <w:p>
            <w:pPr>
              <w:pStyle w:val="Compact"/>
            </w:pPr>
            <w:r>
              <w:t xml:space="preserve">2</w:t>
            </w:r>
          </w:p>
        </w:tc>
        <w:tc>
          <w:tcPr/>
          <w:p>
            <w:pPr>
              <w:pStyle w:val="Compact"/>
            </w:pPr>
            <w:r>
              <w:t xml:space="preserve">clathrospora</w:t>
            </w:r>
          </w:p>
        </w:tc>
        <w:tc>
          <w:tcPr/>
          <w:p>
            <w:pPr>
              <w:pStyle w:val="Compact"/>
            </w:pPr>
            <w:r>
              <w:t xml:space="preserve">Saprotrophic ⚠ Pathogen</w:t>
            </w:r>
          </w:p>
        </w:tc>
        <w:tc>
          <w:tcPr/>
          <w:p>
            <w:pPr>
              <w:pStyle w:val="Compact"/>
            </w:pPr>
            <w:r>
              <w:t xml:space="preserve">1 plants</w:t>
            </w:r>
          </w:p>
        </w:tc>
        <w:tc>
          <w:tcPr/>
          <w:p>
            <w:pPr>
              <w:pStyle w:val="Compact"/>
            </w:pPr>
            <w:r>
              <w:t xml:space="preserve">14.3%</w:t>
            </w:r>
          </w:p>
        </w:tc>
      </w:tr>
      <w:tr>
        <w:tc>
          <w:tcPr/>
          <w:p>
            <w:pPr>
              <w:pStyle w:val="Compact"/>
            </w:pPr>
            <w:r>
              <w:t xml:space="preserve">3</w:t>
            </w:r>
          </w:p>
        </w:tc>
        <w:tc>
          <w:tcPr/>
          <w:p>
            <w:pPr>
              <w:pStyle w:val="Compact"/>
            </w:pPr>
            <w:r>
              <w:t xml:space="preserve">colletotrichum</w:t>
            </w:r>
          </w:p>
        </w:tc>
        <w:tc>
          <w:tcPr/>
          <w:p>
            <w:pPr>
              <w:pStyle w:val="Compact"/>
            </w:pPr>
            <w:r>
              <w:t xml:space="preserve">Saprotrophic ⚠ Pathogen</w:t>
            </w:r>
          </w:p>
        </w:tc>
        <w:tc>
          <w:tcPr/>
          <w:p>
            <w:pPr>
              <w:pStyle w:val="Compact"/>
            </w:pPr>
            <w:r>
              <w:t xml:space="preserve">1 plants</w:t>
            </w:r>
          </w:p>
        </w:tc>
        <w:tc>
          <w:tcPr/>
          <w:p>
            <w:pPr>
              <w:pStyle w:val="Compact"/>
            </w:pPr>
            <w:r>
              <w:t xml:space="preserve">14.3%</w:t>
            </w:r>
          </w:p>
        </w:tc>
      </w:tr>
      <w:tr>
        <w:tc>
          <w:tcPr/>
          <w:p>
            <w:pPr>
              <w:pStyle w:val="Compact"/>
            </w:pPr>
            <w:r>
              <w:t xml:space="preserve">4</w:t>
            </w:r>
          </w:p>
        </w:tc>
        <w:tc>
          <w:tcPr/>
          <w:p>
            <w:pPr>
              <w:pStyle w:val="Compact"/>
            </w:pPr>
            <w:r>
              <w:t xml:space="preserve">cosmospora</w:t>
            </w:r>
          </w:p>
        </w:tc>
        <w:tc>
          <w:tcPr/>
          <w:p>
            <w:pPr>
              <w:pStyle w:val="Compact"/>
            </w:pPr>
            <w:r>
              <w:t xml:space="preserve">Saprotrophic</w:t>
            </w:r>
          </w:p>
        </w:tc>
        <w:tc>
          <w:tcPr/>
          <w:p>
            <w:pPr>
              <w:pStyle w:val="Compact"/>
            </w:pPr>
            <w:r>
              <w:t xml:space="preserve">1 plants</w:t>
            </w:r>
          </w:p>
        </w:tc>
        <w:tc>
          <w:tcPr/>
          <w:p>
            <w:pPr>
              <w:pStyle w:val="Compact"/>
            </w:pPr>
            <w:r>
              <w:t xml:space="preserve">14.3%</w:t>
            </w:r>
          </w:p>
        </w:tc>
      </w:tr>
      <w:tr>
        <w:tc>
          <w:tcPr/>
          <w:p>
            <w:pPr>
              <w:pStyle w:val="Compact"/>
            </w:pPr>
            <w:r>
              <w:t xml:space="preserve">5</w:t>
            </w:r>
          </w:p>
        </w:tc>
        <w:tc>
          <w:tcPr/>
          <w:p>
            <w:pPr>
              <w:pStyle w:val="Compact"/>
            </w:pPr>
            <w:r>
              <w:t xml:space="preserve">fusarium</w:t>
            </w:r>
          </w:p>
        </w:tc>
        <w:tc>
          <w:tcPr/>
          <w:p>
            <w:pPr>
              <w:pStyle w:val="Compact"/>
            </w:pPr>
            <w:r>
              <w:t xml:space="preserve">Saprotrophic ⚠ Pathogen</w:t>
            </w:r>
          </w:p>
        </w:tc>
        <w:tc>
          <w:tcPr/>
          <w:p>
            <w:pPr>
              <w:pStyle w:val="Compact"/>
            </w:pPr>
            <w:r>
              <w:t xml:space="preserve">1 plants</w:t>
            </w:r>
          </w:p>
        </w:tc>
        <w:tc>
          <w:tcPr/>
          <w:p>
            <w:pPr>
              <w:pStyle w:val="Compact"/>
            </w:pPr>
            <w:r>
              <w:t xml:space="preserve">14.3%</w:t>
            </w:r>
          </w:p>
        </w:tc>
      </w:tr>
      <w:tr>
        <w:tc>
          <w:tcPr/>
          <w:p>
            <w:pPr>
              <w:pStyle w:val="Compact"/>
            </w:pPr>
            <w:r>
              <w:t xml:space="preserve">6</w:t>
            </w:r>
          </w:p>
        </w:tc>
        <w:tc>
          <w:tcPr/>
          <w:p>
            <w:pPr>
              <w:pStyle w:val="Compact"/>
            </w:pPr>
            <w:r>
              <w:t xml:space="preserve">graphyllium</w:t>
            </w:r>
          </w:p>
        </w:tc>
        <w:tc>
          <w:tcPr/>
          <w:p>
            <w:pPr>
              <w:pStyle w:val="Compact"/>
            </w:pPr>
            <w:r>
              <w:t xml:space="preserve">Saprotrophic</w:t>
            </w:r>
          </w:p>
        </w:tc>
        <w:tc>
          <w:tcPr/>
          <w:p>
            <w:pPr>
              <w:pStyle w:val="Compact"/>
            </w:pPr>
            <w:r>
              <w:t xml:space="preserve">1 plants</w:t>
            </w:r>
          </w:p>
        </w:tc>
        <w:tc>
          <w:tcPr/>
          <w:p>
            <w:pPr>
              <w:pStyle w:val="Compact"/>
            </w:pPr>
            <w:r>
              <w:t xml:space="preserve">14.3%</w:t>
            </w:r>
          </w:p>
        </w:tc>
      </w:tr>
      <w:tr>
        <w:tc>
          <w:tcPr/>
          <w:p>
            <w:pPr>
              <w:pStyle w:val="Compact"/>
            </w:pPr>
            <w:r>
              <w:t xml:space="preserve">7</w:t>
            </w:r>
          </w:p>
        </w:tc>
        <w:tc>
          <w:tcPr/>
          <w:p>
            <w:pPr>
              <w:pStyle w:val="Compact"/>
            </w:pPr>
            <w:r>
              <w:t xml:space="preserve">hendersonia</w:t>
            </w:r>
          </w:p>
        </w:tc>
        <w:tc>
          <w:tcPr/>
          <w:p>
            <w:pPr>
              <w:pStyle w:val="Compact"/>
            </w:pPr>
            <w:r>
              <w:t xml:space="preserve">Saprotrophic</w:t>
            </w:r>
          </w:p>
        </w:tc>
        <w:tc>
          <w:tcPr/>
          <w:p>
            <w:pPr>
              <w:pStyle w:val="Compact"/>
            </w:pPr>
            <w:r>
              <w:t xml:space="preserve">1 plants</w:t>
            </w:r>
          </w:p>
        </w:tc>
        <w:tc>
          <w:tcPr/>
          <w:p>
            <w:pPr>
              <w:pStyle w:val="Compact"/>
            </w:pPr>
            <w:r>
              <w:t xml:space="preserve">14.3%</w:t>
            </w:r>
          </w:p>
        </w:tc>
      </w:tr>
      <w:tr>
        <w:tc>
          <w:tcPr/>
          <w:p>
            <w:pPr>
              <w:pStyle w:val="Compact"/>
            </w:pPr>
            <w:r>
              <w:t xml:space="preserve">8</w:t>
            </w:r>
          </w:p>
        </w:tc>
        <w:tc>
          <w:tcPr/>
          <w:p>
            <w:pPr>
              <w:pStyle w:val="Compact"/>
            </w:pPr>
            <w:r>
              <w:t xml:space="preserve">hysterographium</w:t>
            </w:r>
          </w:p>
        </w:tc>
        <w:tc>
          <w:tcPr/>
          <w:p>
            <w:pPr>
              <w:pStyle w:val="Compact"/>
            </w:pPr>
            <w:r>
              <w:t xml:space="preserve">Saprotrophic</w:t>
            </w:r>
          </w:p>
        </w:tc>
        <w:tc>
          <w:tcPr/>
          <w:p>
            <w:pPr>
              <w:pStyle w:val="Compact"/>
            </w:pPr>
            <w:r>
              <w:t xml:space="preserve">1 plants</w:t>
            </w:r>
          </w:p>
        </w:tc>
        <w:tc>
          <w:tcPr/>
          <w:p>
            <w:pPr>
              <w:pStyle w:val="Compact"/>
            </w:pPr>
            <w:r>
              <w:t xml:space="preserve">14.3%</w:t>
            </w:r>
          </w:p>
        </w:tc>
      </w:tr>
      <w:tr>
        <w:tc>
          <w:tcPr/>
          <w:p>
            <w:pPr>
              <w:pStyle w:val="Compact"/>
            </w:pPr>
            <w:r>
              <w:t xml:space="preserve">9</w:t>
            </w:r>
          </w:p>
        </w:tc>
        <w:tc>
          <w:tcPr/>
          <w:p>
            <w:pPr>
              <w:pStyle w:val="Compact"/>
            </w:pPr>
            <w:r>
              <w:t xml:space="preserve">lasiodiplodia</w:t>
            </w:r>
          </w:p>
        </w:tc>
        <w:tc>
          <w:tcPr/>
          <w:p>
            <w:pPr>
              <w:pStyle w:val="Compact"/>
            </w:pPr>
            <w:r>
              <w:t xml:space="preserve">Endophytic ⚠ Pathogen</w:t>
            </w:r>
          </w:p>
        </w:tc>
        <w:tc>
          <w:tcPr/>
          <w:p>
            <w:pPr>
              <w:pStyle w:val="Compact"/>
            </w:pPr>
            <w:r>
              <w:t xml:space="preserve">1 plants</w:t>
            </w:r>
          </w:p>
        </w:tc>
        <w:tc>
          <w:tcPr/>
          <w:p>
            <w:pPr>
              <w:pStyle w:val="Compact"/>
            </w:pPr>
            <w:r>
              <w:t xml:space="preserve">14.3%</w:t>
            </w:r>
          </w:p>
        </w:tc>
      </w:tr>
      <w:tr>
        <w:tc>
          <w:tcPr/>
          <w:p>
            <w:pPr>
              <w:pStyle w:val="Compact"/>
            </w:pPr>
            <w:r>
              <w:t xml:space="preserve">10</w:t>
            </w:r>
          </w:p>
        </w:tc>
        <w:tc>
          <w:tcPr/>
          <w:p>
            <w:pPr>
              <w:pStyle w:val="Compact"/>
            </w:pPr>
            <w:r>
              <w:t xml:space="preserve">phyllosticta</w:t>
            </w:r>
          </w:p>
        </w:tc>
        <w:tc>
          <w:tcPr/>
          <w:p>
            <w:pPr>
              <w:pStyle w:val="Compact"/>
            </w:pPr>
            <w:r>
              <w:t xml:space="preserve">Saprotrophic ⚠ Pathogen</w:t>
            </w:r>
          </w:p>
        </w:tc>
        <w:tc>
          <w:tcPr/>
          <w:p>
            <w:pPr>
              <w:pStyle w:val="Compact"/>
            </w:pPr>
            <w:r>
              <w:t xml:space="preserve">1 plants</w:t>
            </w:r>
          </w:p>
        </w:tc>
        <w:tc>
          <w:tcPr/>
          <w:p>
            <w:pPr>
              <w:pStyle w:val="Compact"/>
            </w:pPr>
            <w:r>
              <w:t xml:space="preserve">14.3%</w:t>
            </w:r>
          </w:p>
        </w:tc>
      </w:tr>
    </w:tbl>
    <w:p>
      <w:pPr>
        <w:pStyle w:val="BodyText"/>
      </w:pPr>
      <w:r>
        <w:t xml:space="preserve">⚠</w:t>
      </w:r>
      <w:r>
        <w:t xml:space="preserve"> </w:t>
      </w:r>
      <w:r>
        <w:rPr>
          <w:b/>
          <w:bCs/>
        </w:rPr>
        <w:t xml:space="preserve">Dual-Lifestyle Fungi</w:t>
      </w:r>
      <w:r>
        <w:t xml:space="preserve">: Some fungi have both beneficial (decomposition, nutrient cycling) and pathogenic (disease-causing) roles. While they contribute to the beneficial fungi network (included in M5 score), they may cause leaf spots, fruit rot, or other diseases under favorable conditions.</w:t>
      </w:r>
    </w:p>
    <w:p>
      <w:pPr>
        <w:pStyle w:val="BodyText"/>
      </w:pPr>
      <w:r>
        <w:rPr>
          <w:b/>
          <w:bCs/>
        </w:rPr>
        <w:t xml:space="preserve">Network Hubs (most connected plants):</w:t>
      </w:r>
    </w:p>
    <w:tbl>
      <w:tblPr>
        <w:tblStyle w:val="Table"/>
        <w:tblW w:type="pct" w:w="5000"/>
        <w:tblLayout w:type="fixed"/>
        <w:tblLook w:firstRow="1" w:lastRow="0" w:firstColumn="0" w:lastColumn="0" w:noHBand="0" w:noVBand="0" w:val="0020"/>
      </w:tblPr>
      <w:tblGrid>
        <w:gridCol w:w="972"/>
        <w:gridCol w:w="1806"/>
        <w:gridCol w:w="694"/>
        <w:gridCol w:w="694"/>
        <w:gridCol w:w="1667"/>
        <w:gridCol w:w="2084"/>
      </w:tblGrid>
      <w:tr>
        <w:trPr>
          <w:tblHeader w:val="on"/>
        </w:trPr>
        <w:tc>
          <w:tcPr/>
          <w:p>
            <w:pPr>
              <w:pStyle w:val="Compact"/>
            </w:pPr>
            <w:r>
              <w:t xml:space="preserve">Plant</w:t>
            </w:r>
          </w:p>
        </w:tc>
        <w:tc>
          <w:tcPr/>
          <w:p>
            <w:pPr>
              <w:pStyle w:val="Compact"/>
            </w:pPr>
            <w:r>
              <w:t xml:space="preserve">Total Fungi</w:t>
            </w:r>
          </w:p>
        </w:tc>
        <w:tc>
          <w:tcPr/>
          <w:p>
            <w:pPr>
              <w:pStyle w:val="Compact"/>
            </w:pPr>
            <w:r>
              <w:t xml:space="preserve">AMF</w:t>
            </w:r>
          </w:p>
        </w:tc>
        <w:tc>
          <w:tcPr/>
          <w:p>
            <w:pPr>
              <w:pStyle w:val="Compact"/>
            </w:pPr>
            <w:r>
              <w:t xml:space="preserve">EMF</w:t>
            </w:r>
          </w:p>
        </w:tc>
        <w:tc>
          <w:tcPr/>
          <w:p>
            <w:pPr>
              <w:pStyle w:val="Compact"/>
            </w:pPr>
            <w:r>
              <w:t xml:space="preserve">Endophytic</w:t>
            </w:r>
          </w:p>
        </w:tc>
        <w:tc>
          <w:tcPr/>
          <w:p>
            <w:pPr>
              <w:pStyle w:val="Compact"/>
            </w:pPr>
            <w:r>
              <w:t xml:space="preserve">Saprotrophic</w:t>
            </w:r>
          </w:p>
        </w:tc>
      </w:tr>
      <w:tr>
        <w:tc>
          <w:tcPr/>
          <w:p>
            <w:pPr>
              <w:pStyle w:val="Compact"/>
            </w:pPr>
            <w:r>
              <w:t xml:space="preserve">Sporobolus compositus (Composite Dropseed)</w:t>
            </w:r>
          </w:p>
        </w:tc>
        <w:tc>
          <w:tcPr/>
          <w:p>
            <w:pPr>
              <w:pStyle w:val="Compact"/>
            </w:pPr>
            <w:r>
              <w:t xml:space="preserve">10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10</w:t>
            </w:r>
          </w:p>
        </w:tc>
      </w:tr>
      <w:tr>
        <w:tc>
          <w:tcPr/>
          <w:p>
            <w:pPr>
              <w:pStyle w:val="Compact"/>
            </w:pPr>
            <w:r>
              <w:t xml:space="preserve">Alyxia ruscifolia (Chain Fruit)</w:t>
            </w:r>
          </w:p>
        </w:tc>
        <w:tc>
          <w:tcPr/>
          <w:p>
            <w:pPr>
              <w:pStyle w:val="Compact"/>
            </w:pPr>
            <w:r>
              <w:t xml:space="preserve">3</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3</w:t>
            </w:r>
          </w:p>
        </w:tc>
      </w:tr>
      <w:tr>
        <w:tc>
          <w:tcPr/>
          <w:p>
            <w:pPr>
              <w:pStyle w:val="Compact"/>
            </w:pPr>
            <w:r>
              <w:t xml:space="preserve">Carex mucronata</w:t>
            </w:r>
          </w:p>
        </w:tc>
        <w:tc>
          <w:tcPr/>
          <w:p>
            <w:pPr>
              <w:pStyle w:val="Compact"/>
            </w:pPr>
            <w:r>
              <w:t xml:space="preserve">2</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Senna artemisioides (Silver Cassia)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Eucalyptus melanophloia (Silver-leaved Ironbark) ⚠️</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Hibbertia diffusa (Wedge Guinea Flower) ⚠️</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Juncus usitatus (Australian Rush) ⚠️</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bl>
    <w:p>
      <w:pPr>
        <w:pStyle w:val="BodyText"/>
      </w:pPr>
      <w:r>
        <w:t xml:space="preserve">⚠️</w:t>
      </w:r>
      <w:r>
        <w:t xml:space="preserve"> </w:t>
      </w:r>
      <w:r>
        <w:rPr>
          <w:b/>
          <w:bCs/>
        </w:rPr>
        <w:t xml:space="preserve">Data Completeness Note:</w:t>
      </w:r>
      <w:r>
        <w:t xml:space="preserve"> </w:t>
      </w:r>
      <w:r>
        <w:t xml:space="preserve">Plants marked with ⚠️ have no interaction data in this dimension. This likely indicates a data gap rather than true ecological absence.</w:t>
      </w:r>
    </w:p>
    <w:bookmarkEnd w:id="19"/>
    <w:bookmarkEnd w:id="20"/>
    <w:bookmarkStart w:id="21" w:name="structural-diversity-m6---46.1100"/>
    <w:p>
      <w:pPr>
        <w:pStyle w:val="Heading3"/>
      </w:pPr>
      <w:r>
        <w:t xml:space="preserve">Structural Diversity [M6 - 46.1/100]</w:t>
      </w:r>
    </w:p>
    <w:p>
      <w:pPr>
        <w:pStyle w:val="FirstParagraph"/>
      </w:pPr>
      <w:r>
        <w:t xml:space="preserve">3 growth forms spanning 19.8m height range (46th percentile)</w:t>
      </w:r>
      <w:r>
        <w:br/>
      </w:r>
      <w:r>
        <w:rPr>
          <w:b/>
          <w:bCs/>
        </w:rPr>
        <w:t xml:space="preserve">Vertical Stratification (Quality: 0.36 - Poor):</w:t>
      </w:r>
    </w:p>
    <w:p>
      <w:pPr>
        <w:pStyle w:val="BodyText"/>
      </w:pPr>
      <w:r>
        <w:rPr>
          <w:b/>
          <w:bCs/>
        </w:rPr>
        <w:t xml:space="preserve">Canopy Layer (&gt;15m):</w:t>
      </w:r>
      <w:r>
        <w:t xml:space="preserve"> </w:t>
      </w:r>
      <w:r>
        <w:t xml:space="preserve">- Eucalyptus melanophloia (Silver-leaved Ironbark): 20.0m, EIVE-L: 8.2 (sun-loving ⚠)</w:t>
      </w:r>
    </w:p>
    <w:p>
      <w:pPr>
        <w:pStyle w:val="BodyText"/>
      </w:pPr>
      <w:r>
        <w:rPr>
          <w:b/>
          <w:bCs/>
        </w:rPr>
        <w:t xml:space="preserve">Understory (5-15m):</w:t>
      </w:r>
      <w:r>
        <w:t xml:space="preserve"> </w:t>
      </w:r>
      <w:r>
        <w:t xml:space="preserve">- Alyxia ruscifolia (Chain Fruit): 5.0m, EIVE-L: 7.4 (flexible)</w:t>
      </w:r>
    </w:p>
    <w:p>
      <w:pPr>
        <w:pStyle w:val="BodyText"/>
      </w:pPr>
      <w:r>
        <w:rPr>
          <w:b/>
          <w:bCs/>
        </w:rPr>
        <w:t xml:space="preserve">Shrub Layer (1-5m):</w:t>
      </w:r>
      <w:r>
        <w:t xml:space="preserve"> </w:t>
      </w:r>
      <w:r>
        <w:t xml:space="preserve">- Senna artemisioides (Silver Cassia): 2.6m, EIVE-L: 8.7 (sun-loving ⚠)</w:t>
      </w:r>
      <w:r>
        <w:t xml:space="preserve"> </w:t>
      </w:r>
      <w:r>
        <w:t xml:space="preserve">- Juncus usitatus (Australian Rush): 1.1m, EIVE-L: 7.1 (flexible)</w:t>
      </w:r>
    </w:p>
    <w:p>
      <w:pPr>
        <w:pStyle w:val="BodyText"/>
      </w:pPr>
      <w:r>
        <w:rPr>
          <w:b/>
          <w:bCs/>
        </w:rPr>
        <w:t xml:space="preserve">Ground Layer (&lt;1m):</w:t>
      </w:r>
      <w:r>
        <w:t xml:space="preserve"> </w:t>
      </w:r>
      <w:r>
        <w:t xml:space="preserve">- Sporobolus compositus (Composite Dropseed): 0.9m, EIVE-L: 8.3 (sun-loving ⚠)</w:t>
      </w:r>
      <w:r>
        <w:t xml:space="preserve"> </w:t>
      </w:r>
      <w:r>
        <w:t xml:space="preserve">- Hibbertia diffusa (Wedge Guinea Flower): 0.3m, EIVE-L: 6.9 (flexible)</w:t>
      </w:r>
      <w:r>
        <w:t xml:space="preserve"> </w:t>
      </w:r>
      <w:r>
        <w:t xml:space="preserve">- Carex mucronata: 0.2m, EIVE-L: 9.5 (sun-loving ⚠)</w:t>
      </w:r>
    </w:p>
    <w:p>
      <w:pPr>
        <w:pStyle w:val="BodyText"/>
      </w:pPr>
      <w:r>
        <w:rPr>
          <w:b/>
          <w:bCs/>
        </w:rPr>
        <w:t xml:space="preserve">Why this stratification has issues:</w:t>
      </w:r>
      <w:r>
        <w:t xml:space="preserve"> </w:t>
      </w:r>
      <w:r>
        <w:t xml:space="preserve">3 plants are flexible (EIVE-L 3.2-7.47) and tolerate partial shade. ⚠ 4 plants are sun-loving (EIVE-L &gt;7.47) and may be shaded out by taller plants.</w:t>
      </w:r>
    </w:p>
    <w:p>
      <w:pPr>
        <w:pStyle w:val="BodyText"/>
      </w:pPr>
      <w:r>
        <w:t xml:space="preserve">Moderate structural diversity - some layering present but coverage may be limited</w:t>
      </w:r>
    </w:p>
    <w:bookmarkEnd w:id="21"/>
    <w:bookmarkStart w:id="22" w:name="pollinator-support-m7---0.0100"/>
    <w:p>
      <w:pPr>
        <w:pStyle w:val="Heading3"/>
      </w:pPr>
      <w:r>
        <w:t xml:space="preserve">Pollinator Support [M7 - 0.0/100]</w:t>
      </w:r>
    </w:p>
    <w:p>
      <w:pPr>
        <w:pStyle w:val="FirstParagraph"/>
      </w:pPr>
      <w:r>
        <w:t xml:space="preserve">0th percentile - 0% coverage (0/7 plants have documented pollinators)</w:t>
      </w:r>
      <w:r>
        <w:br/>
      </w:r>
      <w:r>
        <w:t xml:space="preserve">Plants attract and support pollinator communities, ensuring reliable pollination services and promoting pollinator diversity. Limited pollinator support - few documented pollinators, may need to add pollinator-friendly plants</w:t>
      </w:r>
    </w:p>
    <w:bookmarkEnd w:id="22"/>
    <w:bookmarkEnd w:id="23"/>
    <w:bookmarkStart w:id="34" w:name="ecosystem-services"/>
    <w:p>
      <w:pPr>
        <w:pStyle w:val="Heading2"/>
      </w:pPr>
      <w:r>
        <w:t xml:space="preserve">Ecosystem Services</w:t>
      </w:r>
    </w:p>
    <w:p>
      <w:pPr>
        <w:pStyle w:val="FirstParagraph"/>
      </w:pPr>
      <w:r>
        <w:rPr>
          <w:i/>
          <w:iCs/>
        </w:rPr>
        <w:t xml:space="preserve">These ratings show how your guild contributes to important ecosystem functions based on plant traits and growth strategies.</w:t>
      </w:r>
    </w:p>
    <w:bookmarkStart w:id="24" w:name="net-primary-productivity-low"/>
    <w:p>
      <w:pPr>
        <w:pStyle w:val="Heading3"/>
      </w:pPr>
      <w:r>
        <w:t xml:space="preserve">⚠️ Net Primary Productivity [Low]</w:t>
      </w:r>
    </w:p>
    <w:p>
      <w:pPr>
        <w:pStyle w:val="FirstParagraph"/>
      </w:pPr>
      <w:r>
        <w:t xml:space="preserve">How much your plants grow and produce biomass each year. High productivity means more leaves, stems, and roots—providing food for wildlife, improving air quality, and creating a lush, thriving garden that captures more carbon from the atmosphere.</w:t>
      </w:r>
    </w:p>
    <w:bookmarkEnd w:id="24"/>
    <w:bookmarkStart w:id="25" w:name="decomposition-rate-low"/>
    <w:p>
      <w:pPr>
        <w:pStyle w:val="Heading3"/>
      </w:pPr>
      <w:r>
        <w:t xml:space="preserve">⚠️ Decomposition Rate [Low]</w:t>
      </w:r>
    </w:p>
    <w:p>
      <w:pPr>
        <w:pStyle w:val="FirstParagraph"/>
      </w:pPr>
      <w:r>
        <w:t xml:space="preserve">How quickly plant material breaks down and returns nutrients to the soil. Fast decomposition means nutrients cycle rapidly, keeping your soil fertile and reducing the need for external fertilizers. This supports healthy soil biology with active earthworms and microbes.</w:t>
      </w:r>
    </w:p>
    <w:bookmarkEnd w:id="25"/>
    <w:bookmarkStart w:id="26" w:name="nutrient-cycling-low"/>
    <w:p>
      <w:pPr>
        <w:pStyle w:val="Heading3"/>
      </w:pPr>
      <w:r>
        <w:t xml:space="preserve">⚠️ Nutrient Cycling [Low]</w:t>
      </w:r>
    </w:p>
    <w:p>
      <w:pPr>
        <w:pStyle w:val="FirstParagraph"/>
      </w:pPr>
      <w:r>
        <w:t xml:space="preserve">How efficiently nutrients move through your garden’s ecosystem—from soil to plants to decomposers and back to soil. Good cycling creates a self-sustaining system where nutrients are constantly recycled, reducing fertilizer dependency and creating resilient, healthy plants.</w:t>
      </w:r>
    </w:p>
    <w:bookmarkEnd w:id="26"/>
    <w:bookmarkStart w:id="27" w:name="nutrient-retention-moderate"/>
    <w:p>
      <w:pPr>
        <w:pStyle w:val="Heading3"/>
      </w:pPr>
      <w:r>
        <w:t xml:space="preserve">🔸 Nutrient Retention [Moderate]</w:t>
      </w:r>
    </w:p>
    <w:p>
      <w:pPr>
        <w:pStyle w:val="FirstParagraph"/>
      </w:pPr>
      <w:r>
        <w:t xml:space="preserve">How well plants and soil hold onto valuable nutrients instead of losing them to leaching or runoff. High retention means nutrients stay available for plant uptake longer, improving water quality downstream and reducing the need for frequent fertilizer applications.</w:t>
      </w:r>
    </w:p>
    <w:bookmarkEnd w:id="27"/>
    <w:bookmarkStart w:id="28" w:name="nutrient-loss-prevention-moderate"/>
    <w:p>
      <w:pPr>
        <w:pStyle w:val="Heading3"/>
      </w:pPr>
      <w:r>
        <w:t xml:space="preserve">✅ Nutrient Loss Prevention [Moderate]</w:t>
      </w:r>
    </w:p>
    <w:p>
      <w:pPr>
        <w:pStyle w:val="FirstParagraph"/>
      </w:pPr>
      <w:r>
        <w:t xml:space="preserve">How much your guild prevents nutrients from being washed away by rain or irrigation. Lower nutrient loss protects water quality in nearby streams and ponds, saves money on fertilizers, and keeps nutrients available for your plants rather than polluting waterways.</w:t>
      </w:r>
    </w:p>
    <w:bookmarkEnd w:id="28"/>
    <w:bookmarkStart w:id="29" w:name="carbon-storage-living-biomass-moderate"/>
    <w:p>
      <w:pPr>
        <w:pStyle w:val="Heading3"/>
      </w:pPr>
      <w:r>
        <w:t xml:space="preserve">🔸 Carbon Storage (Living Biomass) [Moderate]</w:t>
      </w:r>
    </w:p>
    <w:p>
      <w:pPr>
        <w:pStyle w:val="FirstParagraph"/>
      </w:pPr>
      <w:r>
        <w:t xml:space="preserve">How much carbon your plants store in their stems, leaves, and roots while they’re alive. Plants with large, dense growth capture more CO₂ from the air, helping combat climate change while creating habitat and shade. This is the</w:t>
      </w:r>
      <w:r>
        <w:t xml:space="preserve"> </w:t>
      </w:r>
      <w:r>
        <w:t xml:space="preserve">‘green carbon’</w:t>
      </w:r>
      <w:r>
        <w:t xml:space="preserve"> </w:t>
      </w:r>
      <w:r>
        <w:t xml:space="preserve">you can see and touch.</w:t>
      </w:r>
    </w:p>
    <w:bookmarkEnd w:id="29"/>
    <w:bookmarkStart w:id="30" w:name="carbon-storage-long-term-soil-very-high"/>
    <w:p>
      <w:pPr>
        <w:pStyle w:val="Heading3"/>
      </w:pPr>
      <w:r>
        <w:t xml:space="preserve">🌟 Carbon Storage (Long-term Soil) [Very High]</w:t>
      </w:r>
    </w:p>
    <w:p>
      <w:pPr>
        <w:pStyle w:val="FirstParagraph"/>
      </w:pPr>
      <w:r>
        <w:t xml:space="preserve">How much stable, long-lasting carbon your plants contribute to the soil through tough, slow-decomposing materials like woody tissues and waxy leaves. This</w:t>
      </w:r>
      <w:r>
        <w:t xml:space="preserve"> </w:t>
      </w:r>
      <w:r>
        <w:t xml:space="preserve">‘recalcitrant’</w:t>
      </w:r>
      <w:r>
        <w:t xml:space="preserve"> </w:t>
      </w:r>
      <w:r>
        <w:t xml:space="preserve">carbon stays in soil for decades or centuries, providing lasting climate benefits and improving soil structure.</w:t>
      </w:r>
    </w:p>
    <w:bookmarkEnd w:id="30"/>
    <w:bookmarkStart w:id="31" w:name="total-carbon-storage-very-high"/>
    <w:p>
      <w:pPr>
        <w:pStyle w:val="Heading3"/>
      </w:pPr>
      <w:r>
        <w:t xml:space="preserve">🌟 Total Carbon Storage [Very High]</w:t>
      </w:r>
    </w:p>
    <w:p>
      <w:pPr>
        <w:pStyle w:val="FirstParagraph"/>
      </w:pPr>
      <w:r>
        <w:t xml:space="preserve">The combined climate benefit from both living plant biomass and long-term soil carbon. High total storage means your guild acts as a powerful carbon sink, removing CO₂ from the atmosphere both quickly (through growth) and permanently (through soil enrichment).</w:t>
      </w:r>
    </w:p>
    <w:bookmarkEnd w:id="31"/>
    <w:bookmarkStart w:id="32" w:name="soil-erosion-protection-moderate"/>
    <w:p>
      <w:pPr>
        <w:pStyle w:val="Heading3"/>
      </w:pPr>
      <w:r>
        <w:t xml:space="preserve">🔸 Soil Erosion Protection [Moderate]</w:t>
      </w:r>
    </w:p>
    <w:p>
      <w:pPr>
        <w:pStyle w:val="FirstParagraph"/>
      </w:pPr>
      <w:r>
        <w:t xml:space="preserve">How well your plants anchor the soil and prevent it from washing or blowing away. Good protection comes from extensive root systems and ground cover that hold soil in place during storms, preserving your topsoil—the most fertile layer—and preventing sediment pollution in waterways.</w:t>
      </w:r>
    </w:p>
    <w:bookmarkEnd w:id="32"/>
    <w:bookmarkStart w:id="33" w:name="ℹ-nitrogen-fixation-unable-to-classify"/>
    <w:p>
      <w:pPr>
        <w:pStyle w:val="Heading3"/>
      </w:pPr>
      <w:r>
        <w:t xml:space="preserve">ℹ️ Nitrogen Fixation [Unable to Classify]</w:t>
      </w:r>
    </w:p>
    <w:p>
      <w:pPr>
        <w:pStyle w:val="FirstParagraph"/>
      </w:pPr>
      <w:r>
        <w:t xml:space="preserve">Whether your guild includes legumes or other plants that partner with bacteria to capture nitrogen from the air and convert it into plant-usable forms. This natural fertilizer factory can provide 25-75+ pounds of nitrogen per acre per year, reducing or eliminating the need for synthetic fertilizers.</w:t>
      </w:r>
    </w:p>
    <w:bookmarkEnd w:id="33"/>
    <w:bookmarkEnd w:id="34"/>
    <w:bookmarkStart w:id="35" w:name="warnings"/>
    <w:p>
      <w:pPr>
        <w:pStyle w:val="Heading2"/>
      </w:pPr>
      <w:r>
        <w:t xml:space="preserve">Warnings</w:t>
      </w:r>
    </w:p>
    <w:p>
      <w:pPr>
        <w:pStyle w:val="FirstParagraph"/>
      </w:pPr>
      <w:r>
        <w:t xml:space="preserve">⚠️</w:t>
      </w:r>
      <w:r>
        <w:t xml:space="preserve"> </w:t>
      </w:r>
      <w:r>
        <w:rPr>
          <w:b/>
          <w:bCs/>
        </w:rPr>
        <w:t xml:space="preserve">Soil pH incompatibility detected</w:t>
      </w:r>
    </w:p>
    <w:p>
      <w:pPr>
        <w:pStyle w:val="BodyText"/>
      </w:pPr>
      <w:r>
        <w:t xml:space="preserve">EIVE R range: 5.1-9.1 (difference: 4.0 units)</w:t>
      </w:r>
    </w:p>
    <w:p>
      <w:pPr>
        <w:pStyle w:val="BodyText"/>
      </w:pPr>
      <w:r>
        <w:t xml:space="preserve">Plant pH preferences:</w:t>
      </w:r>
      <w:r>
        <w:t xml:space="preserve"> </w:t>
      </w:r>
      <w:r>
        <w:t xml:space="preserve">Alyxia ruscifolia (Chain Fruit): Neutral (pH 6-7)</w:t>
      </w:r>
      <w:r>
        <w:t xml:space="preserve"> </w:t>
      </w:r>
      <w:r>
        <w:t xml:space="preserve">Carex mucronata: Strongly Alkaline (pH &gt;8)</w:t>
      </w:r>
      <w:r>
        <w:t xml:space="preserve"> </w:t>
      </w:r>
      <w:r>
        <w:t xml:space="preserve">Eucalyptus melanophloia (Silver-leaved Ironbark): Neutral (pH 6-7)</w:t>
      </w:r>
      <w:r>
        <w:t xml:space="preserve"> </w:t>
      </w:r>
      <w:r>
        <w:t xml:space="preserve">Hibbertia diffusa (Wedge Guinea Flower): Slightly Acidic (pH 5-6)</w:t>
      </w:r>
      <w:r>
        <w:t xml:space="preserve"> </w:t>
      </w:r>
      <w:r>
        <w:t xml:space="preserve">Juncus usitatus (Australian Rush): Neutral (pH 6-7)</w:t>
      </w:r>
      <w:r>
        <w:t xml:space="preserve"> </w:t>
      </w:r>
      <w:r>
        <w:t xml:space="preserve">Senna artemisioides (Silver Cassia): Neutral (pH 6-7)</w:t>
      </w:r>
      <w:r>
        <w:t xml:space="preserve"> </w:t>
      </w:r>
      <w:r>
        <w:t xml:space="preserve">Sporobolus compositus (Composite Dropseed): Neutral (pH 6-7)</w:t>
      </w:r>
      <w:r>
        <w:br/>
      </w:r>
      <w:r>
        <w:rPr>
          <w:i/>
          <w:iCs/>
        </w:rPr>
        <w:t xml:space="preserve">Advice:</w:t>
      </w:r>
      <w:r>
        <w:t xml:space="preserve"> </w:t>
      </w:r>
      <w:r>
        <w:t xml:space="preserve">Strong pH incompatibility. Consider separating plants into distinct beds with appropriate soil amendments.</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2025-11-26T13:11:27Z</dcterms:created>
  <dcterms:modified xsi:type="dcterms:W3CDTF">2025-11-26T13:11:27Z</dcterms:modified>
</cp:coreProperties>
</file>

<file path=docProps/custom.xml><?xml version="1.0" encoding="utf-8"?>
<Properties xmlns="http://schemas.openxmlformats.org/officeDocument/2006/custom-properties" xmlns:vt="http://schemas.openxmlformats.org/officeDocument/2006/docPropsVTypes"/>
</file>