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7A8C"/>
          <w:sz w:val="28"/>
          <w:szCs w:val="28"/>
        </w:rPr>
        <w:t xml:space="preserve">GRAYLOCK DIGITAL</w:t>
      </w:r>
    </w:p>
    <w:p>
      <w:pPr>
        <w:spacing w:after="480"/>
        <w:jc w:val="center"/>
      </w:pPr>
      <w:r>
        <w:rPr>
          <w:color w:val="595959"/>
          <w:sz w:val="24"/>
          <w:szCs w:val="24"/>
        </w:rPr>
        <w:t xml:space="preserve">Website Compliance Copy &amp; Build Plan</w:t>
      </w:r>
    </w:p>
    <w:p>
      <w:pPr>
        <w:spacing w:after="240"/>
        <w:jc w:val="center"/>
      </w:pPr>
      <w:r>
        <w:rPr>
          <w:b/>
          <w:bCs/>
          <w:color w:val="0F2A4A"/>
          <w:sz w:val="56"/>
          <w:szCs w:val="56"/>
        </w:rPr>
        <w:t xml:space="preserve">graylockdigital.com</w:t>
      </w:r>
    </w:p>
    <w:p>
      <w:pPr>
        <w:spacing w:after="480"/>
        <w:jc w:val="center"/>
      </w:pPr>
      <w:r>
        <w:rPr>
          <w:i/>
          <w:iCs/>
          <w:color w:val="595959"/>
          <w:sz w:val="24"/>
          <w:szCs w:val="24"/>
        </w:rPr>
        <w:t xml:space="preserve">Page-by-page implementation guide with suggested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4"/>
              <w:left w:val="single" w:color="1F7A8C" w:sz="16"/>
              <w:bottom w:val="single" w:color="1F7A8C" w:sz="4"/>
              <w:right w:val="single" w:color="1F7A8C" w:sz="4"/>
            </w:tcBorders>
            <w:shd w:fill="EAF2F5" w:val="clear"/>
            <w:tcMar>
              <w:top w:type="dxa" w:w="160"/>
              <w:left w:type="dxa" w:w="200"/>
              <w:bottom w:type="dxa" w:w="160"/>
              <w:right w:type="dxa" w:w="200"/>
            </w:tcMar>
          </w:tcPr>
          <w:p>
            <w:pPr>
              <w:spacing w:after="80"/>
            </w:pPr>
            <w:r>
              <w:rPr>
                <w:b/>
                <w:bCs/>
                <w:color w:val="1F7A8C"/>
                <w:sz w:val="22"/>
                <w:szCs w:val="22"/>
              </w:rPr>
              <w:t xml:space="preserve">How to use this document</w:t>
            </w:r>
          </w:p>
          <w:p>
            <w:pPr>
              <w:spacing w:line="280"/>
            </w:pPr>
            <w:r>
              <w:rPr>
                <w:sz w:val="22"/>
                <w:szCs w:val="22"/>
              </w:rPr>
              <w:t xml:space="preserve">This is a build plan for the public-facing graylockdigital.com website. Each section tells you (1) which page on the site, (2) where on that page the new content goes, (3) the exact copy to use, and (4) any visual or layout notes. The goal: prospects in regulated industries see immediately that we already think about compliance — without us overpromising legal outcomes we can't guarantee.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3E0" w:val="clear"/>
            <w:tcMar>
              <w:top w:type="dxa" w:w="160"/>
              <w:left w:type="dxa" w:w="200"/>
              <w:bottom w:type="dxa" w:w="160"/>
              <w:right w:type="dxa" w:w="200"/>
            </w:tcMar>
          </w:tcPr>
          <w:p>
            <w:pPr>
              <w:spacing w:after="80"/>
            </w:pPr>
            <w:r>
              <w:rPr>
                <w:b/>
                <w:bCs/>
                <w:color w:val="D97706"/>
                <w:sz w:val="22"/>
                <w:szCs w:val="22"/>
              </w:rPr>
              <w:t xml:space="preserve">Legal positioning note — read first</w:t>
            </w:r>
          </w:p>
          <w:p>
            <w:pPr>
              <w:spacing w:line="280"/>
            </w:pPr>
            <w:r>
              <w:rPr>
                <w:sz w:val="22"/>
                <w:szCs w:val="22"/>
              </w:rPr>
              <w:t xml:space="preserve">We are deliberately positioning Graylock as a website partner who builds COMPLIANCE-AWARE websites — not as a compliance authority or legal guarantor. The copy below uses phrases like "we build to," "we implement," and "we structure your site so that" rather than "we make your site compliant." That language difference matters: ultimate compliance responsibility rests with the licensed professional (the doctor, the contractor, the CPA), and our contracts should reflect that. The copy in this document is written to be both confident and defensible.</w:t>
            </w:r>
          </w:p>
        </w:tc>
      </w:tr>
    </w:tbl>
    <w:p>
      <w:r>
        <w:t xml:space="preserve"/>
      </w:r>
    </w:p>
    <w:p>
      <w:pPr>
        <w:spacing w:before="240"/>
        <w:jc w:val="center"/>
      </w:pPr>
      <w:r>
        <w:rPr>
          <w:i/>
          <w:iCs/>
          <w:color w:val="595959"/>
          <w:sz w:val="18"/>
          <w:szCs w:val="18"/>
        </w:rPr>
        <w:t xml:space="preserve">Not legal advice. Have an attorney review final website language before publication.</w:t>
      </w:r>
    </w:p>
    <w:p>
      <w:pPr>
        <w:pStyle w:val="Heading1"/>
        <w:pageBreakBefore/>
        <w:spacing w:after="240" w:before="0"/>
      </w:pPr>
      <w:r>
        <w:t xml:space="preserve">What's in this document</w:t>
      </w:r>
    </w:p>
    <w:p>
      <w:pPr>
        <w:spacing w:after="120" w:line="300"/>
      </w:pPr>
      <w:r>
        <w:t xml:space="preserve">Eleven sections. The first two cover the homepage and How It Works page (universal compliance messaging). The next eight cover each industry landing page individually. The last is a new dedicated /compliance page.</w:t>
      </w:r>
    </w:p>
    <w:p>
      <w:r>
        <w:t xml:space="preserve"/>
      </w:r>
    </w:p>
    <w:p>
      <w:pPr>
        <w:spacing w:after="40"/>
      </w:pPr>
      <w:r>
        <w:rPr>
          <w:b/>
          <w:bCs/>
          <w:color w:val="1F7A8C"/>
        </w:rPr>
        <w:t xml:space="preserve">1  </w:t>
      </w:r>
      <w:r>
        <w:rPr>
          <w:b/>
          <w:bCs/>
        </w:rPr>
        <w:t xml:space="preserve">Homepage</w:t>
      </w:r>
    </w:p>
    <w:p>
      <w:pPr>
        <w:spacing w:after="120"/>
      </w:pPr>
      <w:r>
        <w:rPr>
          <w:color w:val="595959"/>
          <w:sz w:val="20"/>
          <w:szCs w:val="20"/>
        </w:rPr>
        <w:t xml:space="preserve">         Two new sections + footer trust strip</w:t>
      </w:r>
    </w:p>
    <w:p>
      <w:pPr>
        <w:spacing w:after="40"/>
      </w:pPr>
      <w:r>
        <w:rPr>
          <w:b/>
          <w:bCs/>
          <w:color w:val="1F7A8C"/>
        </w:rPr>
        <w:t xml:space="preserve">2  </w:t>
      </w:r>
      <w:r>
        <w:rPr>
          <w:b/>
          <w:bCs/>
        </w:rPr>
        <w:t xml:space="preserve">How It Works</w:t>
      </w:r>
    </w:p>
    <w:p>
      <w:pPr>
        <w:spacing w:after="120"/>
      </w:pPr>
      <w:r>
        <w:rPr>
          <w:color w:val="595959"/>
          <w:sz w:val="20"/>
          <w:szCs w:val="20"/>
        </w:rPr>
        <w:t xml:space="preserve">         New "Compliance is part of the build" section</w:t>
      </w:r>
    </w:p>
    <w:p>
      <w:pPr>
        <w:spacing w:after="40"/>
      </w:pPr>
      <w:r>
        <w:rPr>
          <w:b/>
          <w:bCs/>
          <w:color w:val="1F7A8C"/>
        </w:rPr>
        <w:t xml:space="preserve">3  </w:t>
      </w:r>
      <w:r>
        <w:rPr>
          <w:b/>
          <w:bCs/>
        </w:rPr>
        <w:t xml:space="preserve">Home Builders page</w:t>
      </w:r>
    </w:p>
    <w:p>
      <w:pPr>
        <w:spacing w:after="120"/>
      </w:pPr>
      <w:r>
        <w:rPr>
          <w:color w:val="595959"/>
          <w:sz w:val="20"/>
          <w:szCs w:val="20"/>
        </w:rPr>
        <w:t xml:space="preserve">         Compliance section specific to contractor licensing</w:t>
      </w:r>
    </w:p>
    <w:p>
      <w:pPr>
        <w:spacing w:after="40"/>
      </w:pPr>
      <w:r>
        <w:rPr>
          <w:b/>
          <w:bCs/>
          <w:color w:val="1F7A8C"/>
        </w:rPr>
        <w:t xml:space="preserve">4  </w:t>
      </w:r>
      <w:r>
        <w:rPr>
          <w:b/>
          <w:bCs/>
        </w:rPr>
        <w:t xml:space="preserve">Industrial Construction page</w:t>
      </w:r>
    </w:p>
    <w:p>
      <w:pPr>
        <w:spacing w:after="120"/>
      </w:pPr>
      <w:r>
        <w:rPr>
          <w:color w:val="595959"/>
          <w:sz w:val="20"/>
          <w:szCs w:val="20"/>
        </w:rPr>
        <w:t xml:space="preserve">         Compliance section for trades and licensure</w:t>
      </w:r>
    </w:p>
    <w:p>
      <w:pPr>
        <w:spacing w:after="40"/>
      </w:pPr>
      <w:r>
        <w:rPr>
          <w:b/>
          <w:bCs/>
          <w:color w:val="1F7A8C"/>
        </w:rPr>
        <w:t xml:space="preserve">5  </w:t>
      </w:r>
      <w:r>
        <w:rPr>
          <w:b/>
          <w:bCs/>
        </w:rPr>
        <w:t xml:space="preserve">Accounting Firms page</w:t>
      </w:r>
    </w:p>
    <w:p>
      <w:pPr>
        <w:spacing w:after="120"/>
      </w:pPr>
      <w:r>
        <w:rPr>
          <w:color w:val="595959"/>
          <w:sz w:val="20"/>
          <w:szCs w:val="20"/>
        </w:rPr>
        <w:t xml:space="preserve">         Compliance section for AICPA and state board rules</w:t>
      </w:r>
    </w:p>
    <w:p>
      <w:pPr>
        <w:spacing w:after="40"/>
      </w:pPr>
      <w:r>
        <w:rPr>
          <w:b/>
          <w:bCs/>
          <w:color w:val="1F7A8C"/>
        </w:rPr>
        <w:t xml:space="preserve">6  </w:t>
      </w:r>
      <w:r>
        <w:rPr>
          <w:b/>
          <w:bCs/>
        </w:rPr>
        <w:t xml:space="preserve">Other Local Service Businesses page</w:t>
      </w:r>
    </w:p>
    <w:p>
      <w:pPr>
        <w:spacing w:after="120"/>
      </w:pPr>
      <w:r>
        <w:rPr>
          <w:color w:val="595959"/>
          <w:sz w:val="20"/>
          <w:szCs w:val="20"/>
        </w:rPr>
        <w:t xml:space="preserve">         Compliance section for trust-based pros</w:t>
      </w:r>
    </w:p>
    <w:p>
      <w:pPr>
        <w:spacing w:after="40"/>
      </w:pPr>
      <w:r>
        <w:rPr>
          <w:b/>
          <w:bCs/>
          <w:color w:val="1F7A8C"/>
        </w:rPr>
        <w:t xml:space="preserve">7  </w:t>
      </w:r>
      <w:r>
        <w:rPr>
          <w:b/>
          <w:bCs/>
        </w:rPr>
        <w:t xml:space="preserve">Psychologists page</w:t>
      </w:r>
    </w:p>
    <w:p>
      <w:pPr>
        <w:spacing w:after="120"/>
      </w:pPr>
      <w:r>
        <w:rPr>
          <w:color w:val="595959"/>
          <w:sz w:val="20"/>
          <w:szCs w:val="20"/>
        </w:rPr>
        <w:t xml:space="preserve">         Compliance section — APA, state psych boards</w:t>
      </w:r>
    </w:p>
    <w:p>
      <w:pPr>
        <w:spacing w:after="40"/>
      </w:pPr>
      <w:r>
        <w:rPr>
          <w:b/>
          <w:bCs/>
          <w:color w:val="1F7A8C"/>
        </w:rPr>
        <w:t xml:space="preserve">8  </w:t>
      </w:r>
      <w:r>
        <w:rPr>
          <w:b/>
          <w:bCs/>
        </w:rPr>
        <w:t xml:space="preserve">Physical Therapists page</w:t>
      </w:r>
    </w:p>
    <w:p>
      <w:pPr>
        <w:spacing w:after="120"/>
      </w:pPr>
      <w:r>
        <w:rPr>
          <w:color w:val="595959"/>
          <w:sz w:val="20"/>
          <w:szCs w:val="20"/>
        </w:rPr>
        <w:t xml:space="preserve">         Compliance section — state PT boards, FTC</w:t>
      </w:r>
    </w:p>
    <w:p>
      <w:pPr>
        <w:spacing w:after="40"/>
      </w:pPr>
      <w:r>
        <w:rPr>
          <w:b/>
          <w:bCs/>
          <w:color w:val="1F7A8C"/>
        </w:rPr>
        <w:t xml:space="preserve">9  </w:t>
      </w:r>
      <w:r>
        <w:rPr>
          <w:b/>
          <w:bCs/>
        </w:rPr>
        <w:t xml:space="preserve">Chiropractors page</w:t>
      </w:r>
    </w:p>
    <w:p>
      <w:pPr>
        <w:spacing w:after="120"/>
      </w:pPr>
      <w:r>
        <w:rPr>
          <w:color w:val="595959"/>
          <w:sz w:val="20"/>
          <w:szCs w:val="20"/>
        </w:rPr>
        <w:t xml:space="preserve">         Compliance section — state chiropractic boards</w:t>
      </w:r>
    </w:p>
    <w:p>
      <w:pPr>
        <w:spacing w:after="40"/>
      </w:pPr>
      <w:r>
        <w:rPr>
          <w:b/>
          <w:bCs/>
          <w:color w:val="1F7A8C"/>
        </w:rPr>
        <w:t xml:space="preserve">10  </w:t>
      </w:r>
      <w:r>
        <w:rPr>
          <w:b/>
          <w:bCs/>
        </w:rPr>
        <w:t xml:space="preserve">Optometrists / Dentists / Physicians pages</w:t>
      </w:r>
    </w:p>
    <w:p>
      <w:pPr>
        <w:spacing w:after="120"/>
      </w:pPr>
      <w:r>
        <w:rPr>
          <w:color w:val="595959"/>
          <w:sz w:val="20"/>
          <w:szCs w:val="20"/>
        </w:rPr>
        <w:t xml:space="preserve">         Shared template with vertical-specific swap-ins</w:t>
      </w:r>
    </w:p>
    <w:p>
      <w:pPr>
        <w:spacing w:after="40"/>
      </w:pPr>
      <w:r>
        <w:rPr>
          <w:b/>
          <w:bCs/>
          <w:color w:val="1F7A8C"/>
        </w:rPr>
        <w:t xml:space="preserve">11  </w:t>
      </w:r>
      <w:r>
        <w:rPr>
          <w:b/>
          <w:bCs/>
        </w:rPr>
        <w:t xml:space="preserve">NEW: /compliance page</w:t>
      </w:r>
    </w:p>
    <w:p>
      <w:pPr>
        <w:spacing w:after="120"/>
      </w:pPr>
      <w:r>
        <w:rPr>
          <w:color w:val="595959"/>
          <w:sz w:val="20"/>
          <w:szCs w:val="20"/>
        </w:rPr>
        <w:t xml:space="preserve">         Standalone deep-dive page (recommended)</w:t>
      </w:r>
    </w:p>
    <w:p>
      <w:pPr>
        <w:pStyle w:val="Heading1"/>
        <w:pageBreakBefore/>
        <w:spacing w:after="240" w:before="0"/>
      </w:pPr>
      <w:r>
        <w:t xml:space="preserve">1. Homepage — graylockdigital.com</w:t>
      </w:r>
    </w:p>
    <w:p>
      <w:pPr>
        <w:spacing w:after="120" w:line="300"/>
      </w:pPr>
      <w:r>
        <w:t xml:space="preserve">Three additions to the homepage. None of them require restructuring existing sections; each can drop in as-is.</w:t>
      </w:r>
    </w:p>
    <w:p>
      <w:pPr>
        <w:pStyle w:val="Heading2"/>
        <w:spacing w:after="140" w:before="280"/>
      </w:pPr>
      <w:r>
        <w:t xml:space="preserve">1A. New homepage trust strip (above the fold or just below)</w:t>
      </w:r>
    </w:p>
    <w:p>
      <w:pPr>
        <w:pStyle w:val="Heading3"/>
        <w:spacing w:after="100" w:before="200"/>
      </w:pPr>
      <w:r>
        <w:t xml:space="preserve">Where to place it</w:t>
      </w:r>
    </w:p>
    <w:p>
      <w:pPr>
        <w:spacing w:after="120" w:line="300"/>
      </w:pPr>
      <w:r>
        <w:t xml:space="preserve">Immediately below the hero section, above the existing "who we serve" or services overview. This is a thin horizontal band — a visual breath between the hero promise and the services list — that signals "we know what your industry requires" before the visitor scrolls into details.</w:t>
      </w:r>
    </w:p>
    <w:p>
      <w:pPr>
        <w:pStyle w:val="Heading3"/>
        <w:spacing w:after="100" w:before="200"/>
      </w:pPr>
      <w:r>
        <w:t xml:space="preserve">Layout</w:t>
      </w:r>
    </w:p>
    <w:p>
      <w:pPr>
        <w:pStyle w:val="ListParagraph"/>
        <w:numPr>
          <w:ilvl w:val="0"/>
          <w:numId w:val="2"/>
        </w:numPr>
        <w:spacing w:after="80" w:line="300"/>
      </w:pPr>
      <w:r>
        <w:t xml:space="preserve">Single horizontal row, four columns on desktop, two columns on tablet, stacked on mobile.</w:t>
      </w:r>
    </w:p>
    <w:p>
      <w:pPr>
        <w:pStyle w:val="ListParagraph"/>
        <w:numPr>
          <w:ilvl w:val="0"/>
          <w:numId w:val="2"/>
        </w:numPr>
        <w:spacing w:after="80" w:line="300"/>
      </w:pPr>
      <w:r>
        <w:t xml:space="preserve">Each column: small icon (20–24 px) + short label.</w:t>
      </w:r>
    </w:p>
    <w:p>
      <w:pPr>
        <w:pStyle w:val="ListParagraph"/>
        <w:numPr>
          <w:ilvl w:val="0"/>
          <w:numId w:val="2"/>
        </w:numPr>
        <w:spacing w:after="80" w:line="300"/>
      </w:pPr>
      <w:r>
        <w:t xml:space="preserve">Subtle background — light navy or off-white — to differentiate from sections above and below.</w:t>
      </w:r>
    </w:p>
    <w:p>
      <w:pPr>
        <w:pStyle w:val="ListParagraph"/>
        <w:numPr>
          <w:ilvl w:val="0"/>
          <w:numId w:val="2"/>
        </w:numPr>
        <w:spacing w:after="80" w:line="300"/>
      </w:pPr>
      <w:r>
        <w:t xml:space="preserve">No CTA in this strip; it's a credibility bar, not a conversion point.</w:t>
      </w:r>
    </w:p>
    <w:p>
      <w:pPr>
        <w:pStyle w:val="Heading3"/>
        <w:spacing w:after="100" w:before="200"/>
      </w:pPr>
      <w:r>
        <w:t xml:space="preserve">Content for the four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Trust strip — four columns, exact text</w:t>
            </w:r>
          </w:p>
          <w:p>
            <w:pPr>
              <w:spacing w:after="60" w:line="280"/>
              <w:ind w:left="240" w:hanging="240"/>
            </w:pPr>
            <w:r>
              <w:rPr>
                <w:b/>
                <w:bCs/>
                <w:color w:val="0F2A4A"/>
                <w:sz w:val="22"/>
                <w:szCs w:val="22"/>
              </w:rPr>
              <w:t xml:space="preserve">• </w:t>
            </w:r>
            <w:r>
              <w:rPr>
                <w:sz w:val="22"/>
                <w:szCs w:val="22"/>
              </w:rPr>
              <w:t xml:space="preserve">Column 1 (icon: shield) — "Built to WCAG 2.1 AA accessibility standards"</w:t>
            </w:r>
          </w:p>
          <w:p>
            <w:pPr>
              <w:spacing w:after="60" w:line="280"/>
              <w:ind w:left="240" w:hanging="240"/>
            </w:pPr>
            <w:r>
              <w:rPr>
                <w:b/>
                <w:bCs/>
                <w:color w:val="0F2A4A"/>
                <w:sz w:val="22"/>
                <w:szCs w:val="22"/>
              </w:rPr>
              <w:t xml:space="preserve">• </w:t>
            </w:r>
            <w:r>
              <w:rPr>
                <w:sz w:val="22"/>
                <w:szCs w:val="22"/>
              </w:rPr>
              <w:t xml:space="preserve">Column 2 (icon: lock) — "Privacy-first by default — multi-state compliant"</w:t>
            </w:r>
          </w:p>
          <w:p>
            <w:pPr>
              <w:spacing w:after="60" w:line="280"/>
              <w:ind w:left="240" w:hanging="240"/>
            </w:pPr>
            <w:r>
              <w:rPr>
                <w:b/>
                <w:bCs/>
                <w:color w:val="0F2A4A"/>
                <w:sz w:val="22"/>
                <w:szCs w:val="22"/>
              </w:rPr>
              <w:t xml:space="preserve">• </w:t>
            </w:r>
            <w:r>
              <w:rPr>
                <w:sz w:val="22"/>
                <w:szCs w:val="22"/>
              </w:rPr>
              <w:t xml:space="preserve">Column 3 (icon: badge/check) — "Industry-specific advertising rules built in"</w:t>
            </w:r>
          </w:p>
          <w:p>
            <w:pPr>
              <w:spacing w:after="60" w:line="280"/>
              <w:ind w:left="240" w:hanging="240"/>
            </w:pPr>
            <w:r>
              <w:rPr>
                <w:b/>
                <w:bCs/>
                <w:color w:val="0F2A4A"/>
                <w:sz w:val="22"/>
                <w:szCs w:val="22"/>
              </w:rPr>
              <w:t xml:space="preserve">• </w:t>
            </w:r>
            <w:r>
              <w:rPr>
                <w:sz w:val="22"/>
                <w:szCs w:val="22"/>
              </w:rPr>
              <w:t xml:space="preserve">Column 4 (icon: refresh/clock) — "Ongoing compliance monitoring as rules change"</w:t>
            </w:r>
          </w:p>
        </w:tc>
      </w:tr>
    </w:tbl>
    <w:p>
      <w:pPr>
        <w:pStyle w:val="Heading2"/>
        <w:spacing w:after="140" w:before="280"/>
      </w:pPr>
      <w:r>
        <w:t xml:space="preserve">1B. New homepage section — "Built for the rules your industry plays by"</w:t>
      </w:r>
    </w:p>
    <w:p>
      <w:pPr>
        <w:pStyle w:val="Heading3"/>
        <w:spacing w:after="100" w:before="200"/>
      </w:pPr>
      <w:r>
        <w:t xml:space="preserve">Where to place it</w:t>
      </w:r>
    </w:p>
    <w:p>
      <w:pPr>
        <w:spacing w:after="120" w:line="300"/>
      </w:pPr>
      <w:r>
        <w:t xml:space="preserve">After the services overview / industries-served section, before the testimonials or process preview. The narrative arc: visitor sees what Graylock does → sees who Graylock serves → THEN sees that Graylock builds for the regulatory reality of those industries → then proceeds to social proof and CTA.</w:t>
      </w:r>
    </w:p>
    <w:p>
      <w:pPr>
        <w:pStyle w:val="Heading3"/>
        <w:spacing w:after="100" w:before="200"/>
      </w:pPr>
      <w:r>
        <w:t xml:space="preserve">Layout</w:t>
      </w:r>
    </w:p>
    <w:p>
      <w:pPr>
        <w:pStyle w:val="ListParagraph"/>
        <w:numPr>
          <w:ilvl w:val="0"/>
          <w:numId w:val="2"/>
        </w:numPr>
        <w:spacing w:after="80" w:line="300"/>
      </w:pPr>
      <w:r>
        <w:t xml:space="preserve">Two-column layout on desktop, stacked on mobile.</w:t>
      </w:r>
    </w:p>
    <w:p>
      <w:pPr>
        <w:pStyle w:val="ListParagraph"/>
        <w:numPr>
          <w:ilvl w:val="0"/>
          <w:numId w:val="2"/>
        </w:numPr>
        <w:spacing w:after="80" w:line="300"/>
      </w:pPr>
      <w:r>
        <w:t xml:space="preserve">Left column: heading + body copy + CTA.</w:t>
      </w:r>
    </w:p>
    <w:p>
      <w:pPr>
        <w:pStyle w:val="ListParagraph"/>
        <w:numPr>
          <w:ilvl w:val="0"/>
          <w:numId w:val="2"/>
        </w:numPr>
        <w:spacing w:after="80" w:line="300"/>
      </w:pPr>
      <w:r>
        <w:t xml:space="preserve">Right column: a visual element. Options: (a) a stylized checklist graphic showing categories like "Federal," "State," "Industry," each with a checkmark; (b) a graphic of a US map with state-privacy-law states highlighted; (c) a clean diagram showing layered compliance (federal floor → state laws → industry rules).</w:t>
      </w:r>
    </w:p>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We build for the rules your industry plays by.</w:t>
            </w:r>
          </w:p>
        </w:tc>
      </w:tr>
    </w:tbl>
    <w:p>
      <w:pPr>
        <w:pStyle w:val="Heading3"/>
        <w:spacing w:after="100" w:before="200"/>
      </w:pPr>
      <w:r>
        <w:t xml:space="preserve">Body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Homepage body — "Built for the rules"</w:t>
            </w:r>
          </w:p>
          <w:p>
            <w:pPr>
              <w:spacing w:after="140" w:line="300"/>
            </w:pPr>
            <w:r>
              <w:rPr>
                <w:i w:val="false"/>
                <w:iCs w:val="false"/>
                <w:sz w:val="22"/>
                <w:szCs w:val="22"/>
              </w:rPr>
              <w:t xml:space="preserve">A website is the first place a regulator, a competitor, or an unhappy customer goes looking for problems. Missing license numbers, unsupported claims, an inaccessible site, a tracking pixel where it doesn't belong — these are the small things that turn into big consequences in a regulated industry.</w:t>
            </w:r>
          </w:p>
          <w:p>
            <w:pPr>
              <w:spacing w:after="140" w:line="300"/>
            </w:pPr>
            <w:r>
              <w:rPr>
                <w:i w:val="false"/>
                <w:iCs w:val="false"/>
                <w:sz w:val="22"/>
                <w:szCs w:val="22"/>
              </w:rPr>
              <w:t xml:space="preserve">Every Graylock site is built with three layers of compliance considerations baked in from day one. The federal floor — FTC truth-in-advertising, CAN-SPAM, the Telephone Consumer Protection Act, and ADA accessibility under WCAG 2.1 AA. The state layer — privacy laws like California's CCPA, Montana's MCDPA, and the twenty-plus other state privacy laws now in effect, plus state-specific advertising rules where they apply. And the industry layer — the licensing-board, professional-association, and federal-agency rules that govern your specific profession.</w:t>
            </w:r>
          </w:p>
          <w:p>
            <w:pPr>
              <w:spacing w:after="0" w:line="300"/>
            </w:pPr>
            <w:r>
              <w:rPr>
                <w:i w:val="false"/>
                <w:iCs w:val="false"/>
                <w:sz w:val="22"/>
                <w:szCs w:val="22"/>
              </w:rPr>
              <w:t xml:space="preserve">We're not your attorney and we're not your compliance officer. We're the website partner who makes sure those rules shape your site from the start, instead of being something you have to retrofit after a demand letter shows up.</w:t>
            </w:r>
          </w:p>
        </w:tc>
      </w:tr>
    </w:tbl>
    <w:p>
      <w:pPr>
        <w:pStyle w:val="Heading3"/>
        <w:spacing w:after="100" w:before="200"/>
      </w:pPr>
      <w:r>
        <w:t xml:space="preserv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Button text and link</w:t>
            </w:r>
          </w:p>
          <w:p>
            <w:pPr>
              <w:spacing w:after="60" w:line="280"/>
              <w:ind w:left="240" w:hanging="240"/>
            </w:pPr>
            <w:r>
              <w:rPr>
                <w:b/>
                <w:bCs/>
                <w:color w:val="0F2A4A"/>
                <w:sz w:val="22"/>
                <w:szCs w:val="22"/>
              </w:rPr>
              <w:t xml:space="preserve">• </w:t>
            </w:r>
            <w:r>
              <w:rPr>
                <w:sz w:val="22"/>
                <w:szCs w:val="22"/>
              </w:rPr>
              <w:t xml:space="preserve">Button text: "See how compliance is built into our process"</w:t>
            </w:r>
          </w:p>
          <w:p>
            <w:pPr>
              <w:spacing w:after="60" w:line="280"/>
              <w:ind w:left="240" w:hanging="240"/>
            </w:pPr>
            <w:r>
              <w:rPr>
                <w:b/>
                <w:bCs/>
                <w:color w:val="0F2A4A"/>
                <w:sz w:val="22"/>
                <w:szCs w:val="22"/>
              </w:rPr>
              <w:t xml:space="preserve">• </w:t>
            </w:r>
            <w:r>
              <w:rPr>
                <w:sz w:val="22"/>
                <w:szCs w:val="22"/>
              </w:rPr>
              <w:t xml:space="preserve">Link target: /how-it-works (or /compliance if the new dedicated page is built — see Section 11)</w:t>
            </w:r>
          </w:p>
        </w:tc>
      </w:tr>
    </w:tbl>
    <w:p>
      <w:pPr>
        <w:pStyle w:val="Heading2"/>
        <w:spacing w:after="140" w:before="280"/>
      </w:pPr>
      <w:r>
        <w:t xml:space="preserve">1C. Footer trust line</w:t>
      </w:r>
    </w:p>
    <w:p>
      <w:pPr>
        <w:pStyle w:val="Heading3"/>
        <w:spacing w:after="100" w:before="200"/>
      </w:pPr>
      <w:r>
        <w:t xml:space="preserve">Where to place it</w:t>
      </w:r>
    </w:p>
    <w:p>
      <w:pPr>
        <w:spacing w:after="120" w:line="300"/>
      </w:pPr>
      <w:r>
        <w:t xml:space="preserve">Add a single line in the global footer, above the copyright/legal line. Small text — same style as the copyright. This persists across every page on graylockdigital.com.</w:t>
      </w:r>
    </w:p>
    <w:p>
      <w:pPr>
        <w:pStyle w:val="Heading3"/>
        <w:spacing w:after="100" w:before="200"/>
      </w:pPr>
      <w:r>
        <w:t xml:space="preserve">Exact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Footer line</w:t>
            </w:r>
          </w:p>
          <w:p>
            <w:pPr>
              <w:spacing w:after="0" w:line="300"/>
            </w:pPr>
            <w:r>
              <w:rPr>
                <w:i w:val="false"/>
                <w:iCs w:val="false"/>
                <w:sz w:val="22"/>
                <w:szCs w:val="22"/>
              </w:rPr>
              <w:t xml:space="preserve">Graylock builds websites that meet WCAG 2.1 AA accessibility standards and are structured for compliance with applicable federal, state, and industry-specific marketing rules. Final compliance with all laws and regulations remains the responsibility of the website owner.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3E0" w:val="clear"/>
            <w:tcMar>
              <w:top w:type="dxa" w:w="160"/>
              <w:left w:type="dxa" w:w="200"/>
              <w:bottom w:type="dxa" w:w="160"/>
              <w:right w:type="dxa" w:w="200"/>
            </w:tcMar>
          </w:tcPr>
          <w:p>
            <w:pPr>
              <w:spacing w:after="80"/>
            </w:pPr>
            <w:r>
              <w:rPr>
                <w:b/>
                <w:bCs/>
                <w:color w:val="D97706"/>
                <w:sz w:val="22"/>
                <w:szCs w:val="22"/>
              </w:rPr>
              <w:t xml:space="preserve">Why that second sentence matters</w:t>
            </w:r>
          </w:p>
          <w:p>
            <w:pPr>
              <w:spacing w:line="280"/>
            </w:pPr>
            <w:r>
              <w:rPr>
                <w:sz w:val="22"/>
                <w:szCs w:val="22"/>
              </w:rPr>
              <w:t xml:space="preserve">The disclaimer in the footer line is what allows the rest of the site to use confident compliance language without exposing Graylock to liability for client behavior we don't control. An attorney would call this a "limitation of warranty" and want it visible site-wide. Don't soften this sentence — it's the seatbelt for everything else.</w:t>
            </w:r>
          </w:p>
        </w:tc>
      </w:tr>
    </w:tbl>
    <w:p>
      <w:pPr>
        <w:pStyle w:val="Heading1"/>
        <w:pageBreakBefore/>
        <w:spacing w:after="240" w:before="0"/>
      </w:pPr>
      <w:r>
        <w:t xml:space="preserve">2. How It Works page — /how-it-works</w:t>
      </w:r>
    </w:p>
    <w:p>
      <w:pPr>
        <w:spacing w:after="120" w:line="300"/>
      </w:pPr>
      <w:r>
        <w:t xml:space="preserve">Add one new section to this page. The current How It Works page presumably walks the visitor through the Graylock process step by step. The new section sits inside that process narrative — making the point that compliance is not a phase, it's a thread running through the whole build.</w:t>
      </w:r>
    </w:p>
    <w:p>
      <w:pPr>
        <w:pStyle w:val="Heading2"/>
        <w:spacing w:after="140" w:before="280"/>
      </w:pPr>
      <w:r>
        <w:t xml:space="preserve">2A. New section — "Compliance is part of the build, not a checklist we hand back"</w:t>
      </w:r>
    </w:p>
    <w:p>
      <w:pPr>
        <w:pStyle w:val="Heading3"/>
        <w:spacing w:after="100" w:before="200"/>
      </w:pPr>
      <w:r>
        <w:t xml:space="preserve">Where to place it</w:t>
      </w:r>
    </w:p>
    <w:p>
      <w:pPr>
        <w:spacing w:after="120" w:line="300"/>
      </w:pPr>
      <w:r>
        <w:t xml:space="preserve">Place this section after the "design" or "build" step in your existing process narrative, but before the "launch" step. The reasoning: by this point in the page, the visitor has seen the creative and technical work; introducing compliance here positions it as a parallel discipline, not an afterthought tacked on at the end.</w:t>
      </w:r>
    </w:p>
    <w:p>
      <w:pPr>
        <w:pStyle w:val="Heading3"/>
        <w:spacing w:after="100" w:before="200"/>
      </w:pPr>
      <w:r>
        <w:t xml:space="preserve">Layout</w:t>
      </w:r>
    </w:p>
    <w:p>
      <w:pPr>
        <w:pStyle w:val="ListParagraph"/>
        <w:numPr>
          <w:ilvl w:val="0"/>
          <w:numId w:val="2"/>
        </w:numPr>
        <w:spacing w:after="80" w:line="300"/>
      </w:pPr>
      <w:r>
        <w:t xml:space="preserve">Full-width section with a contrasting background (slightly darker than surrounding sections to set it apart).</w:t>
      </w:r>
    </w:p>
    <w:p>
      <w:pPr>
        <w:pStyle w:val="ListParagraph"/>
        <w:numPr>
          <w:ilvl w:val="0"/>
          <w:numId w:val="2"/>
        </w:numPr>
        <w:spacing w:after="80" w:line="300"/>
      </w:pPr>
      <w:r>
        <w:t xml:space="preserve">H2 heading at top.</w:t>
      </w:r>
    </w:p>
    <w:p>
      <w:pPr>
        <w:pStyle w:val="ListParagraph"/>
        <w:numPr>
          <w:ilvl w:val="0"/>
          <w:numId w:val="2"/>
        </w:numPr>
        <w:spacing w:after="80" w:line="300"/>
      </w:pPr>
      <w:r>
        <w:t xml:space="preserve">Lead paragraph beneath the heading.</w:t>
      </w:r>
    </w:p>
    <w:p>
      <w:pPr>
        <w:pStyle w:val="ListParagraph"/>
        <w:numPr>
          <w:ilvl w:val="0"/>
          <w:numId w:val="2"/>
        </w:numPr>
        <w:spacing w:after="80" w:line="300"/>
      </w:pPr>
      <w:r>
        <w:t xml:space="preserve">Three-column subsection below the lead, each column with a small icon, sub-heading, and 2–3 sentences.</w:t>
      </w:r>
    </w:p>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Compliance is part of the build, not a checklist we hand back.</w:t>
            </w:r>
          </w:p>
        </w:tc>
      </w:tr>
    </w:tbl>
    <w:p>
      <w:pPr>
        <w:pStyle w:val="Heading3"/>
        <w:spacing w:after="100" w:before="200"/>
      </w:pPr>
      <w:r>
        <w:t xml:space="preserve">Lead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How It Works — lead paragraph</w:t>
            </w:r>
          </w:p>
          <w:p>
            <w:pPr>
              <w:spacing w:after="0" w:line="300"/>
            </w:pPr>
            <w:r>
              <w:rPr>
                <w:i w:val="false"/>
                <w:iCs w:val="false"/>
                <w:sz w:val="22"/>
                <w:szCs w:val="22"/>
              </w:rPr>
              <w:t xml:space="preserve">Most agencies treat compliance as a final-stage review — a list of disclaimers added to a finished site so the lawyer signs off. We treat it as a design constraint that shapes decisions from the first wireframe forward. By the time we hand off, the rules that govern your industry have already informed how the site is structured, what it says, and what it tracks.</w:t>
            </w:r>
          </w:p>
        </w:tc>
      </w:tr>
    </w:tbl>
    <w:p>
      <w:pPr>
        <w:pStyle w:val="Heading3"/>
        <w:spacing w:after="100" w:before="200"/>
      </w:pPr>
      <w:r>
        <w:t xml:space="preserve">Three subsection columns</w:t>
      </w:r>
    </w:p>
    <w:p>
      <w:pPr>
        <w:spacing w:after="120" w:line="300"/>
      </w:pPr>
      <w:r>
        <w:t xml:space="preserve">Each column gets a sub-heading (h3 or h4 depending on your design system) and two short paragraphs.</w:t>
      </w:r>
    </w:p>
    <w:p>
      <w:pPr>
        <w:pStyle w:val="Heading4"/>
        <w:spacing w:after="80" w:before="160"/>
      </w:pPr>
      <w:r>
        <w:t xml:space="preserve">Column 1 — "The federal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Column 1 — federal</w:t>
            </w:r>
          </w:p>
          <w:p>
            <w:pPr>
              <w:spacing w:after="140" w:line="300"/>
            </w:pPr>
            <w:r>
              <w:rPr>
                <w:i w:val="false"/>
                <w:iCs w:val="false"/>
                <w:sz w:val="22"/>
                <w:szCs w:val="22"/>
              </w:rPr>
              <w:t xml:space="preserve">Every Graylock site is built to a baseline of federal marketing law: FTC truth-in-advertising standards, CAN-SPAM for any commercial email, the Telephone Consumer Protection Act for any phone or text outreach, and the ADA's accessibility expectations under WCAG 2.1 Level AA.</w:t>
            </w:r>
          </w:p>
          <w:p>
            <w:pPr>
              <w:spacing w:after="0" w:line="300"/>
            </w:pPr>
            <w:r>
              <w:rPr>
                <w:i w:val="false"/>
                <w:iCs w:val="false"/>
                <w:sz w:val="22"/>
                <w:szCs w:val="22"/>
              </w:rPr>
              <w:t xml:space="preserve">These aren't add-ons. The contact forms, the email templates, the testimonial sections, the alt text on images — all of it is structured against this floor before it ever goes live.</w:t>
            </w:r>
          </w:p>
        </w:tc>
      </w:tr>
    </w:tbl>
    <w:p>
      <w:pPr>
        <w:pStyle w:val="Heading4"/>
        <w:spacing w:after="80" w:before="160"/>
      </w:pPr>
      <w:r>
        <w:t xml:space="preserve">Column 2 — "The state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Column 2 — state</w:t>
            </w:r>
          </w:p>
          <w:p>
            <w:pPr>
              <w:spacing w:after="140" w:line="300"/>
            </w:pPr>
            <w:r>
              <w:rPr>
                <w:i w:val="false"/>
                <w:iCs w:val="false"/>
                <w:sz w:val="22"/>
                <w:szCs w:val="22"/>
              </w:rPr>
              <w:t xml:space="preserve">Twenty-plus states now have comprehensive consumer privacy laws — California, Virginia, Colorado, Texas, Montana, and growing. Most of them require a privacy notice, the ability to honor opt-out signals, and a way for visitors to make data requests.</w:t>
            </w:r>
          </w:p>
          <w:p>
            <w:pPr>
              <w:spacing w:after="0" w:line="300"/>
            </w:pPr>
            <w:r>
              <w:rPr>
                <w:i w:val="false"/>
                <w:iCs w:val="false"/>
                <w:sz w:val="22"/>
                <w:szCs w:val="22"/>
              </w:rPr>
              <w:t xml:space="preserve">We configure each site for the strictest state law that touches your business, not just the one your office is in. If your customers are in California or your data subjects are in Montana, your site is set up to handle that — automatically, from launch day.</w:t>
            </w:r>
          </w:p>
        </w:tc>
      </w:tr>
    </w:tbl>
    <w:p>
      <w:pPr>
        <w:pStyle w:val="Heading4"/>
        <w:spacing w:after="80" w:before="160"/>
      </w:pPr>
      <w:r>
        <w:t xml:space="preserve">Column 3 — "Your industry's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Column 3 — industry</w:t>
            </w:r>
          </w:p>
          <w:p>
            <w:pPr>
              <w:spacing w:after="140" w:line="300"/>
            </w:pPr>
            <w:r>
              <w:rPr>
                <w:i w:val="false"/>
                <w:iCs w:val="false"/>
                <w:sz w:val="22"/>
                <w:szCs w:val="22"/>
              </w:rPr>
              <w:t xml:space="preserve">Beyond the federal and state baseline, your profession has its own rules. State contractor boards require license numbers in advertising. State medical and dental boards have specific rules about testimonials, before-and-after photos, and specialty claims. The AICPA and state accountancy boards govern what a CPA firm can say.</w:t>
            </w:r>
          </w:p>
          <w:p>
            <w:pPr>
              <w:spacing w:after="0" w:line="300"/>
            </w:pPr>
            <w:r>
              <w:rPr>
                <w:i w:val="false"/>
                <w:iCs w:val="false"/>
                <w:sz w:val="22"/>
                <w:szCs w:val="22"/>
              </w:rPr>
              <w:t xml:space="preserve">We've done the homework on the verticals we serve. Your site reflects what your licensing body actually requires — including the parts your competitors usually get wrong.</w:t>
            </w:r>
          </w:p>
        </w:tc>
      </w:tr>
    </w:tbl>
    <w:p>
      <w:pPr>
        <w:pStyle w:val="Heading3"/>
        <w:spacing w:after="100" w:before="200"/>
      </w:pPr>
      <w:r>
        <w:t xml:space="preserve">Closing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Below the three columns, single closing line</w:t>
            </w:r>
          </w:p>
          <w:p>
            <w:pPr>
              <w:spacing w:after="60" w:line="280"/>
              <w:ind w:left="240" w:hanging="240"/>
            </w:pPr>
            <w:r>
              <w:rPr>
                <w:b/>
                <w:bCs/>
                <w:color w:val="0F2A4A"/>
                <w:sz w:val="22"/>
                <w:szCs w:val="22"/>
              </w:rPr>
              <w:t xml:space="preserve">• </w:t>
            </w:r>
            <w:r>
              <w:rPr>
                <w:sz w:val="22"/>
                <w:szCs w:val="22"/>
              </w:rPr>
              <w:t xml:space="preserve">When the rules change — and they do — Graylock OS catches it. We update your site as part of the service, not as a change order.</w:t>
            </w:r>
          </w:p>
        </w:tc>
      </w:tr>
    </w:tbl>
    <w:p>
      <w:pPr>
        <w:pStyle w:val="Heading1"/>
        <w:pageBreakBefore/>
        <w:spacing w:after="240" w:before="0"/>
      </w:pPr>
      <w:r>
        <w:t xml:space="preserve">3. Home Builders page — /industries/home-builders</w:t>
      </w:r>
    </w:p>
    <w:p>
      <w:pPr>
        <w:spacing w:after="120" w:line="300"/>
      </w:pPr>
      <w:r>
        <w:t xml:space="preserve">Add a single "How we build for [vertical] compliance" section. Same structure on every industry page; the content is what changes. This consistency is itself a signal — every prospect, regardless of industry, sees us treating their regulatory reality seriously.</w:t>
      </w:r>
    </w:p>
    <w:p>
      <w:pPr>
        <w:pStyle w:val="Heading2"/>
        <w:spacing w:after="140" w:before="280"/>
      </w:pPr>
      <w:r>
        <w:t xml:space="preserve">3A. New section — "How we build a home-builder website that protects your license"</w:t>
      </w:r>
    </w:p>
    <w:p>
      <w:pPr>
        <w:pStyle w:val="Heading3"/>
        <w:spacing w:after="100" w:before="200"/>
      </w:pPr>
      <w:r>
        <w:t xml:space="preserve">Where to place it</w:t>
      </w:r>
    </w:p>
    <w:p>
      <w:pPr>
        <w:spacing w:after="120" w:line="300"/>
      </w:pPr>
      <w:r>
        <w:t xml:space="preserve">Place this section after the services overview but before the pricing or CTA section. Visitors land on the page expecting to learn what you do for home builders; they're then introduced to features and benefits; THEN they see that you understand the rules of their industry — which becomes a major reason to choose you over a generic web shop.</w:t>
      </w:r>
    </w:p>
    <w:p>
      <w:pPr>
        <w:pStyle w:val="Heading3"/>
        <w:spacing w:after="100" w:before="200"/>
      </w:pPr>
      <w:r>
        <w:t xml:space="preserve">Layout</w:t>
      </w:r>
    </w:p>
    <w:p>
      <w:pPr>
        <w:pStyle w:val="ListParagraph"/>
        <w:numPr>
          <w:ilvl w:val="0"/>
          <w:numId w:val="2"/>
        </w:numPr>
        <w:spacing w:after="80" w:line="300"/>
      </w:pPr>
      <w:r>
        <w:t xml:space="preserve">Full-width section with subtle background contrast.</w:t>
      </w:r>
    </w:p>
    <w:p>
      <w:pPr>
        <w:pStyle w:val="ListParagraph"/>
        <w:numPr>
          <w:ilvl w:val="0"/>
          <w:numId w:val="2"/>
        </w:numPr>
        <w:spacing w:after="80" w:line="300"/>
      </w:pPr>
      <w:r>
        <w:t xml:space="preserve">H2 heading at top.</w:t>
      </w:r>
    </w:p>
    <w:p>
      <w:pPr>
        <w:pStyle w:val="ListParagraph"/>
        <w:numPr>
          <w:ilvl w:val="0"/>
          <w:numId w:val="2"/>
        </w:numPr>
        <w:spacing w:after="80" w:line="300"/>
      </w:pPr>
      <w:r>
        <w:t xml:space="preserve">Lead paragraph (the "why this matters" framing).</w:t>
      </w:r>
    </w:p>
    <w:p>
      <w:pPr>
        <w:pStyle w:val="ListParagraph"/>
        <w:numPr>
          <w:ilvl w:val="0"/>
          <w:numId w:val="2"/>
        </w:numPr>
        <w:spacing w:after="80" w:line="300"/>
      </w:pPr>
      <w:r>
        <w:t xml:space="preserve">4–6 specific items below — each as a short heading + 2-sentence explanation. Use small checkmark icons or numbered bullets, not generic dots.</w:t>
      </w:r>
    </w:p>
    <w:p>
      <w:pPr>
        <w:pStyle w:val="ListParagraph"/>
        <w:numPr>
          <w:ilvl w:val="0"/>
          <w:numId w:val="2"/>
        </w:numPr>
        <w:spacing w:after="80" w:line="300"/>
      </w:pPr>
      <w:r>
        <w:t xml:space="preserve">Closing reassurance line at the bottom.</w:t>
      </w:r>
    </w:p>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How we build a home-builder website that protects your license.</w:t>
            </w:r>
          </w:p>
        </w:tc>
      </w:tr>
    </w:tbl>
    <w:p>
      <w:pPr>
        <w:pStyle w:val="Heading3"/>
        <w:spacing w:after="100" w:before="200"/>
      </w:pPr>
      <w:r>
        <w:t xml:space="preserve">Lead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Home Builders — lead</w:t>
            </w:r>
          </w:p>
          <w:p>
            <w:pPr>
              <w:spacing w:after="0" w:line="300"/>
            </w:pPr>
            <w:r>
              <w:rPr>
                <w:i w:val="false"/>
                <w:iCs w:val="false"/>
                <w:sz w:val="22"/>
                <w:szCs w:val="22"/>
              </w:rPr>
              <w:t xml:space="preserve">Contractor licensing boards in most states explicitly cover websites in their definition of "advertising." That means the same rules that apply to a billboard or a yard sign apply to your homepage — and a missing license number, an overstated scope of services, or an unsupported claim about your work can trigger a citation. Your reputation took years to build; we make sure your website doesn't put your license at risk.</w:t>
            </w:r>
          </w:p>
        </w:tc>
      </w:tr>
    </w:tbl>
    <w:p>
      <w:pPr>
        <w:pStyle w:val="Heading3"/>
        <w:spacing w:after="100" w:before="200"/>
      </w:pPr>
      <w:r>
        <w:t xml:space="preserve">The specific items</w:t>
      </w:r>
    </w:p>
    <w:p>
      <w:pPr>
        <w:spacing w:after="120" w:line="300"/>
      </w:pPr>
      <w:r>
        <w:t xml:space="preserve">Each item is a small block with a strong sub-heading (in a contrasting color like teal) and two sentences underneath.</w:t>
      </w:r>
    </w:p>
    <w:p>
      <w:pPr>
        <w:pStyle w:val="Heading4"/>
        <w:spacing w:after="80" w:before="160"/>
      </w:pPr>
      <w:r>
        <w:t xml:space="preserve">Item 1 — License number, displayed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1</w:t>
            </w:r>
          </w:p>
          <w:p>
            <w:pPr>
              <w:spacing w:after="0" w:line="300"/>
            </w:pPr>
            <w:r>
              <w:rPr>
                <w:i w:val="false"/>
                <w:iCs w:val="false"/>
                <w:sz w:val="22"/>
                <w:szCs w:val="22"/>
              </w:rPr>
              <w:t xml:space="preserve">Your contractor registration or license number — and any specialty trade licenses your team holds — is displayed in the footer of every page, exactly the way your state board requires. The business name on the site matches the registered name on your license, exactly, because licensing boards have cited contractors for variations as small as adding "LLC" where it wasn't on the registration.</w:t>
            </w:r>
          </w:p>
        </w:tc>
      </w:tr>
    </w:tbl>
    <w:p>
      <w:pPr>
        <w:pStyle w:val="Heading4"/>
        <w:spacing w:after="80" w:before="160"/>
      </w:pPr>
      <w:r>
        <w:t xml:space="preserve">Item 2 — Services that match your licensed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2</w:t>
            </w:r>
          </w:p>
          <w:p>
            <w:pPr>
              <w:spacing w:after="0" w:line="300"/>
            </w:pPr>
            <w:r>
              <w:rPr>
                <w:i w:val="false"/>
                <w:iCs w:val="false"/>
                <w:sz w:val="22"/>
                <w:szCs w:val="22"/>
              </w:rPr>
              <w:t xml:space="preserve">We review every services page against your licensed classification. If you're a residential builder, we don't accidentally let you advertise commercial work. If your team includes a separately-licensed electrician or plumber, those licenses are credited specifically to the work they cover.</w:t>
            </w:r>
          </w:p>
        </w:tc>
      </w:tr>
    </w:tbl>
    <w:p>
      <w:pPr>
        <w:pStyle w:val="Heading4"/>
        <w:spacing w:after="80" w:before="160"/>
      </w:pPr>
      <w:r>
        <w:t xml:space="preserve">Item 3 — Claims you can actually back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3</w:t>
            </w:r>
          </w:p>
          <w:p>
            <w:pPr>
              <w:spacing w:after="0" w:line="300"/>
            </w:pPr>
            <w:r>
              <w:rPr>
                <w:i w:val="false"/>
                <w:iCs w:val="false"/>
                <w:sz w:val="22"/>
                <w:szCs w:val="22"/>
              </w:rPr>
              <w:t xml:space="preserve">"Award-winning," "30 years of experience," "the area's most trusted builder" — every objective claim on your site gets a substantiation note in our build documentation. If a board investigator or a competitor's attorney ever asks where the claim came from, the answer is on file before the site goes live.</w:t>
            </w:r>
          </w:p>
        </w:tc>
      </w:tr>
    </w:tbl>
    <w:p>
      <w:pPr>
        <w:pStyle w:val="Heading4"/>
        <w:spacing w:after="80" w:before="160"/>
      </w:pPr>
      <w:r>
        <w:t xml:space="preserve">Item 4 — "Bonded" and similar language, handled by state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4</w:t>
            </w:r>
          </w:p>
          <w:p>
            <w:pPr>
              <w:spacing w:after="0" w:line="300"/>
            </w:pPr>
            <w:r>
              <w:rPr>
                <w:i w:val="false"/>
                <w:iCs w:val="false"/>
                <w:sz w:val="22"/>
                <w:szCs w:val="22"/>
              </w:rPr>
              <w:t xml:space="preserve">Several states (California is the strictest) restrict or prohibit advertising the fact that you're bonded — the concern being that consumers misunderstand what a bond actually protects. We know the rule in your state and write the site accordingly, instead of using the boilerplate language a generic web shop would default to.</w:t>
            </w:r>
          </w:p>
        </w:tc>
      </w:tr>
    </w:tbl>
    <w:p>
      <w:pPr>
        <w:pStyle w:val="Heading4"/>
        <w:spacing w:after="80" w:before="160"/>
      </w:pPr>
      <w:r>
        <w:t xml:space="preserve">Item 5 — Project galleries with the right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5</w:t>
            </w:r>
          </w:p>
          <w:p>
            <w:pPr>
              <w:spacing w:after="0" w:line="300"/>
            </w:pPr>
            <w:r>
              <w:rPr>
                <w:i w:val="false"/>
                <w:iCs w:val="false"/>
                <w:sz w:val="22"/>
                <w:szCs w:val="22"/>
              </w:rPr>
              <w:t xml:space="preserve">Photos of completed homes — especially ones where the property is identifiable — should be published with written permission from the homeowner. Our build process includes a simple homeowner photo-release template you can use, and we keep track of which projects are cleared for public display.</w:t>
            </w:r>
          </w:p>
        </w:tc>
      </w:tr>
    </w:tbl>
    <w:p>
      <w:pPr>
        <w:pStyle w:val="Heading4"/>
        <w:spacing w:after="80" w:before="160"/>
      </w:pPr>
      <w:r>
        <w:t xml:space="preserve">Item 6 — Pricing pages that don't trip the FTC junk-fee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6</w:t>
            </w:r>
          </w:p>
          <w:p>
            <w:pPr>
              <w:spacing w:after="0" w:line="300"/>
            </w:pPr>
            <w:r>
              <w:rPr>
                <w:i w:val="false"/>
                <w:iCs w:val="false"/>
                <w:sz w:val="22"/>
                <w:szCs w:val="22"/>
              </w:rPr>
              <w:t xml:space="preserve">If you publish "starting at" pricing or fixed-fee packages, we make sure the displayed price reflects what a customer actually pays — including any mandatory add-ons. The FTC's 2025 rule on unfair fees is currently focused on lodging and ticketing, but the principle (no hidden fees, total price up front) is applied across all advertising review and we apply it from the start.</w:t>
            </w:r>
          </w:p>
        </w:tc>
      </w:tr>
    </w:tbl>
    <w:p>
      <w:pPr>
        <w:pStyle w:val="Heading3"/>
        <w:spacing w:after="100" w:before="200"/>
      </w:pPr>
      <w:r>
        <w:t xml:space="preserve">Closing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Closing reassurance</w:t>
            </w:r>
          </w:p>
          <w:p>
            <w:pPr>
              <w:spacing w:after="60" w:line="280"/>
              <w:ind w:left="240" w:hanging="240"/>
            </w:pPr>
            <w:r>
              <w:rPr>
                <w:b/>
                <w:bCs/>
                <w:color w:val="0F2A4A"/>
                <w:sz w:val="22"/>
                <w:szCs w:val="22"/>
              </w:rPr>
              <w:t xml:space="preserve">• </w:t>
            </w:r>
            <w:r>
              <w:rPr>
                <w:sz w:val="22"/>
                <w:szCs w:val="22"/>
              </w:rPr>
              <w:t xml:space="preserve">Final compliance with your state contractor board's rules is your responsibility — that's true for any contractor with any website. Our job is to make sure your site is built so that responsibility is easy to meet, not a moving target.</w:t>
            </w:r>
          </w:p>
        </w:tc>
      </w:tr>
    </w:tbl>
    <w:p>
      <w:pPr>
        <w:pStyle w:val="Heading1"/>
        <w:pageBreakBefore/>
        <w:spacing w:after="240" w:before="0"/>
      </w:pPr>
      <w:r>
        <w:t xml:space="preserve">4. Industrial Construction page — /industries/industrial-construction</w:t>
      </w:r>
    </w:p>
    <w:p>
      <w:pPr>
        <w:pStyle w:val="Heading2"/>
        <w:spacing w:after="140" w:before="280"/>
      </w:pPr>
      <w:r>
        <w:t xml:space="preserve">4A. New section — "How we build an industrial construction website that respects every license you hold"</w:t>
      </w:r>
    </w:p>
    <w:p>
      <w:pPr>
        <w:pStyle w:val="Heading3"/>
        <w:spacing w:after="100" w:before="200"/>
      </w:pPr>
      <w:r>
        <w:t xml:space="preserve">Where to place it</w:t>
      </w:r>
    </w:p>
    <w:p>
      <w:pPr>
        <w:spacing w:after="120" w:line="300"/>
      </w:pPr>
      <w:r>
        <w:t xml:space="preserve">Same placement as Home Builders — after services overview, before pricing/CTA.</w:t>
      </w:r>
    </w:p>
    <w:p>
      <w:pPr>
        <w:pStyle w:val="Heading3"/>
        <w:spacing w:after="100" w:before="200"/>
      </w:pPr>
      <w:r>
        <w:t xml:space="preserve">Layout</w:t>
      </w:r>
    </w:p>
    <w:p>
      <w:pPr>
        <w:spacing w:after="120" w:line="300"/>
      </w:pPr>
      <w:r>
        <w:t xml:space="preserve">Same structure: H2 heading, lead paragraph, 5 specific items, closing line.</w:t>
      </w:r>
    </w:p>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How we build an industrial construction website that respects every license you hold.</w:t>
            </w:r>
          </w:p>
        </w:tc>
      </w:tr>
    </w:tbl>
    <w:p>
      <w:pPr>
        <w:pStyle w:val="Heading3"/>
        <w:spacing w:after="100" w:before="200"/>
      </w:pPr>
      <w:r>
        <w:t xml:space="preserve">Lead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Industrial Construction — lead</w:t>
            </w:r>
          </w:p>
          <w:p>
            <w:pPr>
              <w:spacing w:after="0" w:line="300"/>
            </w:pPr>
            <w:r>
              <w:rPr>
                <w:i w:val="false"/>
                <w:iCs w:val="false"/>
                <w:sz w:val="22"/>
                <w:szCs w:val="22"/>
              </w:rPr>
              <w:t xml:space="preserve">Industrial contractors and trades operate under more layered licensure than almost any other small business. State contractor registration. Trade-specific licenses for electricians, plumbers, mechanical contractors, structural specialists. OSHA recordkeeping that supports any safety claim you make. Specialty certifications like asbestos abatement that come with their own advertising rules. A website that ignores any of those layers is a citation waiting to happen — your competitors know this, and so do the regulators.</w:t>
            </w:r>
          </w:p>
        </w:tc>
      </w:tr>
    </w:tbl>
    <w:p>
      <w:pPr>
        <w:pStyle w:val="Heading4"/>
        <w:spacing w:after="80" w:before="160"/>
      </w:pPr>
      <w:r>
        <w:t xml:space="preserve">Item 1 — Every license, displayed by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1</w:t>
            </w:r>
          </w:p>
          <w:p>
            <w:pPr>
              <w:spacing w:after="0" w:line="300"/>
            </w:pPr>
            <w:r>
              <w:rPr>
                <w:i w:val="false"/>
                <w:iCs w:val="false"/>
                <w:sz w:val="22"/>
                <w:szCs w:val="22"/>
              </w:rPr>
              <w:t xml:space="preserve">Your master license, every trade-specific license your team holds, and any specialty certifications all appear in the footer with their numbers and issuing jurisdictions. Each capability page is reviewed against the licenses that actually authorize that work — so an HVAC capability page references HVAC licensure, not your general contractor registration.</w:t>
            </w:r>
          </w:p>
        </w:tc>
      </w:tr>
    </w:tbl>
    <w:p>
      <w:pPr>
        <w:pStyle w:val="Heading4"/>
        <w:spacing w:after="80" w:before="160"/>
      </w:pPr>
      <w:r>
        <w:t xml:space="preserve">Item 2 — Asbestos and environmental work, handled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2</w:t>
            </w:r>
          </w:p>
          <w:p>
            <w:pPr>
              <w:spacing w:after="0" w:line="300"/>
            </w:pPr>
            <w:r>
              <w:rPr>
                <w:i w:val="false"/>
                <w:iCs w:val="false"/>
                <w:sz w:val="22"/>
                <w:szCs w:val="22"/>
              </w:rPr>
              <w:t xml:space="preserve">If you do asbestos abatement, lead remediation, or other regulated environmental work, the website carries the certification numbers your state requires for advertising those services. In states like California, an asbestos ad without both the state asbestos certification number and the work registration number is a $100–$1,500 civil penalty per violation — we know that, and we don't let you ship a page that triggers it.</w:t>
            </w:r>
          </w:p>
        </w:tc>
      </w:tr>
    </w:tbl>
    <w:p>
      <w:pPr>
        <w:pStyle w:val="Heading4"/>
        <w:spacing w:after="80" w:before="160"/>
      </w:pPr>
      <w:r>
        <w:t xml:space="preserve">Item 3 — Safety claims with actual records behind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3</w:t>
            </w:r>
          </w:p>
          <w:p>
            <w:pPr>
              <w:spacing w:after="0" w:line="300"/>
            </w:pPr>
            <w:r>
              <w:rPr>
                <w:i w:val="false"/>
                <w:iCs w:val="false"/>
                <w:sz w:val="22"/>
                <w:szCs w:val="22"/>
              </w:rPr>
              <w:t xml:space="preserve">"Zero injuries since 2020," "award-winning safety record," "OSHA-compliant" — all claims that the FTC and OSHA take seriously. Before any safety claim goes on your site, our build documentation captures the source: which OSHA logs, which awarding body, which audit. If anyone ever asks, the answer is ready.</w:t>
            </w:r>
          </w:p>
        </w:tc>
      </w:tr>
    </w:tbl>
    <w:p>
      <w:pPr>
        <w:pStyle w:val="Heading4"/>
        <w:spacing w:after="80" w:before="160"/>
      </w:pPr>
      <w:r>
        <w:t xml:space="preserve">Item 4 — Environmental claims that hold up under FTC Green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4</w:t>
            </w:r>
          </w:p>
          <w:p>
            <w:pPr>
              <w:spacing w:after="0" w:line="300"/>
            </w:pPr>
            <w:r>
              <w:rPr>
                <w:i w:val="false"/>
                <w:iCs w:val="false"/>
                <w:sz w:val="22"/>
                <w:szCs w:val="22"/>
              </w:rPr>
              <w:t xml:space="preserve">"Green," "sustainable," "LEED-certified," "eco-friendly" — the FTC's Green Guides at 16 C.F.R. Part 260 require these claims to be specific and substantiated. We don't write generic "eco-friendly" copy; we write claims that point to specific certifications, projects, or measurable outcomes.</w:t>
            </w:r>
          </w:p>
        </w:tc>
      </w:tr>
    </w:tbl>
    <w:p>
      <w:pPr>
        <w:pStyle w:val="Heading4"/>
        <w:spacing w:after="80" w:before="160"/>
      </w:pPr>
      <w:r>
        <w:t xml:space="preserve">Item 5 — Capabilities scoped to what you're actually licensed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5</w:t>
            </w:r>
          </w:p>
          <w:p>
            <w:pPr>
              <w:spacing w:after="0" w:line="300"/>
            </w:pPr>
            <w:r>
              <w:rPr>
                <w:i w:val="false"/>
                <w:iCs w:val="false"/>
                <w:sz w:val="22"/>
                <w:szCs w:val="22"/>
              </w:rPr>
              <w:t xml:space="preserve">It's surprisingly easy for a marketing-focused web shop to write services pages that imply work outside your licensed scope. We treat your capabilities page as the legal document it functionally is — every service listed maps to a license your team currently holds, and we update it when your licensure changes.</w:t>
            </w:r>
          </w:p>
        </w:tc>
      </w:tr>
    </w:tbl>
    <w:p>
      <w:pPr>
        <w:pStyle w:val="Heading3"/>
        <w:spacing w:after="100" w:before="200"/>
      </w:pPr>
      <w:r>
        <w:t xml:space="preserve">Closing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Closing reassurance</w:t>
            </w:r>
          </w:p>
          <w:p>
            <w:pPr>
              <w:spacing w:after="60" w:line="280"/>
              <w:ind w:left="240" w:hanging="240"/>
            </w:pPr>
            <w:r>
              <w:rPr>
                <w:b/>
                <w:bCs/>
                <w:color w:val="0F2A4A"/>
                <w:sz w:val="22"/>
                <w:szCs w:val="22"/>
              </w:rPr>
              <w:t xml:space="preserve">• </w:t>
            </w:r>
            <w:r>
              <w:rPr>
                <w:sz w:val="22"/>
                <w:szCs w:val="22"/>
              </w:rPr>
              <w:t xml:space="preserve">Your licenses, certifications, and OSHA records are yours to maintain. Our job is to make sure your website tells your story without ever overstating what those credentials authorize.</w:t>
            </w:r>
          </w:p>
        </w:tc>
      </w:tr>
    </w:tbl>
    <w:p>
      <w:pPr>
        <w:pStyle w:val="Heading1"/>
        <w:pageBreakBefore/>
        <w:spacing w:after="240" w:before="0"/>
      </w:pPr>
      <w:r>
        <w:t xml:space="preserve">5. Accounting Firms page — /industries/accounting-firms</w:t>
      </w:r>
    </w:p>
    <w:p>
      <w:pPr>
        <w:pStyle w:val="Heading2"/>
        <w:spacing w:after="140" w:before="280"/>
      </w:pPr>
      <w:r>
        <w:t xml:space="preserve">5A. New section — "How we build a CPA website that the AICPA and your state board would recognize"</w:t>
      </w:r>
    </w:p>
    <w:p>
      <w:pPr>
        <w:pStyle w:val="Heading3"/>
        <w:spacing w:after="100" w:before="200"/>
      </w:pPr>
      <w:r>
        <w:t xml:space="preserve">Where to place it</w:t>
      </w:r>
    </w:p>
    <w:p>
      <w:pPr>
        <w:spacing w:after="120" w:line="300"/>
      </w:pPr>
      <w:r>
        <w:t xml:space="preserve">Same placement pattern: after services overview, before pricing/CTA.</w:t>
      </w:r>
    </w:p>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How we build a CPA website that the AICPA and your state board would recognize.</w:t>
            </w:r>
          </w:p>
        </w:tc>
      </w:tr>
    </w:tbl>
    <w:p>
      <w:pPr>
        <w:pStyle w:val="Heading3"/>
        <w:spacing w:after="100" w:before="200"/>
      </w:pPr>
      <w:r>
        <w:t xml:space="preserve">Lead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Accounting Firms — lead</w:t>
            </w:r>
          </w:p>
          <w:p>
            <w:pPr>
              <w:spacing w:after="0" w:line="300"/>
            </w:pPr>
            <w:r>
              <w:rPr>
                <w:i w:val="false"/>
                <w:iCs w:val="false"/>
                <w:sz w:val="22"/>
                <w:szCs w:val="22"/>
              </w:rPr>
              <w:t xml:space="preserve">CPAs operate under stricter advertising rules than most professions. The AICPA Code of Professional Conduct prohibits any advertising that is false, misleading, or deceptive — and several state accountancy boards add specific requirements on top: no "specialist" claims, no testimonials without verifiable facts, recordkeeping of advertising materials for up to 36 months. A website that doesn't account for those rules is a license-defense issue waiting to happen.</w:t>
            </w:r>
          </w:p>
        </w:tc>
      </w:tr>
    </w:tbl>
    <w:p>
      <w:pPr>
        <w:pStyle w:val="Heading4"/>
        <w:spacing w:after="80" w:before="160"/>
      </w:pPr>
      <w:r>
        <w:t xml:space="preserve">Item 1 — Every CPA credentialed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1</w:t>
            </w:r>
          </w:p>
          <w:p>
            <w:pPr>
              <w:spacing w:after="0" w:line="300"/>
            </w:pPr>
            <w:r>
              <w:rPr>
                <w:i w:val="false"/>
                <w:iCs w:val="false"/>
                <w:sz w:val="22"/>
                <w:szCs w:val="22"/>
              </w:rPr>
              <w:t xml:space="preserve">Each licensed practitioner on your site is displayed with their name, license state, license number, and any additional credentials they hold (CPA, EA, CFP, PFS, ABV). We don't let "CPA" appear next to a name unless the individual is currently licensed in a state where that designation is permitted.</w:t>
            </w:r>
          </w:p>
        </w:tc>
      </w:tr>
    </w:tbl>
    <w:p>
      <w:pPr>
        <w:pStyle w:val="Heading4"/>
        <w:spacing w:after="80" w:before="160"/>
      </w:pPr>
      <w:r>
        <w:t xml:space="preserve">Item 2 — No "specialist" language unless your state recognizes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2</w:t>
            </w:r>
          </w:p>
          <w:p>
            <w:pPr>
              <w:spacing w:after="0" w:line="300"/>
            </w:pPr>
            <w:r>
              <w:rPr>
                <w:i w:val="false"/>
                <w:iCs w:val="false"/>
                <w:sz w:val="22"/>
                <w:szCs w:val="22"/>
              </w:rPr>
              <w:t xml:space="preserve">Most state boards of accountancy do not formally recognize specialty designations the way medical boards do. Calling a partner a "tax specialist" or "audit specialist" can be treated as misleading. We use language that describes what your firm actually does ("focused on," "experienced in," "serves clients in") without making credential claims your state board hasn't authorized.</w:t>
            </w:r>
          </w:p>
        </w:tc>
      </w:tr>
    </w:tbl>
    <w:p>
      <w:pPr>
        <w:pStyle w:val="Heading4"/>
        <w:spacing w:after="80" w:before="160"/>
      </w:pPr>
      <w:r>
        <w:t xml:space="preserve">Item 3 — Testimonials handled by state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3</w:t>
            </w:r>
          </w:p>
          <w:p>
            <w:pPr>
              <w:spacing w:after="0" w:line="300"/>
            </w:pPr>
            <w:r>
              <w:rPr>
                <w:i w:val="false"/>
                <w:iCs w:val="false"/>
                <w:sz w:val="22"/>
                <w:szCs w:val="22"/>
              </w:rPr>
              <w:t xml:space="preserve">Some states permit client testimonials on a CPA's website with substantiation; some are stricter. We work to your state's rule, not a generic template. When testimonials are used, we capture the client's permission and keep a record of when and how it was given.</w:t>
            </w:r>
          </w:p>
        </w:tc>
      </w:tr>
    </w:tbl>
    <w:p>
      <w:pPr>
        <w:pStyle w:val="Heading4"/>
        <w:spacing w:after="80" w:before="160"/>
      </w:pPr>
      <w:r>
        <w:t xml:space="preserve">Item 4 — A 36-month archive of your live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4</w:t>
            </w:r>
          </w:p>
          <w:p>
            <w:pPr>
              <w:spacing w:after="0" w:line="300"/>
            </w:pPr>
            <w:r>
              <w:rPr>
                <w:i w:val="false"/>
                <w:iCs w:val="false"/>
                <w:sz w:val="22"/>
                <w:szCs w:val="22"/>
              </w:rPr>
              <w:t xml:space="preserve">Several state accountancy boards require firms to keep copies of advertising materials for at least 36 months — and the website itself counts as advertising. Graylock OS automatically captures quarterly archives of your live site, so if your state board ever requests records, you have them.</w:t>
            </w:r>
          </w:p>
        </w:tc>
      </w:tr>
    </w:tbl>
    <w:p>
      <w:pPr>
        <w:pStyle w:val="Heading4"/>
        <w:spacing w:after="80" w:before="160"/>
      </w:pPr>
      <w:r>
        <w:t xml:space="preserve">Item 5 — Tax-practice pages reviewed against Circular 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5</w:t>
            </w:r>
          </w:p>
          <w:p>
            <w:pPr>
              <w:spacing w:after="0" w:line="300"/>
            </w:pPr>
            <w:r>
              <w:rPr>
                <w:i w:val="false"/>
                <w:iCs w:val="false"/>
                <w:sz w:val="22"/>
                <w:szCs w:val="22"/>
              </w:rPr>
              <w:t xml:space="preserve">Treasury Circular 230 governs what a tax practitioner can say in solicitations. No false or coercive claims. No fee schedules you're not bound to honor. No suggestion of IRS endorsement. We review every tax-services page against those rules before it goes live.</w:t>
            </w:r>
          </w:p>
        </w:tc>
      </w:tr>
    </w:tbl>
    <w:p>
      <w:pPr>
        <w:pStyle w:val="Heading3"/>
        <w:spacing w:after="100" w:before="200"/>
      </w:pPr>
      <w:r>
        <w:t xml:space="preserve">Closing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Closing reassurance</w:t>
            </w:r>
          </w:p>
          <w:p>
            <w:pPr>
              <w:spacing w:after="60" w:line="280"/>
              <w:ind w:left="240" w:hanging="240"/>
            </w:pPr>
            <w:r>
              <w:rPr>
                <w:b/>
                <w:bCs/>
                <w:color w:val="0F2A4A"/>
                <w:sz w:val="22"/>
                <w:szCs w:val="22"/>
              </w:rPr>
              <w:t xml:space="preserve">• </w:t>
            </w:r>
            <w:r>
              <w:rPr>
                <w:sz w:val="22"/>
                <w:szCs w:val="22"/>
              </w:rPr>
              <w:t xml:space="preserve">Your professional license is your firm's most valuable asset. We make sure your website never becomes the reason your state board takes a closer look.</w:t>
            </w:r>
          </w:p>
        </w:tc>
      </w:tr>
    </w:tbl>
    <w:p>
      <w:pPr>
        <w:pStyle w:val="Heading1"/>
        <w:pageBreakBefore/>
        <w:spacing w:after="240" w:before="0"/>
      </w:pPr>
      <w:r>
        <w:t xml:space="preserve">6. Other Local Service Businesses page — /industries/other-local-services</w:t>
      </w:r>
    </w:p>
    <w:p>
      <w:pPr>
        <w:pStyle w:val="Heading2"/>
        <w:spacing w:after="140" w:before="280"/>
      </w:pPr>
      <w:r>
        <w:t xml:space="preserve">6A. New section — "How we build for trust-based professionals — law, finance, and beyond"</w:t>
      </w:r>
    </w:p>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How we build for trust-based professionals — law, finance, and beyond.</w:t>
            </w:r>
          </w:p>
        </w:tc>
      </w:tr>
    </w:tbl>
    <w:p>
      <w:pPr>
        <w:pStyle w:val="Heading3"/>
        <w:spacing w:after="100" w:before="200"/>
      </w:pPr>
      <w:r>
        <w:t xml:space="preserve">Lead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Other Local Services — lead</w:t>
            </w:r>
          </w:p>
          <w:p>
            <w:pPr>
              <w:spacing w:after="0" w:line="300"/>
            </w:pPr>
            <w:r>
              <w:rPr>
                <w:i w:val="false"/>
                <w:iCs w:val="false"/>
                <w:sz w:val="22"/>
                <w:szCs w:val="22"/>
              </w:rPr>
              <w:t xml:space="preserve">Attorneys, financial advisors, and other licensed professionals work under some of the strictest advertising rules in the economy — state bar associations, the SEC's Marketing Rule, FINRA, and a long list of state-specific requirements. The rules in these professions vary so much by state and credential that no agency should claim to know all of them in advance. What we do bring is a build process that works alongside your compliance reviewer instead of around them.</w:t>
            </w:r>
          </w:p>
        </w:tc>
      </w:tr>
    </w:tbl>
    <w:p>
      <w:pPr>
        <w:pStyle w:val="Heading4"/>
        <w:spacing w:after="80" w:before="160"/>
      </w:pPr>
      <w:r>
        <w:t xml:space="preserve">Item 1 — Your compliance reviewer is part of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1</w:t>
            </w:r>
          </w:p>
          <w:p>
            <w:pPr>
              <w:spacing w:after="0" w:line="300"/>
            </w:pPr>
            <w:r>
              <w:rPr>
                <w:i w:val="false"/>
                <w:iCs w:val="false"/>
                <w:sz w:val="22"/>
                <w:szCs w:val="22"/>
              </w:rPr>
              <w:t xml:space="preserve">For attorneys, every state bar has its own advertising rules — sometimes including specific disclaimer language, font sizes, or prohibited testimonials. For SEC- or state-registered advisors, your firm has a Chief Compliance Officer or compliance reviewer who needs to sign off on public-facing claims. Our process builds in their review at the right stages, with copy delivered in formats they can comment on directly.</w:t>
            </w:r>
          </w:p>
        </w:tc>
      </w:tr>
    </w:tbl>
    <w:p>
      <w:pPr>
        <w:pStyle w:val="Heading4"/>
        <w:spacing w:after="80" w:before="160"/>
      </w:pPr>
      <w:r>
        <w:t xml:space="preserve">Item 2 — Disclaimers and notices, ready to plug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2</w:t>
            </w:r>
          </w:p>
          <w:p>
            <w:pPr>
              <w:spacing w:after="0" w:line="300"/>
            </w:pPr>
            <w:r>
              <w:rPr>
                <w:i w:val="false"/>
                <w:iCs w:val="false"/>
                <w:sz w:val="22"/>
                <w:szCs w:val="22"/>
              </w:rPr>
              <w:t xml:space="preserve">Most regulated professions require specific disclaimers — "Attorney Advertising," "Past results do not guarantee future outcomes," "Investment advisory services offered through [registered entity]," and so on. We've built templates for the most common requirements; your compliance reviewer specifies which apply, and we implement them site-wide.</w:t>
            </w:r>
          </w:p>
        </w:tc>
      </w:tr>
    </w:tbl>
    <w:p>
      <w:pPr>
        <w:pStyle w:val="Heading4"/>
        <w:spacing w:after="80" w:before="160"/>
      </w:pPr>
      <w:r>
        <w:t xml:space="preserve">Item 3 — Performance, results, and testimonials handled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3</w:t>
            </w:r>
          </w:p>
          <w:p>
            <w:pPr>
              <w:spacing w:after="0" w:line="300"/>
            </w:pPr>
            <w:r>
              <w:rPr>
                <w:i w:val="false"/>
                <w:iCs w:val="false"/>
                <w:sz w:val="22"/>
                <w:szCs w:val="22"/>
              </w:rPr>
              <w:t xml:space="preserve">The SEC Marketing Rule specifically governs testimonials, endorsements, and performance advertising on advisor websites. State bars place their own restrictions on case results and client testimonials. We don't publish that content without your compliance reviewer's explicit sign-off, and we keep records of what was approved.</w:t>
            </w:r>
          </w:p>
        </w:tc>
      </w:tr>
    </w:tbl>
    <w:p>
      <w:pPr>
        <w:pStyle w:val="Heading4"/>
        <w:spacing w:after="80" w:before="160"/>
      </w:pPr>
      <w:r>
        <w:t xml:space="preserve">Item 4 — Engagement language that doesn't accidentally form a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Item 4</w:t>
            </w:r>
          </w:p>
          <w:p>
            <w:pPr>
              <w:spacing w:after="0" w:line="300"/>
            </w:pPr>
            <w:r>
              <w:rPr>
                <w:i w:val="false"/>
                <w:iCs w:val="false"/>
                <w:sz w:val="22"/>
                <w:szCs w:val="22"/>
              </w:rPr>
              <w:t xml:space="preserve">Contact forms and "book a consultation" workflows on attorney sites can inadvertently create the appearance of an attorney-client relationship — which has real implications for conflicts checks and confidentiality. Our intake patterns include the disclaimers your bar requires and route inquiries appropriately.</w:t>
            </w:r>
          </w:p>
        </w:tc>
      </w:tr>
    </w:tbl>
    <w:p>
      <w:pPr>
        <w:pStyle w:val="Heading3"/>
        <w:spacing w:after="100" w:before="200"/>
      </w:pPr>
      <w:r>
        <w:t xml:space="preserve">Closing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Closing reassurance</w:t>
            </w:r>
          </w:p>
          <w:p>
            <w:pPr>
              <w:spacing w:after="60" w:line="280"/>
              <w:ind w:left="240" w:hanging="240"/>
            </w:pPr>
            <w:r>
              <w:rPr>
                <w:b/>
                <w:bCs/>
                <w:color w:val="0F2A4A"/>
                <w:sz w:val="22"/>
                <w:szCs w:val="22"/>
              </w:rPr>
              <w:t xml:space="preserve">• </w:t>
            </w:r>
            <w:r>
              <w:rPr>
                <w:sz w:val="22"/>
                <w:szCs w:val="22"/>
              </w:rPr>
              <w:t xml:space="preserve">Your compliance reviewer is the authority. Our role is to make sure your website is the easiest part of their job — not the hardest.</w:t>
            </w:r>
          </w:p>
        </w:tc>
      </w:tr>
    </w:tbl>
    <w:p>
      <w:pPr>
        <w:pStyle w:val="Heading1"/>
        <w:pageBreakBefore/>
        <w:spacing w:after="240" w:before="0"/>
      </w:pPr>
      <w:r>
        <w:t xml:space="preserve">7. Healthcare Practices — important framing for sections 7–10</w:t>
      </w:r>
    </w:p>
    <w:p>
      <w:pPr>
        <w:spacing w:after="120" w:line="300"/>
      </w:pPr>
      <w:r>
        <w:t xml:space="preserve">All healthcare verticals (psychologists, PTs, chiropractors, optometrists, dentists, physicians) share a foundation. Rather than repeating it on every page, we recommend a shared healthcare "compliance approach" component that appears across all healthcare landing pages, plus a vertical-specific section unique to each.</w:t>
      </w:r>
    </w:p>
    <w:p>
      <w:pPr>
        <w:pStyle w:val="Heading2"/>
        <w:spacing w:after="140" w:before="280"/>
      </w:pPr>
      <w:r>
        <w:t xml:space="preserve">7A. The shared healthcare component (appears on ALL healthcare pages)</w:t>
      </w:r>
    </w:p>
    <w:p>
      <w:pPr>
        <w:pStyle w:val="Heading3"/>
        <w:spacing w:after="100" w:before="200"/>
      </w:pPr>
      <w:r>
        <w:t xml:space="preserve">Where to place it</w:t>
      </w:r>
    </w:p>
    <w:p>
      <w:pPr>
        <w:spacing w:after="120" w:line="300"/>
      </w:pPr>
      <w:r>
        <w:t xml:space="preserve">Place this on every healthcare vertical page — psychologists, PTs, chiropractors, optometrists, dentists, physicians — between the services overview and the vertical-specific compliance section that follows it. Same component, same content, same look across all six pages. Visual consistency reinforces that we treat healthcare clients as a category we take seriously.</w:t>
      </w:r>
    </w:p>
    <w:p>
      <w:pPr>
        <w:pStyle w:val="Heading3"/>
        <w:spacing w:after="100" w:before="200"/>
      </w:pPr>
      <w:r>
        <w:t xml:space="preserve">Important reframing — what we DO and DON'T promise on HIPAA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3E0" w:val="clear"/>
            <w:tcMar>
              <w:top w:type="dxa" w:w="160"/>
              <w:left w:type="dxa" w:w="200"/>
              <w:bottom w:type="dxa" w:w="160"/>
              <w:right w:type="dxa" w:w="200"/>
            </w:tcMar>
          </w:tcPr>
          <w:p>
            <w:pPr>
              <w:spacing w:after="80"/>
            </w:pPr>
            <w:r>
              <w:rPr>
                <w:b/>
                <w:bCs/>
                <w:color w:val="D97706"/>
                <w:sz w:val="22"/>
                <w:szCs w:val="22"/>
              </w:rPr>
              <w:t xml:space="preserve">HIPAA positioning — read carefully</w:t>
            </w:r>
          </w:p>
          <w:p>
            <w:pPr>
              <w:spacing w:line="280"/>
            </w:pPr>
            <w:r>
              <w:rPr>
                <w:sz w:val="22"/>
                <w:szCs w:val="22"/>
              </w:rPr>
              <w:t xml:space="preserve">Graylock's healthcare websites are designed so that Protected Health Information (PHI) does NOT flow through the site in the first place. Our forms collect contact information and general inquiries only — no symptoms, no medical history, no diagnoses, no insurance details. This means we are not a Business Associate under HIPAA and a Business Associate Agreement is not required. This is actually a stronger position to advertise than "HIPAA-compliant forms" — we're saying our forms are designed to stay outside HIPAA's scope by collecting only non-PHI information. That distinction is genuinely meaningful and is what we want prospects to understand.</w:t>
            </w:r>
          </w:p>
        </w:tc>
      </w:tr>
    </w:tbl>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How we build a healthcare website that respects patient privacy from the ground up.</w:t>
            </w:r>
          </w:p>
        </w:tc>
      </w:tr>
    </w:tbl>
    <w:p>
      <w:pPr>
        <w:pStyle w:val="Heading3"/>
        <w:spacing w:after="100" w:before="200"/>
      </w:pPr>
      <w:r>
        <w:t xml:space="preserve">Lead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Healthcare shared component — lead</w:t>
            </w:r>
          </w:p>
          <w:p>
            <w:pPr>
              <w:spacing w:after="0" w:line="300"/>
            </w:pPr>
            <w:r>
              <w:rPr>
                <w:i w:val="false"/>
                <w:iCs w:val="false"/>
                <w:sz w:val="22"/>
                <w:szCs w:val="22"/>
              </w:rPr>
              <w:t xml:space="preserve">Patients judge a healthcare practice by its website before they ever walk in the door. So do regulators. The HHS Office for Civil Rights has been actively enforcing privacy rules around website tracking technologies since 2022 — sending warning letters to over a hundred hospital systems and telehealth providers, and pursuing settlements with practices whose websites quietly leaked patient data to advertising platforms. The bar has moved, and most healthcare sites haven't caught up.</w:t>
            </w:r>
          </w:p>
        </w:tc>
      </w:tr>
    </w:tbl>
    <w:p>
      <w:pPr>
        <w:pStyle w:val="Heading4"/>
        <w:spacing w:after="80" w:before="160"/>
      </w:pPr>
      <w:r>
        <w:t xml:space="preserve">Item 1 — Forms designed to stay outside HIPAA's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Healthcare shared — Item 1</w:t>
            </w:r>
          </w:p>
          <w:p>
            <w:pPr>
              <w:spacing w:after="140" w:line="300"/>
            </w:pPr>
            <w:r>
              <w:rPr>
                <w:i w:val="false"/>
                <w:iCs w:val="false"/>
                <w:sz w:val="22"/>
                <w:szCs w:val="22"/>
              </w:rPr>
              <w:t xml:space="preserve">Our contact forms are deliberately designed not to collect Protected Health Information. They ask for a name, a way to reach the person, and a general reason for inquiry — never symptoms, diagnoses, treatment history, or insurance details. By keeping PHI out of the website entirely, we reduce your risk surface and avoid the complications that come with hosting protected data.</w:t>
            </w:r>
          </w:p>
          <w:p>
            <w:pPr>
              <w:spacing w:after="0" w:line="300"/>
            </w:pPr>
            <w:r>
              <w:rPr>
                <w:i w:val="false"/>
                <w:iCs w:val="false"/>
                <w:sz w:val="22"/>
                <w:szCs w:val="22"/>
              </w:rPr>
              <w:t xml:space="preserve">When a prospective patient does need to share medical information, we route them to your existing patient portal, EHR system, or HIPAA-compliant intake platform — the systems your practice has already vetted for that purpose.</w:t>
            </w:r>
          </w:p>
        </w:tc>
      </w:tr>
    </w:tbl>
    <w:p>
      <w:pPr>
        <w:pStyle w:val="Heading4"/>
        <w:spacing w:after="80" w:before="160"/>
      </w:pPr>
      <w:r>
        <w:t xml:space="preserve">Item 2 — Privacy-first analytics, not Meta Pixel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Healthcare shared — Item 2</w:t>
            </w:r>
          </w:p>
          <w:p>
            <w:pPr>
              <w:spacing w:after="140" w:line="300"/>
            </w:pPr>
            <w:r>
              <w:rPr>
                <w:i w:val="false"/>
                <w:iCs w:val="false"/>
                <w:sz w:val="22"/>
                <w:szCs w:val="22"/>
              </w:rPr>
              <w:t xml:space="preserve">Standard analytics and advertising tools — Google Analytics with default settings, Meta Pixel, TikTok Pixel, conversion tags from ad networks — can transmit information to third parties that, when combined with the page a visitor was on, becomes Protected Health Information in the eyes of HHS. Practices have settled cases for putting Meta Pixel on a page describing a specific medical condition.</w:t>
            </w:r>
          </w:p>
          <w:p>
            <w:pPr>
              <w:spacing w:after="0" w:line="300"/>
            </w:pPr>
            <w:r>
              <w:rPr>
                <w:i w:val="false"/>
                <w:iCs w:val="false"/>
                <w:sz w:val="22"/>
                <w:szCs w:val="22"/>
              </w:rPr>
              <w:t xml:space="preserve">Graylock healthcare sites use privacy-respecting analytics by default and never place ad-network pixels on pages that describe specific conditions, treatments, or diagnoses. You still get the data you need to understand how your site is performing — without the regulatory risk.</w:t>
            </w:r>
          </w:p>
        </w:tc>
      </w:tr>
    </w:tbl>
    <w:p>
      <w:pPr>
        <w:pStyle w:val="Heading4"/>
        <w:spacing w:after="80" w:before="160"/>
      </w:pPr>
      <w:r>
        <w:t xml:space="preserve">Item 3 — A consent layer configured for healthcare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Healthcare shared — Item 3</w:t>
            </w:r>
          </w:p>
          <w:p>
            <w:pPr>
              <w:spacing w:after="0" w:line="300"/>
            </w:pPr>
            <w:r>
              <w:rPr>
                <w:i w:val="false"/>
                <w:iCs w:val="false"/>
                <w:sz w:val="22"/>
                <w:szCs w:val="22"/>
              </w:rPr>
              <w:t xml:space="preserve">Our cookie banner and consent management setup is configured for the strictest privacy law that applies to your patient population, and is set up to honor browser-level signals like Global Privacy Control automatically. For healthcare specifically, we err toward the side of asking permission before any non-essential script runs.</w:t>
            </w:r>
          </w:p>
        </w:tc>
      </w:tr>
    </w:tbl>
    <w:p>
      <w:pPr>
        <w:pStyle w:val="Heading4"/>
        <w:spacing w:after="80" w:before="160"/>
      </w:pPr>
      <w:r>
        <w:t xml:space="preserve">Item 4 — Notice of Privacy Practices, easy to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Healthcare shared — Item 4</w:t>
            </w:r>
          </w:p>
          <w:p>
            <w:pPr>
              <w:spacing w:after="0" w:line="300"/>
            </w:pPr>
            <w:r>
              <w:rPr>
                <w:i w:val="false"/>
                <w:iCs w:val="false"/>
                <w:sz w:val="22"/>
                <w:szCs w:val="22"/>
              </w:rPr>
              <w:t xml:space="preserve">HIPAA requires every covered healthcare provider to make a Notice of Privacy Practices available to patients. We link your Notice from the footer of every page and from every form — so a patient looking for it never has to search.</w:t>
            </w:r>
          </w:p>
        </w:tc>
      </w:tr>
    </w:tbl>
    <w:p>
      <w:pPr>
        <w:pStyle w:val="Heading4"/>
        <w:spacing w:after="80" w:before="160"/>
      </w:pPr>
      <w:r>
        <w:t xml:space="preserve">Item 5 — Accessibility built to WCAG 2.1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Healthcare shared — Item 5</w:t>
            </w:r>
          </w:p>
          <w:p>
            <w:pPr>
              <w:spacing w:after="0" w:line="300"/>
            </w:pPr>
            <w:r>
              <w:rPr>
                <w:i w:val="false"/>
                <w:iCs w:val="false"/>
                <w:sz w:val="22"/>
                <w:szCs w:val="22"/>
              </w:rPr>
              <w:t xml:space="preserve">ADA-related lawsuits against healthcare websites have grown every year, and HHS now expects providers receiving federal funds to meet WCAG 2.1 Level AA standards. We build to that standard from the start — semantic HTML, proper alt text, keyboard navigation, color contrast, captioned video — instead of bolting on an overlay widget that doesn't actually fix anything.</w:t>
            </w:r>
          </w:p>
        </w:tc>
      </w:tr>
    </w:tbl>
    <w:p>
      <w:pPr>
        <w:pStyle w:val="Heading3"/>
        <w:spacing w:after="100" w:before="200"/>
      </w:pPr>
      <w:r>
        <w:t xml:space="preserve">Shared closing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Healthcare shared — closing</w:t>
            </w:r>
          </w:p>
          <w:p>
            <w:pPr>
              <w:spacing w:after="60" w:line="280"/>
              <w:ind w:left="240" w:hanging="240"/>
            </w:pPr>
            <w:r>
              <w:rPr>
                <w:b/>
                <w:bCs/>
                <w:color w:val="0F2A4A"/>
                <w:sz w:val="22"/>
                <w:szCs w:val="22"/>
              </w:rPr>
              <w:t xml:space="preserve">• </w:t>
            </w:r>
            <w:r>
              <w:rPr>
                <w:sz w:val="22"/>
                <w:szCs w:val="22"/>
              </w:rPr>
              <w:t xml:space="preserve">We're not your privacy officer and we're not your attorney. Our role is to make sure the website itself doesn't create privacy risks your practice has to defend later.</w:t>
            </w:r>
          </w:p>
        </w:tc>
      </w:tr>
    </w:tbl>
    <w:p>
      <w:pPr>
        <w:pStyle w:val="Heading1"/>
        <w:pageBreakBefore/>
        <w:spacing w:after="240" w:before="0"/>
      </w:pPr>
      <w:r>
        <w:t xml:space="preserve">8. Psychologists page — /industries/psychologists</w:t>
      </w:r>
    </w:p>
    <w:p>
      <w:pPr>
        <w:spacing w:after="120" w:line="300"/>
      </w:pPr>
      <w:r>
        <w:t xml:space="preserve">Page structure: services overview → shared healthcare compliance section (from Section 7A) → psychologist-specific compliance section (below) → testimonials/CTA.</w:t>
      </w:r>
    </w:p>
    <w:p>
      <w:pPr>
        <w:pStyle w:val="Heading2"/>
        <w:spacing w:after="140" w:before="280"/>
      </w:pPr>
      <w:r>
        <w:t xml:space="preserve">8A. Psychologist-specific section — "And the rules unique to psychology"</w:t>
      </w:r>
    </w:p>
    <w:p>
      <w:pPr>
        <w:pStyle w:val="Heading3"/>
        <w:spacing w:after="100" w:before="200"/>
      </w:pPr>
      <w:r>
        <w:t xml:space="preserve">Where to place it</w:t>
      </w:r>
    </w:p>
    <w:p>
      <w:pPr>
        <w:spacing w:after="120" w:line="300"/>
      </w:pPr>
      <w:r>
        <w:t xml:space="preserve">Immediately following the shared healthcare compliance component. Heading reads as a continuation of that section's narrative.</w:t>
      </w:r>
    </w:p>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And the rules unique to psychology practice.</w:t>
            </w:r>
          </w:p>
        </w:tc>
      </w:tr>
    </w:tbl>
    <w:p>
      <w:pPr>
        <w:pStyle w:val="Heading3"/>
        <w:spacing w:after="100" w:before="200"/>
      </w:pPr>
      <w:r>
        <w:t xml:space="preserve">Lead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Psychologists — lead</w:t>
            </w:r>
          </w:p>
          <w:p>
            <w:pPr>
              <w:spacing w:after="0" w:line="300"/>
            </w:pPr>
            <w:r>
              <w:rPr>
                <w:i w:val="false"/>
                <w:iCs w:val="false"/>
                <w:sz w:val="22"/>
                <w:szCs w:val="22"/>
              </w:rPr>
              <w:t xml:space="preserve">Psychology has stricter advertising rules than almost any other healthcare field. The APA Ethics Code prohibits soliciting testimonials from current therapy clients — period. Several states ban patient testimonials in psychology advertising entirely, regardless of consent. Telehealth scope, crisis resource availability, and specialty designations are all governed by your state psychology board. A generic web shop won't know any of this.</w:t>
            </w:r>
          </w:p>
        </w:tc>
      </w:tr>
    </w:tbl>
    <w:p>
      <w:pPr>
        <w:pStyle w:val="Heading4"/>
        <w:spacing w:after="80" w:before="160"/>
      </w:pPr>
      <w:r>
        <w:t xml:space="preserve">Item 1 — No testimonials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Psychologists — Item 1</w:t>
            </w:r>
          </w:p>
          <w:p>
            <w:pPr>
              <w:spacing w:after="0" w:line="300"/>
            </w:pPr>
            <w:r>
              <w:rPr>
                <w:i w:val="false"/>
                <w:iCs w:val="false"/>
                <w:sz w:val="22"/>
                <w:szCs w:val="22"/>
              </w:rPr>
              <w:t xml:space="preserve">APA Ethics Code Standard 5.05 prohibits soliciting testimonials from current therapy clients. Several states (notably New York) prohibit patient testimonials in psychology advertising entirely. Our default for psychology practices is to not include patient testimonials at all — and if your state's rules and your judgment make a narrow exception possible, we structure it carefully and capture the documentation.</w:t>
            </w:r>
          </w:p>
        </w:tc>
      </w:tr>
    </w:tbl>
    <w:p>
      <w:pPr>
        <w:pStyle w:val="Heading4"/>
        <w:spacing w:after="80" w:before="160"/>
      </w:pPr>
      <w:r>
        <w:t xml:space="preserve">Item 2 — Telehealth scope clearly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Psychologists — Item 2</w:t>
            </w:r>
          </w:p>
          <w:p>
            <w:pPr>
              <w:spacing w:after="0" w:line="300"/>
            </w:pPr>
            <w:r>
              <w:rPr>
                <w:i w:val="false"/>
                <w:iCs w:val="false"/>
                <w:sz w:val="22"/>
                <w:szCs w:val="22"/>
              </w:rPr>
              <w:t xml:space="preserve">If your practice offers virtual sessions, the website explicitly lists which states you're licensed in and can practice in. Patient location at the time of the session is what governs jurisdiction — getting this wrong is one of the most common ways psychologists run into licensing issues.</w:t>
            </w:r>
          </w:p>
        </w:tc>
      </w:tr>
    </w:tbl>
    <w:p>
      <w:pPr>
        <w:pStyle w:val="Heading4"/>
        <w:spacing w:after="80" w:before="160"/>
      </w:pPr>
      <w:r>
        <w:t xml:space="preserve">Item 3 — Crisis resources prominently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Psychologists — Item 3</w:t>
            </w:r>
          </w:p>
          <w:p>
            <w:pPr>
              <w:spacing w:after="0" w:line="300"/>
            </w:pPr>
            <w:r>
              <w:rPr>
                <w:i w:val="false"/>
                <w:iCs w:val="false"/>
                <w:sz w:val="22"/>
                <w:szCs w:val="22"/>
              </w:rPr>
              <w:t xml:space="preserve">Several states require crisis resources on a psychology practice website, and it's a best practice everywhere. We include the 988 Suicide and Crisis Lifeline and other relevant resources where a patient in distress can find them quickly — typically in the footer and on every contact page.</w:t>
            </w:r>
          </w:p>
        </w:tc>
      </w:tr>
    </w:tbl>
    <w:p>
      <w:pPr>
        <w:pStyle w:val="Heading4"/>
        <w:spacing w:after="80" w:before="160"/>
      </w:pPr>
      <w:r>
        <w:t xml:space="preserve">Item 4 — Credentials displayed with state-board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Psychologists — Item 4</w:t>
            </w:r>
          </w:p>
          <w:p>
            <w:pPr>
              <w:spacing w:after="0" w:line="300"/>
            </w:pPr>
            <w:r>
              <w:rPr>
                <w:i w:val="false"/>
                <w:iCs w:val="false"/>
                <w:sz w:val="22"/>
                <w:szCs w:val="22"/>
              </w:rPr>
              <w:t xml:space="preserve">Each psychologist on your site is displayed with their doctoral credential, license number, licensing state(s), and only those specialty designations your state board formally recognizes. We don't let an unrecognized specialty claim through, even if the practitioner uses it informally in conversation.</w:t>
            </w:r>
          </w:p>
        </w:tc>
      </w:tr>
    </w:tbl>
    <w:p>
      <w:pPr>
        <w:pStyle w:val="Heading3"/>
        <w:spacing w:after="100" w:before="200"/>
      </w:pPr>
      <w:r>
        <w:t xml:space="preserve">Closing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Psychologists — closing</w:t>
            </w:r>
          </w:p>
          <w:p>
            <w:pPr>
              <w:spacing w:after="60" w:line="280"/>
              <w:ind w:left="240" w:hanging="240"/>
            </w:pPr>
            <w:r>
              <w:rPr>
                <w:b/>
                <w:bCs/>
                <w:color w:val="0F2A4A"/>
                <w:sz w:val="22"/>
                <w:szCs w:val="22"/>
              </w:rPr>
              <w:t xml:space="preserve">• </w:t>
            </w:r>
            <w:r>
              <w:rPr>
                <w:sz w:val="22"/>
                <w:szCs w:val="22"/>
              </w:rPr>
              <w:t xml:space="preserve">Your relationship with your state psychology board is your responsibility. We make sure your website never gives them a reason to call.</w:t>
            </w:r>
          </w:p>
        </w:tc>
      </w:tr>
    </w:tbl>
    <w:p>
      <w:pPr>
        <w:pStyle w:val="Heading1"/>
        <w:pageBreakBefore/>
        <w:spacing w:after="240" w:before="0"/>
      </w:pPr>
      <w:r>
        <w:t xml:space="preserve">9. Physical Therapists page — /industries/physical-therapists</w:t>
      </w:r>
    </w:p>
    <w:p>
      <w:pPr>
        <w:spacing w:after="120" w:line="300"/>
      </w:pPr>
      <w:r>
        <w:t xml:space="preserve">Same structure: shared healthcare component (Section 7A) + this PT-specific section.</w:t>
      </w:r>
    </w:p>
    <w:p>
      <w:pPr>
        <w:pStyle w:val="Heading2"/>
        <w:spacing w:after="140" w:before="280"/>
      </w:pPr>
      <w:r>
        <w:t xml:space="preserve">9A. PT-specific section — "And the rules specific to physical therapy practice"</w:t>
      </w:r>
    </w:p>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And the rules specific to physical therapy practice.</w:t>
            </w:r>
          </w:p>
        </w:tc>
      </w:tr>
    </w:tbl>
    <w:p>
      <w:pPr>
        <w:pStyle w:val="Heading3"/>
        <w:spacing w:after="100" w:before="200"/>
      </w:pPr>
      <w:r>
        <w:t xml:space="preserve">Lead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PT — lead</w:t>
            </w:r>
          </w:p>
          <w:p>
            <w:pPr>
              <w:spacing w:after="0" w:line="300"/>
            </w:pPr>
            <w:r>
              <w:rPr>
                <w:i w:val="false"/>
                <w:iCs w:val="false"/>
                <w:sz w:val="22"/>
                <w:szCs w:val="22"/>
              </w:rPr>
              <w:t xml:space="preserve">Physical therapy advertising rules vary more by state than most healthcare professions. Direct access — whether a patient can see a PT without a physician referral — is state-specific and changes how you can position your services. Scope of practice is state-specific. And outcome guarantees, whether stated or implied, draw scrutiny from both the FTC and your state board.</w:t>
            </w:r>
          </w:p>
        </w:tc>
      </w:tr>
    </w:tbl>
    <w:p>
      <w:pPr>
        <w:pStyle w:val="Heading4"/>
        <w:spacing w:after="80" w:before="160"/>
      </w:pPr>
      <w:r>
        <w:t xml:space="preserve">Item 1 — Direct access reflected accurately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PT — Item 1</w:t>
            </w:r>
          </w:p>
          <w:p>
            <w:pPr>
              <w:spacing w:after="0" w:line="300"/>
            </w:pPr>
            <w:r>
              <w:rPr>
                <w:i w:val="false"/>
                <w:iCs w:val="false"/>
                <w:sz w:val="22"/>
                <w:szCs w:val="22"/>
              </w:rPr>
              <w:t xml:space="preserve">We confirm your state's direct-access status before writing the "how to start care" section of your site. Overstating direct access (telling patients they can come straight to PT in a state that requires a referral) is a state-board issue. Understating it (sending patients through unnecessary steps) costs you patients.</w:t>
            </w:r>
          </w:p>
        </w:tc>
      </w:tr>
    </w:tbl>
    <w:p>
      <w:pPr>
        <w:pStyle w:val="Heading4"/>
        <w:spacing w:after="80" w:before="160"/>
      </w:pPr>
      <w:r>
        <w:t xml:space="preserve">Item 2 — Scope-of-practice claims that match your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PT — Item 2</w:t>
            </w:r>
          </w:p>
          <w:p>
            <w:pPr>
              <w:spacing w:after="0" w:line="300"/>
            </w:pPr>
            <w:r>
              <w:rPr>
                <w:i w:val="false"/>
                <w:iCs w:val="false"/>
                <w:sz w:val="22"/>
                <w:szCs w:val="22"/>
              </w:rPr>
              <w:t xml:space="preserve">Dry needling, pelvic floor therapy, chiropractic-adjacent services — what a PT can advertise depends on the state. We check your state's scope-of-practice rules before publishing service pages, instead of using a generic template that might describe work you can't legally provide.</w:t>
            </w:r>
          </w:p>
        </w:tc>
      </w:tr>
    </w:tbl>
    <w:p>
      <w:pPr>
        <w:pStyle w:val="Heading4"/>
        <w:spacing w:after="80" w:before="160"/>
      </w:pPr>
      <w:r>
        <w:t xml:space="preserve">Item 3 — No outcome guarantees, careful language about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PT — Item 3</w:t>
            </w:r>
          </w:p>
          <w:p>
            <w:pPr>
              <w:spacing w:after="0" w:line="300"/>
            </w:pPr>
            <w:r>
              <w:rPr>
                <w:i w:val="false"/>
                <w:iCs w:val="false"/>
                <w:sz w:val="22"/>
                <w:szCs w:val="22"/>
              </w:rPr>
              <w:t xml:space="preserve">"Get back on the field in 6 weeks" sounds like marketing; to a state board, it's an outcome guarantee. We use language that describes what the practice does and the kinds of recoveries patients have experienced, without making promises about any individual patient's outcome.</w:t>
            </w:r>
          </w:p>
        </w:tc>
      </w:tr>
    </w:tbl>
    <w:p>
      <w:pPr>
        <w:pStyle w:val="Heading4"/>
        <w:spacing w:after="80" w:before="160"/>
      </w:pPr>
      <w:r>
        <w:t xml:space="preserve">Item 4 — Specialty certifications credited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PT — Item 4</w:t>
            </w:r>
          </w:p>
          <w:p>
            <w:pPr>
              <w:spacing w:after="0" w:line="300"/>
            </w:pPr>
            <w:r>
              <w:rPr>
                <w:i w:val="false"/>
                <w:iCs w:val="false"/>
                <w:sz w:val="22"/>
                <w:szCs w:val="22"/>
              </w:rPr>
              <w:t xml:space="preserve">Board-certified specialties (OCS, SCS, GCS, etc.) and other recognized credentials appear on the site only when they're current and accurate, with the certifying body named. We don't let "sports specialist" appear next to a name where the board certification doesn't support it.</w:t>
            </w:r>
          </w:p>
        </w:tc>
      </w:tr>
    </w:tbl>
    <w:p>
      <w:pPr>
        <w:pStyle w:val="Heading3"/>
        <w:spacing w:after="100" w:before="200"/>
      </w:pPr>
      <w:r>
        <w:t xml:space="preserve">Closing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PT — closing</w:t>
            </w:r>
          </w:p>
          <w:p>
            <w:pPr>
              <w:spacing w:after="60" w:line="280"/>
              <w:ind w:left="240" w:hanging="240"/>
            </w:pPr>
            <w:r>
              <w:rPr>
                <w:b/>
                <w:bCs/>
                <w:color w:val="0F2A4A"/>
                <w:sz w:val="22"/>
                <w:szCs w:val="22"/>
              </w:rPr>
              <w:t xml:space="preserve">• </w:t>
            </w:r>
            <w:r>
              <w:rPr>
                <w:sz w:val="22"/>
                <w:szCs w:val="22"/>
              </w:rPr>
              <w:t xml:space="preserve">Your scope of practice is defined by your state board. Your website should reflect it — not stretch it.</w:t>
            </w:r>
          </w:p>
        </w:tc>
      </w:tr>
    </w:tbl>
    <w:p>
      <w:pPr>
        <w:pStyle w:val="Heading1"/>
        <w:pageBreakBefore/>
        <w:spacing w:after="240" w:before="0"/>
      </w:pPr>
      <w:r>
        <w:t xml:space="preserve">10. Chiropractors page — /industries/chiropractors</w:t>
      </w:r>
    </w:p>
    <w:p>
      <w:pPr>
        <w:pStyle w:val="Heading2"/>
        <w:spacing w:after="140" w:before="280"/>
      </w:pPr>
      <w:r>
        <w:t xml:space="preserve">10A. Chiropractor-specific section — "And the rules specific to chiropractic advertising"</w:t>
      </w:r>
    </w:p>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And the rules specific to chiropractic advertising.</w:t>
            </w:r>
          </w:p>
        </w:tc>
      </w:tr>
    </w:tbl>
    <w:p>
      <w:pPr>
        <w:pStyle w:val="Heading3"/>
        <w:spacing w:after="100" w:before="200"/>
      </w:pPr>
      <w:r>
        <w:t xml:space="preserve">Lead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Chiropractors — lead</w:t>
            </w:r>
          </w:p>
          <w:p>
            <w:pPr>
              <w:spacing w:after="0" w:line="300"/>
            </w:pPr>
            <w:r>
              <w:rPr>
                <w:i w:val="false"/>
                <w:iCs w:val="false"/>
                <w:sz w:val="22"/>
                <w:szCs w:val="22"/>
              </w:rPr>
              <w:t xml:space="preserve">Chiropractic advertising is among the most heavily regulated in healthcare — for historical reasons rooted in concerns about overstated claims of cure. State chiropractic boards across the country prohibit specific words and phrases, regulate free-exam offers, govern testimonials in detail, and set rules for telemarketing. A website that ignores those specifics is a state-board complaint waiting to be filed.</w:t>
            </w:r>
          </w:p>
        </w:tc>
      </w:tr>
    </w:tbl>
    <w:p>
      <w:pPr>
        <w:pStyle w:val="Heading4"/>
        <w:spacing w:after="80" w:before="160"/>
      </w:pPr>
      <w:r>
        <w:t xml:space="preserve">Item 1 — "Cure" claims and similar language, avoided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Chiropractors — Item 1</w:t>
            </w:r>
          </w:p>
          <w:p>
            <w:pPr>
              <w:spacing w:after="0" w:line="300"/>
            </w:pPr>
            <w:r>
              <w:rPr>
                <w:i w:val="false"/>
                <w:iCs w:val="false"/>
                <w:sz w:val="22"/>
                <w:szCs w:val="22"/>
              </w:rPr>
              <w:t xml:space="preserve">Most state chiropractic boards prohibit or heavily restrict claims that chiropractic care "cures" any condition. We use language that describes what the practice does — manage, treat, relieve, support — instead of language that implies guaranteed outcomes. Every condition page is reviewed against your state's specific rule before publication.</w:t>
            </w:r>
          </w:p>
        </w:tc>
      </w:tr>
    </w:tbl>
    <w:p>
      <w:pPr>
        <w:pStyle w:val="Heading4"/>
        <w:spacing w:after="80" w:before="160"/>
      </w:pPr>
      <w:r>
        <w:t xml:space="preserve">Item 2 — Free-exam and discount offers handled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Chiropractors — Item 2</w:t>
            </w:r>
          </w:p>
          <w:p>
            <w:pPr>
              <w:spacing w:after="0" w:line="300"/>
            </w:pPr>
            <w:r>
              <w:rPr>
                <w:i w:val="false"/>
                <w:iCs w:val="false"/>
                <w:sz w:val="22"/>
                <w:szCs w:val="22"/>
              </w:rPr>
              <w:t xml:space="preserve">Free spinal exam, free consultation, $XX special — these offers are tightly regulated in many states. Your state may require disclosure of any additional charges that could result, or specific language about insurance billing. We write these offers to your state's rule, not a generic template that might trigger a citation.</w:t>
            </w:r>
          </w:p>
        </w:tc>
      </w:tr>
    </w:tbl>
    <w:p>
      <w:pPr>
        <w:pStyle w:val="Heading4"/>
        <w:spacing w:after="80" w:before="160"/>
      </w:pPr>
      <w:r>
        <w:t xml:space="preserve">Item 3 — Testimonials, with the documentation each state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Chiropractors — Item 3</w:t>
            </w:r>
          </w:p>
          <w:p>
            <w:pPr>
              <w:spacing w:after="0" w:line="300"/>
            </w:pPr>
            <w:r>
              <w:rPr>
                <w:i w:val="false"/>
                <w:iCs w:val="false"/>
                <w:sz w:val="22"/>
                <w:szCs w:val="22"/>
              </w:rPr>
              <w:t xml:space="preserve">Some state boards permit chiropractic testimonials with patient consent and disclaimers about typical results. Some, like Ohio, require specific written consent to the exact wording, retained for one year after the last publication. Our build process captures consent at the level your state requires, and we keep the records for the duration the rule specifies.</w:t>
            </w:r>
          </w:p>
        </w:tc>
      </w:tr>
    </w:tbl>
    <w:p>
      <w:pPr>
        <w:pStyle w:val="Heading4"/>
        <w:spacing w:after="80" w:before="160"/>
      </w:pPr>
      <w:r>
        <w:t xml:space="preserve">Item 4 — Required terminology where states mandate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Chiropractors — Item 4</w:t>
            </w:r>
          </w:p>
          <w:p>
            <w:pPr>
              <w:spacing w:after="0" w:line="300"/>
            </w:pPr>
            <w:r>
              <w:rPr>
                <w:i w:val="false"/>
                <w:iCs w:val="false"/>
                <w:sz w:val="22"/>
                <w:szCs w:val="22"/>
              </w:rPr>
              <w:t xml:space="preserve">Some state codes require the words "chiropractic," "chiropractor," "doctor of chiropractic," or "chiropractic physician" to appear in advertising in a specific font size. We know which states require this and we build it in — not as small print, but as a design element that does the job correctly.</w:t>
            </w:r>
          </w:p>
        </w:tc>
      </w:tr>
    </w:tbl>
    <w:p>
      <w:pPr>
        <w:pStyle w:val="Heading4"/>
        <w:spacing w:after="80" w:before="160"/>
      </w:pPr>
      <w:r>
        <w:t xml:space="preserve">Item 5 — Insurance and copay language handled by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Chiropractors — Item 5</w:t>
            </w:r>
          </w:p>
          <w:p>
            <w:pPr>
              <w:spacing w:after="0" w:line="300"/>
            </w:pPr>
            <w:r>
              <w:rPr>
                <w:i w:val="false"/>
                <w:iCs w:val="false"/>
                <w:sz w:val="22"/>
                <w:szCs w:val="22"/>
              </w:rPr>
              <w:t xml:space="preserve">Many states prohibit advertising that you'll waive a deductible or copayment. We don't write that copy, even when a practice asks for it — and we explain why so the practice understands the boundary.</w:t>
            </w:r>
          </w:p>
        </w:tc>
      </w:tr>
    </w:tbl>
    <w:p>
      <w:pPr>
        <w:pStyle w:val="Heading3"/>
        <w:spacing w:after="100" w:before="200"/>
      </w:pPr>
      <w:r>
        <w:t xml:space="preserve">Closing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Chiropractors — closing</w:t>
            </w:r>
          </w:p>
          <w:p>
            <w:pPr>
              <w:spacing w:after="60" w:line="280"/>
              <w:ind w:left="240" w:hanging="240"/>
            </w:pPr>
            <w:r>
              <w:rPr>
                <w:b/>
                <w:bCs/>
                <w:color w:val="0F2A4A"/>
                <w:sz w:val="22"/>
                <w:szCs w:val="22"/>
              </w:rPr>
              <w:t xml:space="preserve">• </w:t>
            </w:r>
            <w:r>
              <w:rPr>
                <w:sz w:val="22"/>
                <w:szCs w:val="22"/>
              </w:rPr>
              <w:t xml:space="preserve">Your state board has been writing chiropractic advertising rules for decades. We've read them. Most web shops haven't.</w:t>
            </w:r>
          </w:p>
        </w:tc>
      </w:tr>
    </w:tbl>
    <w:p>
      <w:pPr>
        <w:pStyle w:val="Heading1"/>
        <w:pageBreakBefore/>
        <w:spacing w:after="240" w:before="0"/>
      </w:pPr>
      <w:r>
        <w:t xml:space="preserve">11. Optometrists, Dentists, and Physicians pages</w:t>
      </w:r>
    </w:p>
    <w:p>
      <w:pPr>
        <w:spacing w:after="120" w:line="300"/>
      </w:pPr>
      <w:r>
        <w:t xml:space="preserve">These three pages share a similar structure (each has a state-board-driven advertising regime and FTC-overlay rules), so we present them together. Each gets the shared healthcare component from Section 7A, plus the vertical-specific section below.</w:t>
      </w:r>
    </w:p>
    <w:p>
      <w:pPr>
        <w:pStyle w:val="Heading2"/>
        <w:spacing w:after="140" w:before="280"/>
      </w:pPr>
      <w:r>
        <w:t xml:space="preserve">11A. Optometrists page — /industries/optometrists</w:t>
      </w:r>
    </w:p>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And the rules specific to optometric practice.</w:t>
            </w:r>
          </w:p>
        </w:tc>
      </w:tr>
    </w:tbl>
    <w:p>
      <w:pPr>
        <w:pStyle w:val="Heading3"/>
        <w:spacing w:after="100" w:before="200"/>
      </w:pPr>
      <w:r>
        <w:t xml:space="preserve">Body — five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Optometrists — lead and items</w:t>
            </w:r>
          </w:p>
          <w:p>
            <w:pPr>
              <w:spacing w:after="140" w:line="300"/>
            </w:pPr>
            <w:r>
              <w:rPr>
                <w:i w:val="false"/>
                <w:iCs w:val="false"/>
                <w:sz w:val="22"/>
                <w:szCs w:val="22"/>
              </w:rPr>
              <w:t xml:space="preserve">LEAD: Optometric advertising sits at the intersection of state optometry board rules and two specific FTC rules — the Eyeglass Rule and the Contact Lens Rule — that govern how prescriptions are provided to patients. The website itself can violate these rules without anyone realizing it.</w:t>
            </w:r>
          </w:p>
          <w:p>
            <w:pPr>
              <w:spacing w:after="140" w:line="300"/>
            </w:pPr>
            <w:r>
              <w:rPr>
                <w:i w:val="false"/>
                <w:iCs w:val="false"/>
                <w:sz w:val="22"/>
                <w:szCs w:val="22"/>
              </w:rPr>
              <w:t xml:space="preserve">ITEM 1 — Prescription rights, never obscured. The FTC Eyeglass Rule and Contact Lens Rule require automatic provision of prescriptions to patients at no extra charge. Your website never suggests otherwise — no language implying a patient has to buy glasses or contacts from the practice to receive their Rx.</w:t>
            </w:r>
          </w:p>
          <w:p>
            <w:pPr>
              <w:spacing w:after="140" w:line="300"/>
            </w:pPr>
            <w:r>
              <w:rPr>
                <w:i w:val="false"/>
                <w:iCs w:val="false"/>
                <w:sz w:val="22"/>
                <w:szCs w:val="22"/>
              </w:rPr>
              <w:t xml:space="preserve">ITEM 2 — Pricing offers with full disclosure. "$99 eye exam" and similar promotional pricing must include any additional charges that may apply — contact lens fitting fees, refraction fees, dilation fees. We disclose those clearly on the same page as the headline price.</w:t>
            </w:r>
          </w:p>
          <w:p>
            <w:pPr>
              <w:spacing w:after="140" w:line="300"/>
            </w:pPr>
            <w:r>
              <w:rPr>
                <w:i w:val="false"/>
                <w:iCs w:val="false"/>
                <w:sz w:val="22"/>
                <w:szCs w:val="22"/>
              </w:rPr>
              <w:t xml:space="preserve">ITEM 3 — Specialty claims tied to actual recognition. Vision therapy, low vision rehabilitation, behavioral optometry — specialty claims appear on your site only when supported by the credentials your state board recognizes.</w:t>
            </w:r>
          </w:p>
          <w:p>
            <w:pPr>
              <w:spacing w:after="140" w:line="300"/>
            </w:pPr>
            <w:r>
              <w:rPr>
                <w:i w:val="false"/>
                <w:iCs w:val="false"/>
                <w:sz w:val="22"/>
                <w:szCs w:val="22"/>
              </w:rPr>
              <w:t xml:space="preserve">ITEM 4 — Co-management language that doesn't overstate scope. Optometrists co-manage with ophthalmology in many cases, but the website never implies the optometrist performs surgery. The line is subtle and we know where it sits.</w:t>
            </w:r>
          </w:p>
          <w:p>
            <w:pPr>
              <w:spacing w:after="140" w:line="300"/>
            </w:pPr>
            <w:r>
              <w:rPr>
                <w:i w:val="false"/>
                <w:iCs w:val="false"/>
                <w:sz w:val="22"/>
                <w:szCs w:val="22"/>
              </w:rPr>
              <w:t xml:space="preserve">ITEM 5 — Telehealth and e-commerce considerations. If the practice sells contacts or glasses online, additional FTC rules apply. We build to those rules from the start.</w:t>
            </w:r>
          </w:p>
          <w:p>
            <w:pPr>
              <w:spacing w:after="0" w:line="300"/>
            </w:pPr>
            <w:r>
              <w:rPr>
                <w:i w:val="false"/>
                <w:iCs w:val="false"/>
                <w:sz w:val="22"/>
                <w:szCs w:val="22"/>
              </w:rPr>
              <w:t xml:space="preserve">CLOSING: Your state optometry board's advertising rules and the FTC's Eyeglass and Contact Lens Rules form a layered framework. We build for all of it, not just the parts that are obvious.</w:t>
            </w:r>
          </w:p>
        </w:tc>
      </w:tr>
    </w:tbl>
    <w:p>
      <w:pPr>
        <w:pStyle w:val="Heading2"/>
        <w:spacing w:after="140" w:before="280"/>
      </w:pPr>
      <w:r>
        <w:t xml:space="preserve">11B. Dentists page — /industries/dentists</w:t>
      </w:r>
    </w:p>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And the rules specific to dental practice.</w:t>
            </w:r>
          </w:p>
        </w:tc>
      </w:tr>
    </w:tbl>
    <w:p>
      <w:pPr>
        <w:pStyle w:val="Heading3"/>
        <w:spacing w:after="100" w:before="200"/>
      </w:pPr>
      <w:r>
        <w:t xml:space="preserve">Body — five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Dentists — lead and items</w:t>
            </w:r>
          </w:p>
          <w:p>
            <w:pPr>
              <w:spacing w:after="140" w:line="300"/>
            </w:pPr>
            <w:r>
              <w:rPr>
                <w:i w:val="false"/>
                <w:iCs w:val="false"/>
                <w:sz w:val="22"/>
                <w:szCs w:val="22"/>
              </w:rPr>
              <w:t xml:space="preserve">LEAD: Dental advertising rules are state-specific but share common themes — restrictions on "specialist" claims to formally recognized specialties, careful handling of before-and-after photos, accurate insurance language, and disclosure of pricing for promotional offers. The American Dental Association's Code of Ethics provides the backbone; your state board fills in the specifics.</w:t>
            </w:r>
          </w:p>
          <w:p>
            <w:pPr>
              <w:spacing w:after="140" w:line="300"/>
            </w:pPr>
            <w:r>
              <w:rPr>
                <w:i w:val="false"/>
                <w:iCs w:val="false"/>
                <w:sz w:val="22"/>
                <w:szCs w:val="22"/>
              </w:rPr>
              <w:t xml:space="preserve">ITEM 1 — Specialty designations only where earned. "Orthodontist," "endodontist," "periodontist," "oral surgeon," "pediatric dentist," "prosthodontist" — these titles are restricted to dentists who have completed accredited specialty training. General dentists who provide these services can describe the service without claiming the specialty title. We make that distinction.</w:t>
            </w:r>
          </w:p>
          <w:p>
            <w:pPr>
              <w:spacing w:after="140" w:line="300"/>
            </w:pPr>
            <w:r>
              <w:rPr>
                <w:i w:val="false"/>
                <w:iCs w:val="false"/>
                <w:sz w:val="22"/>
                <w:szCs w:val="22"/>
              </w:rPr>
              <w:t xml:space="preserve">ITEM 2 — Before-and-after galleries with proper documentation. Photos of patient outcomes carry HIPAA implications, plus most state dental boards require disclaimers about typical results. We build the gallery with the consent documentation referenced and the disclaimer in place.</w:t>
            </w:r>
          </w:p>
          <w:p>
            <w:pPr>
              <w:spacing w:after="140" w:line="300"/>
            </w:pPr>
            <w:r>
              <w:rPr>
                <w:i w:val="false"/>
                <w:iCs w:val="false"/>
                <w:sz w:val="22"/>
                <w:szCs w:val="22"/>
              </w:rPr>
              <w:t xml:space="preserve">ITEM 3 — Insurance language that's actually accurate. "We accept all insurance" is essentially never true and many state boards treat it as deceptive. We write "in-network with: [specific list]" and "we file claims with most major insurers" — language that's honest and that doesn't trigger a complaint.</w:t>
            </w:r>
          </w:p>
          <w:p>
            <w:pPr>
              <w:spacing w:after="140" w:line="300"/>
            </w:pPr>
            <w:r>
              <w:rPr>
                <w:i w:val="false"/>
                <w:iCs w:val="false"/>
                <w:sz w:val="22"/>
                <w:szCs w:val="22"/>
              </w:rPr>
              <w:t xml:space="preserve">ITEM 4 — Promotional pricing with full disclosure. "$XX exam," "free whitening," "new patient special" — most states require disclosure of any additional charges that may apply. The headline price and the full picture appear on the same page.</w:t>
            </w:r>
          </w:p>
          <w:p>
            <w:pPr>
              <w:spacing w:after="140" w:line="300"/>
            </w:pPr>
            <w:r>
              <w:rPr>
                <w:i w:val="false"/>
                <w:iCs w:val="false"/>
                <w:sz w:val="22"/>
                <w:szCs w:val="22"/>
              </w:rPr>
              <w:t xml:space="preserve">ITEM 5 — Pediatric dentistry and COPPA awareness. If the practice sees children, the website is built so we don't collect a child's information directly — every form routes through a parent. This keeps the site outside the scope of the Children's Online Privacy Protection Act.</w:t>
            </w:r>
          </w:p>
          <w:p>
            <w:pPr>
              <w:spacing w:after="0" w:line="300"/>
            </w:pPr>
            <w:r>
              <w:rPr>
                <w:i w:val="false"/>
                <w:iCs w:val="false"/>
                <w:sz w:val="22"/>
                <w:szCs w:val="22"/>
              </w:rPr>
              <w:t xml:space="preserve">CLOSING: Your state dental board, the ADA Code of Ethics, and the FTC all have a hand in what your website can say. We work to all three.</w:t>
            </w:r>
          </w:p>
        </w:tc>
      </w:tr>
    </w:tbl>
    <w:p>
      <w:pPr>
        <w:pStyle w:val="Heading2"/>
        <w:spacing w:after="140" w:before="280"/>
      </w:pPr>
      <w:r>
        <w:t xml:space="preserve">11C. Physicians page — /industries/physicians</w:t>
      </w:r>
    </w:p>
    <w:p>
      <w:pPr>
        <w:pStyle w:val="Heading3"/>
        <w:spacing w:after="100" w:before="200"/>
      </w:pPr>
      <w: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heading</w:t>
            </w:r>
          </w:p>
          <w:p>
            <w:pPr>
              <w:spacing w:after="60" w:line="280"/>
              <w:ind w:left="240" w:hanging="240"/>
            </w:pPr>
            <w:r>
              <w:rPr>
                <w:b/>
                <w:bCs/>
                <w:color w:val="0F2A4A"/>
                <w:sz w:val="22"/>
                <w:szCs w:val="22"/>
              </w:rPr>
              <w:t xml:space="preserve">• </w:t>
            </w:r>
            <w:r>
              <w:rPr>
                <w:sz w:val="22"/>
                <w:szCs w:val="22"/>
              </w:rPr>
              <w:t xml:space="preserve">And the rules specific to physician practice.</w:t>
            </w:r>
          </w:p>
        </w:tc>
      </w:tr>
    </w:tbl>
    <w:p>
      <w:pPr>
        <w:pStyle w:val="Heading3"/>
        <w:spacing w:after="100" w:before="200"/>
      </w:pPr>
      <w:r>
        <w:t xml:space="preserve">Body — five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Physicians — lead and items</w:t>
            </w:r>
          </w:p>
          <w:p>
            <w:pPr>
              <w:spacing w:after="140" w:line="300"/>
            </w:pPr>
            <w:r>
              <w:rPr>
                <w:i w:val="false"/>
                <w:iCs w:val="false"/>
                <w:sz w:val="22"/>
                <w:szCs w:val="22"/>
              </w:rPr>
              <w:t xml:space="preserve">LEAD: Physician advertising is governed by your state medical board, which typically follows model rules from the Federation of State Medical Boards. The American Medical Association's Code of Medical Ethics provides ethical guidance. The FTC overlays substantiation requirements. And board-certification claims have their own specific rules tied to ABMS, AOA-BOS, or equivalent certifying bodies. There is more here than a generic web shop sees.</w:t>
            </w:r>
          </w:p>
          <w:p>
            <w:pPr>
              <w:spacing w:after="140" w:line="300"/>
            </w:pPr>
            <w:r>
              <w:rPr>
                <w:i w:val="false"/>
                <w:iCs w:val="false"/>
                <w:sz w:val="22"/>
                <w:szCs w:val="22"/>
              </w:rPr>
              <w:t xml:space="preserve">ITEM 1 — Board certification, displayed exactly as required. "Board certified" appears on your site only with the certifying board explicitly named (e.g., "Board certified in internal medicine by the American Board of Internal Medicine"). Naming the board is required by FSMB-aligned rules in most states; "board certified" alone is not enough.</w:t>
            </w:r>
          </w:p>
          <w:p>
            <w:pPr>
              <w:spacing w:after="140" w:line="300"/>
            </w:pPr>
            <w:r>
              <w:rPr>
                <w:i w:val="false"/>
                <w:iCs w:val="false"/>
                <w:sz w:val="22"/>
                <w:szCs w:val="22"/>
              </w:rPr>
              <w:t xml:space="preserve">ITEM 2 — Patient testimonials handled by your state's rule. Some states (notably New York) prohibit patient testimonials in physician advertising entirely — regardless of patient consent. Most permit them with substantial caveats: HIPAA authorization, no implied guarantees, no atypical results without context. Our default for physician sites in restrictive states is to not include patient testimonials at all; in permissive states, we structure them with the documentation and disclaimers required.</w:t>
            </w:r>
          </w:p>
          <w:p>
            <w:pPr>
              <w:spacing w:after="140" w:line="300"/>
            </w:pPr>
            <w:r>
              <w:rPr>
                <w:i w:val="false"/>
                <w:iCs w:val="false"/>
                <w:sz w:val="22"/>
                <w:szCs w:val="22"/>
              </w:rPr>
              <w:t xml:space="preserve">ITEM 3 — Substantiation for every objective claim. "Award-winning," "the area's top heart surgeon," "30 years of experience," "more than 5,000 procedures" — all objective claims that need a source on file before they appear on your site. The FTC and your state board both require substantiation; we capture it as part of the build.</w:t>
            </w:r>
          </w:p>
          <w:p>
            <w:pPr>
              <w:spacing w:after="140" w:line="300"/>
            </w:pPr>
            <w:r>
              <w:rPr>
                <w:i w:val="false"/>
                <w:iCs w:val="false"/>
                <w:sz w:val="22"/>
                <w:szCs w:val="22"/>
              </w:rPr>
              <w:t xml:space="preserve">ITEM 4 — Telehealth scope stated with state-by-state precision. If you offer virtual visits, the site lists every state you're licensed in. Patient location at the time of the visit determines which state's medical practice law applies — getting this wrong is one of the most common compliance failures in modern practice.</w:t>
            </w:r>
          </w:p>
          <w:p>
            <w:pPr>
              <w:spacing w:after="140" w:line="300"/>
            </w:pPr>
            <w:r>
              <w:rPr>
                <w:i w:val="false"/>
                <w:iCs w:val="false"/>
                <w:sz w:val="22"/>
                <w:szCs w:val="22"/>
              </w:rPr>
              <w:t xml:space="preserve">ITEM 5 — Cosmetic and aesthetic services handled with extra care. Plastic surgery, dermatology, cosmetic-adjacent specialties draw the most state-board scrutiny and the most FTC enforcement. Before-and-after photos, weight-loss claims, and outcome statements all need substantiation — and we build accordingly.</w:t>
            </w:r>
          </w:p>
          <w:p>
            <w:pPr>
              <w:spacing w:after="0" w:line="300"/>
            </w:pPr>
            <w:r>
              <w:rPr>
                <w:i w:val="false"/>
                <w:iCs w:val="false"/>
                <w:sz w:val="22"/>
                <w:szCs w:val="22"/>
              </w:rPr>
              <w:t xml:space="preserve">CLOSING: Your state medical board has the final say on what your advertising can claim. We build your site so that every claim on it has a defensible source — and so the parts most likely to draw scrutiny draw the least.</w:t>
            </w:r>
          </w:p>
        </w:tc>
      </w:tr>
    </w:tbl>
    <w:p>
      <w:pPr>
        <w:pStyle w:val="Heading1"/>
        <w:pageBreakBefore/>
        <w:spacing w:after="240" w:before="0"/>
      </w:pPr>
      <w:r>
        <w:t xml:space="preserve">12. NEW: Dedicated /compliance page (recommended)</w:t>
      </w:r>
    </w:p>
    <w:p>
      <w:pPr>
        <w:spacing w:after="120" w:line="300"/>
      </w:pPr>
      <w:r>
        <w:t xml:space="preserve">This is a new page on graylockdigital.com. It serves three purposes: (1) SEO — "compliant website builder for [industry]" and similar queries are searched by exactly the kind of buyer Graylock wants; (2) sales asset — a place to send a prospect's compliance officer or attorney when they ask "what does your shop actually do about [rule]"; (3) credibility signal — having this page at all says you take this seriously.</w:t>
      </w:r>
    </w:p>
    <w:p>
      <w:pPr>
        <w:pStyle w:val="Heading2"/>
        <w:spacing w:after="140" w:before="280"/>
      </w:pPr>
      <w:r>
        <w:t xml:space="preserve">12A. Page structure</w:t>
      </w:r>
    </w:p>
    <w:p>
      <w:pPr>
        <w:pStyle w:val="Heading3"/>
        <w:spacing w:after="100" w:before="200"/>
      </w:pPr>
      <w:r>
        <w:t xml:space="preserve">URL and navigation</w:t>
      </w:r>
    </w:p>
    <w:p>
      <w:pPr>
        <w:pStyle w:val="ListParagraph"/>
        <w:numPr>
          <w:ilvl w:val="0"/>
          <w:numId w:val="2"/>
        </w:numPr>
        <w:spacing w:after="80" w:line="300"/>
      </w:pPr>
      <w:r>
        <w:t xml:space="preserve">URL: /compliance</w:t>
      </w:r>
    </w:p>
    <w:p>
      <w:pPr>
        <w:pStyle w:val="ListParagraph"/>
        <w:numPr>
          <w:ilvl w:val="0"/>
          <w:numId w:val="2"/>
        </w:numPr>
        <w:spacing w:after="80" w:line="300"/>
      </w:pPr>
      <w:r>
        <w:t xml:space="preserve">Top-level navigation: link from the main nav, possibly under an "About" or "Approach" dropdown if that exists. If no dropdown, link from the footer at minimum.</w:t>
      </w:r>
    </w:p>
    <w:p>
      <w:pPr>
        <w:pStyle w:val="ListParagraph"/>
        <w:numPr>
          <w:ilvl w:val="0"/>
          <w:numId w:val="2"/>
        </w:numPr>
        <w:spacing w:after="80" w:line="300"/>
      </w:pPr>
      <w:r>
        <w:t xml:space="preserve">Internal linking: every industry page's compliance section ends with a "Read our full compliance approach →" link to this page.</w:t>
      </w:r>
    </w:p>
    <w:p>
      <w:pPr>
        <w:pStyle w:val="Heading3"/>
        <w:spacing w:after="100" w:before="200"/>
      </w:pPr>
      <w:r>
        <w:t xml:space="preserve">Page sections (in order)</w:t>
      </w:r>
    </w:p>
    <w:p>
      <w:pPr>
        <w:pStyle w:val="ListParagraph"/>
        <w:numPr>
          <w:ilvl w:val="0"/>
          <w:numId w:val="3"/>
        </w:numPr>
        <w:spacing w:after="80" w:line="300"/>
      </w:pPr>
      <w:r>
        <w:t xml:space="preserve">Hero — page title and one-paragraph framing.</w:t>
      </w:r>
    </w:p>
    <w:p>
      <w:pPr>
        <w:pStyle w:val="ListParagraph"/>
        <w:numPr>
          <w:ilvl w:val="0"/>
          <w:numId w:val="3"/>
        </w:numPr>
        <w:spacing w:after="80" w:line="300"/>
      </w:pPr>
      <w:r>
        <w:t xml:space="preserve">"The federal floor" — what every Graylock site does.</w:t>
      </w:r>
    </w:p>
    <w:p>
      <w:pPr>
        <w:pStyle w:val="ListParagraph"/>
        <w:numPr>
          <w:ilvl w:val="0"/>
          <w:numId w:val="3"/>
        </w:numPr>
        <w:spacing w:after="80" w:line="300"/>
      </w:pPr>
      <w:r>
        <w:t xml:space="preserve">"The state layer" — privacy laws and state advertising rules.</w:t>
      </w:r>
    </w:p>
    <w:p>
      <w:pPr>
        <w:pStyle w:val="ListParagraph"/>
        <w:numPr>
          <w:ilvl w:val="0"/>
          <w:numId w:val="3"/>
        </w:numPr>
        <w:spacing w:after="80" w:line="300"/>
      </w:pPr>
      <w:r>
        <w:t xml:space="preserve">"Industry-specific rules" — short summary with links to each industry page.</w:t>
      </w:r>
    </w:p>
    <w:p>
      <w:pPr>
        <w:pStyle w:val="ListParagraph"/>
        <w:numPr>
          <w:ilvl w:val="0"/>
          <w:numId w:val="3"/>
        </w:numPr>
        <w:spacing w:after="80" w:line="300"/>
      </w:pPr>
      <w:r>
        <w:t xml:space="preserve">"What we don't do" — the differentiating stance section.</w:t>
      </w:r>
    </w:p>
    <w:p>
      <w:pPr>
        <w:pStyle w:val="ListParagraph"/>
        <w:numPr>
          <w:ilvl w:val="0"/>
          <w:numId w:val="3"/>
        </w:numPr>
        <w:spacing w:after="80" w:line="300"/>
      </w:pPr>
      <w:r>
        <w:t xml:space="preserve">"Where our role ends" — the responsibility-disclaimer section.</w:t>
      </w:r>
    </w:p>
    <w:p>
      <w:pPr>
        <w:pStyle w:val="ListParagraph"/>
        <w:numPr>
          <w:ilvl w:val="0"/>
          <w:numId w:val="3"/>
        </w:numPr>
        <w:spacing w:after="80" w:line="300"/>
      </w:pPr>
      <w:r>
        <w:t xml:space="preserve">CTA — talk to us about your specific industry.</w:t>
      </w:r>
    </w:p>
    <w:p>
      <w:pPr>
        <w:pStyle w:val="Heading2"/>
        <w:spacing w:after="140" w:before="280"/>
      </w:pPr>
      <w:r>
        <w:t xml:space="preserve">12B. Section-by-section copy</w:t>
      </w:r>
    </w:p>
    <w:p>
      <w:pPr>
        <w:pStyle w:val="Heading3"/>
        <w:spacing w:after="100" w:before="200"/>
      </w:pPr>
      <w: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H1 + one-paragraph intro</w:t>
            </w:r>
          </w:p>
          <w:p>
            <w:pPr>
              <w:spacing w:after="60" w:line="280"/>
              <w:ind w:left="240" w:hanging="240"/>
            </w:pPr>
            <w:r>
              <w:rPr>
                <w:b/>
                <w:bCs/>
                <w:color w:val="0F2A4A"/>
                <w:sz w:val="22"/>
                <w:szCs w:val="22"/>
              </w:rPr>
              <w:t xml:space="preserve">• </w:t>
            </w:r>
            <w:r>
              <w:rPr>
                <w:sz w:val="22"/>
                <w:szCs w:val="22"/>
              </w:rPr>
              <w:t xml:space="preserve">H1: "Compliance, built into the website."</w:t>
            </w:r>
          </w:p>
          <w:p>
            <w:pPr>
              <w:spacing w:after="60" w:line="280"/>
              <w:ind w:left="240" w:hanging="240"/>
            </w:pPr>
            <w:r>
              <w:rPr>
                <w:b/>
                <w:bCs/>
                <w:color w:val="0F2A4A"/>
                <w:sz w:val="22"/>
                <w:szCs w:val="22"/>
              </w:rPr>
              <w:t xml:space="preserve">• </w:t>
            </w:r>
            <w:r>
              <w:rPr>
                <w:sz w:val="22"/>
                <w:szCs w:val="22"/>
              </w:rPr>
              <w:t xml:space="preserve">Subtitle (h2 or large lead): "How Graylock builds for federal, state, and industry-specific rules from day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/compliance — hero paragraph</w:t>
            </w:r>
          </w:p>
          <w:p>
            <w:pPr>
              <w:spacing w:after="0" w:line="300"/>
            </w:pPr>
            <w:r>
              <w:rPr>
                <w:i w:val="false"/>
                <w:iCs w:val="false"/>
                <w:sz w:val="22"/>
                <w:szCs w:val="22"/>
              </w:rPr>
              <w:t xml:space="preserve">A website is the public record of what your business says about itself. In regulated industries, that record is the first thing a regulator, a competitor, or an unhappy customer reaches for when something goes wrong. Graylock builds websites with that reality in mind. This page describes what "compliance-aware" means in our process — what we build to, what we don't, and where our role ends and yours begins.</w:t>
            </w:r>
          </w:p>
        </w:tc>
      </w:tr>
    </w:tbl>
    <w:p>
      <w:pPr>
        <w:pStyle w:val="Heading3"/>
        <w:spacing w:after="100" w:before="200"/>
      </w:pPr>
      <w:r>
        <w:t xml:space="preserve">Section: "The federal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 body</w:t>
            </w:r>
          </w:p>
          <w:p>
            <w:pPr>
              <w:spacing w:after="60" w:line="280"/>
              <w:ind w:left="240" w:hanging="240"/>
            </w:pPr>
            <w:r>
              <w:rPr>
                <w:b/>
                <w:bCs/>
                <w:color w:val="0F2A4A"/>
                <w:sz w:val="22"/>
                <w:szCs w:val="22"/>
              </w:rPr>
              <w:t xml:space="preserve">• </w:t>
            </w:r>
            <w:r>
              <w:rPr>
                <w:sz w:val="22"/>
                <w:szCs w:val="22"/>
              </w:rPr>
              <w:t xml:space="preserve">H2: "The federal floor — what every Graylock site does."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/compliance — federal section</w:t>
            </w:r>
          </w:p>
          <w:p>
            <w:pPr>
              <w:spacing w:after="140" w:line="300"/>
            </w:pPr>
            <w:r>
              <w:rPr>
                <w:i w:val="false"/>
                <w:iCs w:val="false"/>
                <w:sz w:val="22"/>
                <w:szCs w:val="22"/>
              </w:rPr>
              <w:t xml:space="preserve">Every site Graylock builds is structured against the federal marketing-law baseline. That means:</w:t>
            </w:r>
          </w:p>
          <w:p>
            <w:pPr>
              <w:spacing w:after="140" w:line="300"/>
            </w:pPr>
            <w:r>
              <w:rPr>
                <w:i w:val="false"/>
                <w:iCs w:val="false"/>
                <w:sz w:val="22"/>
                <w:szCs w:val="22"/>
              </w:rPr>
              <w:t xml:space="preserve">FTC truth-in-advertising standards. Every objective claim on your site has a substantiation source documented during the build. Testimonials are structured to meet the FTC's 2024 Reviews Rule — no fake reviews, material connections disclosed, and "results not typical" handled honestly.</w:t>
            </w:r>
          </w:p>
          <w:p>
            <w:pPr>
              <w:spacing w:after="140" w:line="300"/>
            </w:pPr>
            <w:r>
              <w:rPr>
                <w:i w:val="false"/>
                <w:iCs w:val="false"/>
                <w:sz w:val="22"/>
                <w:szCs w:val="22"/>
              </w:rPr>
              <w:t xml:space="preserve">CAN-SPAM Act compliance for any commercial email sent from your site. Postal address present. Working unsubscribe link in every template. Opt-outs honored within ten business days. Suppression list maintained.</w:t>
            </w:r>
          </w:p>
          <w:p>
            <w:pPr>
              <w:spacing w:after="140" w:line="300"/>
            </w:pPr>
            <w:r>
              <w:rPr>
                <w:i w:val="false"/>
                <w:iCs w:val="false"/>
                <w:sz w:val="22"/>
                <w:szCs w:val="22"/>
              </w:rPr>
              <w:t xml:space="preserve">Telephone Consumer Protection Act practices for any phone or text capture on your site. Express consent captured before automated calls or texts. Logs retained — IP, timestamp, page URL, language presented. Opt-out mechanisms honored across reasonable language. National Do Not Call Registry scrubbed when applicable.</w:t>
            </w:r>
          </w:p>
          <w:p>
            <w:pPr>
              <w:spacing w:after="0" w:line="300"/>
            </w:pPr>
            <w:r>
              <w:rPr>
                <w:i w:val="false"/>
                <w:iCs w:val="false"/>
                <w:sz w:val="22"/>
                <w:szCs w:val="22"/>
              </w:rPr>
              <w:t xml:space="preserve">ADA accessibility under WCAG 2.1 Level AA. Semantic HTML. Alt text on every meaningful image. Color contrast minimums met. Keyboard navigation. Captioned video. Forms with proper labels. We build to the standard, instead of bolting on an overlay widget that doesn't actually fix accessibility issues.</w:t>
            </w:r>
          </w:p>
        </w:tc>
      </w:tr>
    </w:tbl>
    <w:p>
      <w:pPr>
        <w:pStyle w:val="Heading3"/>
        <w:spacing w:after="100" w:before="200"/>
      </w:pPr>
      <w:r>
        <w:t xml:space="preserve">Section: "The state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 body</w:t>
            </w:r>
          </w:p>
          <w:p>
            <w:pPr>
              <w:spacing w:after="60" w:line="280"/>
              <w:ind w:left="240" w:hanging="240"/>
            </w:pPr>
            <w:r>
              <w:rPr>
                <w:b/>
                <w:bCs/>
                <w:color w:val="0F2A4A"/>
                <w:sz w:val="22"/>
                <w:szCs w:val="22"/>
              </w:rPr>
              <w:t xml:space="preserve">• </w:t>
            </w:r>
            <w:r>
              <w:rPr>
                <w:sz w:val="22"/>
                <w:szCs w:val="22"/>
              </w:rPr>
              <w:t xml:space="preserve">H2: "The state layer — privacy laws and advertising rules."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/compliance — state section</w:t>
            </w:r>
          </w:p>
          <w:p>
            <w:pPr>
              <w:spacing w:after="140" w:line="300"/>
            </w:pPr>
            <w:r>
              <w:rPr>
                <w:i w:val="false"/>
                <w:iCs w:val="false"/>
                <w:sz w:val="22"/>
                <w:szCs w:val="22"/>
              </w:rPr>
              <w:t xml:space="preserve">More than twenty states now have comprehensive consumer privacy laws — California, Virginia, Colorado, Connecticut, Texas, Montana, Oregon, Delaware, and growing. Each one defines "covered businesses" differently, but most require:</w:t>
            </w:r>
          </w:p>
          <w:p>
            <w:pPr>
              <w:spacing w:after="140" w:line="300"/>
            </w:pPr>
            <w:r>
              <w:rPr>
                <w:i w:val="false"/>
                <w:iCs w:val="false"/>
                <w:sz w:val="22"/>
                <w:szCs w:val="22"/>
              </w:rPr>
              <w:t xml:space="preserve">A privacy notice that discloses what data the site collects, why, who it's shared with, and how a visitor can make a request about their data.</w:t>
            </w:r>
          </w:p>
          <w:p>
            <w:pPr>
              <w:spacing w:after="140" w:line="300"/>
            </w:pPr>
            <w:r>
              <w:rPr>
                <w:i w:val="false"/>
                <w:iCs w:val="false"/>
                <w:sz w:val="22"/>
                <w:szCs w:val="22"/>
              </w:rPr>
              <w:t xml:space="preserve">A way for visitors to access, correct, delete, or port their personal information (a Data Subject Access Request workflow).</w:t>
            </w:r>
          </w:p>
          <w:p>
            <w:pPr>
              <w:spacing w:after="140" w:line="300"/>
            </w:pPr>
            <w:r>
              <w:rPr>
                <w:i w:val="false"/>
                <w:iCs w:val="false"/>
                <w:sz w:val="22"/>
                <w:szCs w:val="22"/>
              </w:rPr>
              <w:t xml:space="preserve">Honoring of browser-level signals like Global Privacy Control — required by California, Colorado, Connecticut, Texas, Oregon, Montana, and others.</w:t>
            </w:r>
          </w:p>
          <w:p>
            <w:pPr>
              <w:spacing w:after="140" w:line="300"/>
            </w:pPr>
            <w:r>
              <w:rPr>
                <w:i w:val="false"/>
                <w:iCs w:val="false"/>
                <w:sz w:val="22"/>
                <w:szCs w:val="22"/>
              </w:rPr>
              <w:t xml:space="preserve">Special handling of sensitive data — health information, biometric data, racial or religious data, sexual orientation, citizenship status. Most state laws require opt-in consent for these categories, not opt-out.</w:t>
            </w:r>
          </w:p>
          <w:p>
            <w:pPr>
              <w:spacing w:after="140" w:line="300"/>
            </w:pPr>
            <w:r>
              <w:rPr>
                <w:i w:val="false"/>
                <w:iCs w:val="false"/>
                <w:sz w:val="22"/>
                <w:szCs w:val="22"/>
              </w:rPr>
              <w:t xml:space="preserve">Graylock configures every site for the strictest state law that applies to your business — not just the state your office is in. Your customers' or patients' location is what matters, not yours.</w:t>
            </w:r>
          </w:p>
          <w:p>
            <w:pPr>
              <w:spacing w:after="0" w:line="300"/>
            </w:pPr>
            <w:r>
              <w:rPr>
                <w:i w:val="false"/>
                <w:iCs w:val="false"/>
                <w:sz w:val="22"/>
                <w:szCs w:val="22"/>
              </w:rPr>
              <w:t xml:space="preserve">On the advertising side, state licensing boards (medical, dental, contractor, accountancy, optometry, chiropractic, psychology, physical therapy) each have their own rules about what a licensed professional can say in advertising. We've done the homework on the verticals we serve, and your site reflects what your specific licensing body requires.</w:t>
            </w:r>
          </w:p>
        </w:tc>
      </w:tr>
    </w:tbl>
    <w:p>
      <w:pPr>
        <w:pStyle w:val="Heading3"/>
        <w:spacing w:after="100" w:before="200"/>
      </w:pPr>
      <w:r>
        <w:t xml:space="preserve">Section: "Industry-specific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 body + links</w:t>
            </w:r>
          </w:p>
          <w:p>
            <w:pPr>
              <w:spacing w:after="60" w:line="280"/>
              <w:ind w:left="240" w:hanging="240"/>
            </w:pPr>
            <w:r>
              <w:rPr>
                <w:b/>
                <w:bCs/>
                <w:color w:val="0F2A4A"/>
                <w:sz w:val="22"/>
                <w:szCs w:val="22"/>
              </w:rPr>
              <w:t xml:space="preserve">• </w:t>
            </w:r>
            <w:r>
              <w:rPr>
                <w:sz w:val="22"/>
                <w:szCs w:val="22"/>
              </w:rPr>
              <w:t xml:space="preserve">H2: "Your industry, specifically."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/compliance — industry section</w:t>
            </w:r>
          </w:p>
          <w:p>
            <w:pPr>
              <w:spacing w:after="140" w:line="300"/>
            </w:pPr>
            <w:r>
              <w:rPr>
                <w:i w:val="false"/>
                <w:iCs w:val="false"/>
                <w:sz w:val="22"/>
                <w:szCs w:val="22"/>
              </w:rPr>
              <w:t xml:space="preserve">Beyond the federal and state layers, every regulated profession has its own specific rules. We've documented our approach for each of the verticals we serve:</w:t>
            </w:r>
          </w:p>
          <w:p>
            <w:pPr>
              <w:spacing w:after="140" w:line="300"/>
            </w:pPr>
            <w:r>
              <w:rPr>
                <w:i w:val="false"/>
                <w:iCs w:val="false"/>
                <w:sz w:val="22"/>
                <w:szCs w:val="22"/>
              </w:rPr>
              <w:t xml:space="preserve">Home Builders &amp; Industrial Construction — state contractor licensing display, scope-of-license accuracy, environmental and safety claim substantiation. [Link]</w:t>
            </w:r>
          </w:p>
          <w:p>
            <w:pPr>
              <w:spacing w:after="140" w:line="300"/>
            </w:pPr>
            <w:r>
              <w:rPr>
                <w:i w:val="false"/>
                <w:iCs w:val="false"/>
                <w:sz w:val="22"/>
                <w:szCs w:val="22"/>
              </w:rPr>
              <w:t xml:space="preserve">Accounting Firms — AICPA Code of Professional Conduct, state board advertising rules, Treasury Circular 230 for tax practice. [Link]</w:t>
            </w:r>
          </w:p>
          <w:p>
            <w:pPr>
              <w:spacing w:after="140" w:line="300"/>
            </w:pPr>
            <w:r>
              <w:rPr>
                <w:i w:val="false"/>
                <w:iCs w:val="false"/>
                <w:sz w:val="22"/>
                <w:szCs w:val="22"/>
              </w:rPr>
              <w:t xml:space="preserve">Other Trust-Based Professionals (law, finance) — state bar advertising rules, SEC Marketing Rule, FINRA rules, working alongside your compliance reviewer. [Link]</w:t>
            </w:r>
          </w:p>
          <w:p>
            <w:pPr>
              <w:spacing w:after="0" w:line="300"/>
            </w:pPr>
            <w:r>
              <w:rPr>
                <w:i w:val="false"/>
                <w:iCs w:val="false"/>
                <w:sz w:val="22"/>
                <w:szCs w:val="22"/>
              </w:rPr>
              <w:t xml:space="preserve">Healthcare Practices — privacy-first form design that keeps patient data outside the website, no advertising pixels on condition pages, and the specific advertising rules for psychologists, physical therapists, chiropractors, optometrists, dentists, and physicians. [Links to each vertical]</w:t>
            </w:r>
          </w:p>
        </w:tc>
      </w:tr>
    </w:tbl>
    <w:p>
      <w:pPr>
        <w:pStyle w:val="Heading3"/>
        <w:spacing w:after="100" w:before="200"/>
      </w:pPr>
      <w:r>
        <w:t xml:space="preserve">Section: "What we don't do" (the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 body</w:t>
            </w:r>
          </w:p>
          <w:p>
            <w:pPr>
              <w:spacing w:after="60" w:line="280"/>
              <w:ind w:left="240" w:hanging="240"/>
            </w:pPr>
            <w:r>
              <w:rPr>
                <w:b/>
                <w:bCs/>
                <w:color w:val="0F2A4A"/>
                <w:sz w:val="22"/>
                <w:szCs w:val="22"/>
              </w:rPr>
              <w:t xml:space="preserve">• </w:t>
            </w:r>
            <w:r>
              <w:rPr>
                <w:sz w:val="22"/>
                <w:szCs w:val="22"/>
              </w:rPr>
              <w:t xml:space="preserve">H2: "What we don't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/compliance — what we don't do</w:t>
            </w:r>
          </w:p>
          <w:p>
            <w:pPr>
              <w:spacing w:after="140" w:line="300"/>
            </w:pPr>
            <w:r>
              <w:rPr>
                <w:i w:val="false"/>
                <w:iCs w:val="false"/>
                <w:sz w:val="22"/>
                <w:szCs w:val="22"/>
              </w:rPr>
              <w:t xml:space="preserve">Some of the most important compliance choices we make are the things we refuse to do.</w:t>
            </w:r>
          </w:p>
          <w:p>
            <w:pPr>
              <w:spacing w:after="140" w:line="300"/>
            </w:pPr>
            <w:r>
              <w:rPr>
                <w:i w:val="false"/>
                <w:iCs w:val="false"/>
                <w:sz w:val="22"/>
                <w:szCs w:val="22"/>
              </w:rPr>
              <w:t xml:space="preserve">We don't sell accessibility overlay widgets. The bolt-on bottom-right-corner buttons that promise "one-line ADA compliance" don't fix the underlying code issues that cause accessibility failures. The FTC took enforcement action against an overlay vendor in 2025 for false compliance claims, and courts consistently treat overlays as inadequate. We build accessibility into the site itself.</w:t>
            </w:r>
          </w:p>
          <w:p>
            <w:pPr>
              <w:spacing w:after="140" w:line="300"/>
            </w:pPr>
            <w:r>
              <w:rPr>
                <w:i w:val="false"/>
                <w:iCs w:val="false"/>
                <w:sz w:val="22"/>
                <w:szCs w:val="22"/>
              </w:rPr>
              <w:t xml:space="preserve">We don't put advertising pixels on healthcare condition pages. Meta Pixel, TikTok Pixel, and similar advertising trackers transmit data that — when combined with a page describing a specific medical condition — has been found to constitute Protected Health Information. The HHS Office for Civil Rights has been enforcing this since 2022. Our healthcare clients don't carry that risk on their sites.</w:t>
            </w:r>
          </w:p>
          <w:p>
            <w:pPr>
              <w:spacing w:after="140" w:line="300"/>
            </w:pPr>
            <w:r>
              <w:rPr>
                <w:i w:val="false"/>
                <w:iCs w:val="false"/>
                <w:sz w:val="22"/>
                <w:szCs w:val="22"/>
              </w:rPr>
              <w:t xml:space="preserve">We don't write "we accept all insurance," "we guarantee results," or other language we know your state board will treat as misleading — even when a client asks for it. Instead, we explain why and propose language that says what they actually mean.</w:t>
            </w:r>
          </w:p>
          <w:p>
            <w:pPr>
              <w:spacing w:after="0" w:line="300"/>
            </w:pPr>
            <w:r>
              <w:rPr>
                <w:i w:val="false"/>
                <w:iCs w:val="false"/>
                <w:sz w:val="22"/>
                <w:szCs w:val="22"/>
              </w:rPr>
              <w:t xml:space="preserve">We don't promise our clients that their websites are legally compliant. Compliance is a property of the entire business, not a property of the website. What we promise is that the website is built so the rules that apply to the client's industry shape it from the start.</w:t>
            </w:r>
          </w:p>
        </w:tc>
      </w:tr>
    </w:tbl>
    <w:p>
      <w:pPr>
        <w:pStyle w:val="Heading3"/>
        <w:spacing w:after="100" w:before="200"/>
      </w:pPr>
      <w:r>
        <w:t xml:space="preserve">Section: "Where our role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H2 + body</w:t>
            </w:r>
          </w:p>
          <w:p>
            <w:pPr>
              <w:spacing w:after="60" w:line="280"/>
              <w:ind w:left="240" w:hanging="240"/>
            </w:pPr>
            <w:r>
              <w:rPr>
                <w:b/>
                <w:bCs/>
                <w:color w:val="0F2A4A"/>
                <w:sz w:val="22"/>
                <w:szCs w:val="22"/>
              </w:rPr>
              <w:t xml:space="preserve">• </w:t>
            </w:r>
            <w:r>
              <w:rPr>
                <w:sz w:val="22"/>
                <w:szCs w:val="22"/>
              </w:rPr>
              <w:t xml:space="preserve">H2: "Where our role ends — and yours begins."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AE3E" w:sz="6"/>
              <w:left w:val="single" w:color="8AAE3E" w:sz="20"/>
              <w:bottom w:val="single" w:color="8AAE3E" w:sz="6"/>
              <w:right w:val="single" w:color="8AAE3E" w:sz="6"/>
            </w:tcBorders>
            <w:shd w:fill="F4F8E8" w:val="clear"/>
            <w:tcMar>
              <w:top w:type="dxa" w:w="200"/>
              <w:left w:type="dxa" w:w="240"/>
              <w:bottom w:type="dxa" w:w="200"/>
              <w:right w:type="dxa" w:w="240"/>
            </w:tcMar>
          </w:tcPr>
          <w:p>
            <w:pPr>
              <w:spacing w:after="100"/>
            </w:pPr>
            <w:r>
              <w:rPr>
                <w:b/>
                <w:bCs/>
                <w:color w:val="8AAE3E"/>
                <w:sz w:val="20"/>
                <w:szCs w:val="20"/>
              </w:rPr>
              <w:t xml:space="preserve">✎ SUGGESTED COPY — /compliance — limits</w:t>
            </w:r>
          </w:p>
          <w:p>
            <w:pPr>
              <w:spacing w:after="140" w:line="300"/>
            </w:pPr>
            <w:r>
              <w:rPr>
                <w:i w:val="false"/>
                <w:iCs w:val="false"/>
                <w:sz w:val="22"/>
                <w:szCs w:val="22"/>
              </w:rPr>
              <w:t xml:space="preserve">We are a website partner, not a law firm, a CPA firm, or a compliance consultancy. The compliance rules that govern your business are ultimately your responsibility to meet, working with your attorney, your state licensing board, and any compliance officer or reviewer your firm employs.</w:t>
            </w:r>
          </w:p>
          <w:p>
            <w:pPr>
              <w:spacing w:after="140" w:line="300"/>
            </w:pPr>
            <w:r>
              <w:rPr>
                <w:i w:val="false"/>
                <w:iCs w:val="false"/>
                <w:sz w:val="22"/>
                <w:szCs w:val="22"/>
              </w:rPr>
              <w:t xml:space="preserve">What we do is shape the website itself so that meeting those rules is straightforward instead of a moving target. We document the choices we make. We update sites as rules change. And we tell our clients when something material happens — a new state privacy law going into effect, a state board issuing new guidance, an HHS enforcement action setting a new precedent.</w:t>
            </w:r>
          </w:p>
          <w:p>
            <w:pPr>
              <w:spacing w:after="0" w:line="300"/>
            </w:pPr>
            <w:r>
              <w:rPr>
                <w:i w:val="false"/>
                <w:iCs w:val="false"/>
                <w:sz w:val="22"/>
                <w:szCs w:val="22"/>
              </w:rPr>
              <w:t xml:space="preserve">If your attorney or compliance officer reviews this page and has questions about specifically how we implement any of it, we welcome the conversation. That review is part of how good websites get built.</w:t>
            </w:r>
          </w:p>
        </w:tc>
      </w:tr>
    </w:tbl>
    <w:p>
      <w:pPr>
        <w:pStyle w:val="Heading3"/>
        <w:spacing w:after="100" w:before="200"/>
      </w:pPr>
      <w:r>
        <w:t xml:space="preserve">Section: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4"/>
              <w:left w:val="single" w:color="0F2A4A" w:sz="16"/>
              <w:bottom w:val="single" w:color="0F2A4A" w:sz="4"/>
              <w:right w:val="single" w:color="0F2A4A" w:sz="4"/>
            </w:tcBorders>
            <w:shd w:fill="F5F8FB" w:val="clear"/>
            <w:tcMar>
              <w:top w:type="dxa" w:w="200"/>
              <w:left w:type="dxa" w:w="240"/>
              <w:bottom w:type="dxa" w:w="200"/>
              <w:right w:type="dxa" w:w="240"/>
            </w:tcMar>
          </w:tcPr>
          <w:p>
            <w:pPr>
              <w:spacing w:after="100"/>
            </w:pPr>
            <w:r>
              <w:rPr>
                <w:b/>
                <w:bCs/>
                <w:color w:val="0F2A4A"/>
                <w:sz w:val="20"/>
                <w:szCs w:val="20"/>
              </w:rPr>
              <w:t xml:space="preserve">▸ BUILD INSTRUCTIONS — CTA section</w:t>
            </w:r>
          </w:p>
          <w:p>
            <w:pPr>
              <w:spacing w:after="60" w:line="280"/>
              <w:ind w:left="240" w:hanging="240"/>
            </w:pPr>
            <w:r>
              <w:rPr>
                <w:b/>
                <w:bCs/>
                <w:color w:val="0F2A4A"/>
                <w:sz w:val="22"/>
                <w:szCs w:val="22"/>
              </w:rPr>
              <w:t xml:space="preserve">• </w:t>
            </w:r>
            <w:r>
              <w:rPr>
                <w:sz w:val="22"/>
                <w:szCs w:val="22"/>
              </w:rPr>
              <w:t xml:space="preserve">H2: "Talk to us about your specific industry."</w:t>
            </w:r>
          </w:p>
          <w:p>
            <w:pPr>
              <w:spacing w:after="60" w:line="280"/>
              <w:ind w:left="240" w:hanging="240"/>
            </w:pPr>
            <w:r>
              <w:rPr>
                <w:b/>
                <w:bCs/>
                <w:color w:val="0F2A4A"/>
                <w:sz w:val="22"/>
                <w:szCs w:val="22"/>
              </w:rPr>
              <w:t xml:space="preserve">• </w:t>
            </w:r>
            <w:r>
              <w:rPr>
                <w:sz w:val="22"/>
                <w:szCs w:val="22"/>
              </w:rPr>
              <w:t xml:space="preserve">Body: A website built to your industry's rules costs the same as a website that ignores them. The difference is whether your site is an asset or a liability.</w:t>
            </w:r>
          </w:p>
          <w:p>
            <w:pPr>
              <w:spacing w:after="60" w:line="280"/>
              <w:ind w:left="240" w:hanging="240"/>
            </w:pPr>
            <w:r>
              <w:rPr>
                <w:b/>
                <w:bCs/>
                <w:color w:val="0F2A4A"/>
                <w:sz w:val="22"/>
                <w:szCs w:val="22"/>
              </w:rPr>
              <w:t xml:space="preserve">• </w:t>
            </w:r>
            <w:r>
              <w:rPr>
                <w:sz w:val="22"/>
                <w:szCs w:val="22"/>
              </w:rPr>
              <w:t xml:space="preserve">Button: "Schedule a conversation"</w:t>
            </w:r>
          </w:p>
          <w:p>
            <w:pPr>
              <w:spacing w:after="60" w:line="280"/>
              <w:ind w:left="240" w:hanging="240"/>
            </w:pPr>
            <w:r>
              <w:rPr>
                <w:b/>
                <w:bCs/>
                <w:color w:val="0F2A4A"/>
                <w:sz w:val="22"/>
                <w:szCs w:val="22"/>
              </w:rPr>
              <w:t xml:space="preserve">• </w:t>
            </w:r>
            <w:r>
              <w:rPr>
                <w:sz w:val="22"/>
                <w:szCs w:val="22"/>
              </w:rPr>
              <w:t xml:space="preserve">Sub-text under button: Mention your industry and state when you reach out — we'll come prepared.</w:t>
            </w:r>
          </w:p>
        </w:tc>
      </w:tr>
    </w:tbl>
    <w:p>
      <w:pPr>
        <w:pStyle w:val="Heading1"/>
        <w:pageBreakBefore/>
        <w:spacing w:after="240" w:before="0"/>
      </w:pPr>
      <w:r>
        <w:t xml:space="preserve">Implementation notes</w:t>
      </w:r>
    </w:p>
    <w:p>
      <w:pPr>
        <w:pStyle w:val="Heading2"/>
        <w:spacing w:after="140" w:before="280"/>
      </w:pPr>
      <w:r>
        <w:t xml:space="preserve">Order of priority</w:t>
      </w:r>
    </w:p>
    <w:p>
      <w:pPr>
        <w:spacing w:after="120" w:line="300"/>
      </w:pPr>
      <w:r>
        <w:t xml:space="preserve">If you can't ship all of this at once, here's the order I'd recommend, by ROI per hour of work:</w:t>
      </w:r>
    </w:p>
    <w:p>
      <w:pPr>
        <w:pStyle w:val="ListParagraph"/>
        <w:numPr>
          <w:ilvl w:val="0"/>
          <w:numId w:val="3"/>
        </w:numPr>
        <w:spacing w:after="80" w:line="300"/>
      </w:pPr>
      <w:r>
        <w:t xml:space="preserve">Footer trust line (Section 1C). Universal, ten-minute change, immediately visible on every page.</w:t>
      </w:r>
    </w:p>
    <w:p>
      <w:pPr>
        <w:pStyle w:val="ListParagraph"/>
        <w:numPr>
          <w:ilvl w:val="0"/>
          <w:numId w:val="3"/>
        </w:numPr>
        <w:spacing w:after="80" w:line="300"/>
      </w:pPr>
      <w:r>
        <w:t xml:space="preserve">Homepage trust strip and "Built for the rules" section (1A and 1B). Highest visibility for the highest number of prospects.</w:t>
      </w:r>
    </w:p>
    <w:p>
      <w:pPr>
        <w:pStyle w:val="ListParagraph"/>
        <w:numPr>
          <w:ilvl w:val="0"/>
          <w:numId w:val="3"/>
        </w:numPr>
        <w:spacing w:after="80" w:line="300"/>
      </w:pPr>
      <w:r>
        <w:t xml:space="preserve">How It Works section (Section 2A). Explains the differentiator in the page where prospects are evaluating Graylock.</w:t>
      </w:r>
    </w:p>
    <w:p>
      <w:pPr>
        <w:pStyle w:val="ListParagraph"/>
        <w:numPr>
          <w:ilvl w:val="0"/>
          <w:numId w:val="3"/>
        </w:numPr>
        <w:spacing w:after="80" w:line="300"/>
      </w:pPr>
      <w:r>
        <w:t xml:space="preserve">Healthcare shared component (Section 7A). One block of content that powers six landing pages.</w:t>
      </w:r>
    </w:p>
    <w:p>
      <w:pPr>
        <w:pStyle w:val="ListParagraph"/>
        <w:numPr>
          <w:ilvl w:val="0"/>
          <w:numId w:val="3"/>
        </w:numPr>
        <w:spacing w:after="80" w:line="300"/>
      </w:pPr>
      <w:r>
        <w:t xml:space="preserve">Industry-specific sections in order of expected client volume (probably home builders and physicians first based on industry size, but you and Tim know better than I do).</w:t>
      </w:r>
    </w:p>
    <w:p>
      <w:pPr>
        <w:pStyle w:val="ListParagraph"/>
        <w:numPr>
          <w:ilvl w:val="0"/>
          <w:numId w:val="3"/>
        </w:numPr>
        <w:spacing w:after="80" w:line="300"/>
      </w:pPr>
      <w:r>
        <w:t xml:space="preserve">/compliance dedicated page (Section 12). Highest effort but the most compounding asset — long-term SEO value plus a permanent sales tool.</w:t>
      </w:r>
    </w:p>
    <w:p>
      <w:pPr>
        <w:pStyle w:val="Heading2"/>
        <w:spacing w:after="140" w:before="280"/>
      </w:pPr>
      <w:r>
        <w:t xml:space="preserve">Visual treatment recommendations</w:t>
      </w:r>
    </w:p>
    <w:p>
      <w:pPr>
        <w:pStyle w:val="ListParagraph"/>
        <w:numPr>
          <w:ilvl w:val="0"/>
          <w:numId w:val="2"/>
        </w:numPr>
        <w:spacing w:after="80" w:line="300"/>
      </w:pPr>
      <w:r>
        <w:t xml:space="preserve">Use the same visual component (callout box, three-column layout, item card, etc.) consistently across industry pages. Visitors who browse multiple verticals see the same pattern and read it as deliberate.</w:t>
      </w:r>
    </w:p>
    <w:p>
      <w:pPr>
        <w:pStyle w:val="ListParagraph"/>
        <w:numPr>
          <w:ilvl w:val="0"/>
          <w:numId w:val="2"/>
        </w:numPr>
        <w:spacing w:after="80" w:line="300"/>
      </w:pPr>
      <w:r>
        <w:t xml:space="preserve">Use a slightly contrasting background color for compliance sections — not flashy, but enough to set them apart from surrounding content. This signals "this is its own thing, take a look."</w:t>
      </w:r>
    </w:p>
    <w:p>
      <w:pPr>
        <w:pStyle w:val="ListParagraph"/>
        <w:numPr>
          <w:ilvl w:val="0"/>
          <w:numId w:val="2"/>
        </w:numPr>
        <w:spacing w:after="80" w:line="300"/>
      </w:pPr>
      <w:r>
        <w:t xml:space="preserve">Avoid stock-photo "compliance" imagery (gavels, scales of justice, padlocks). Use diagrams, icons, or your existing brand visual language. Stock photos read as generic and undermine the specificity of the copy.</w:t>
      </w:r>
    </w:p>
    <w:p>
      <w:pPr>
        <w:pStyle w:val="ListParagraph"/>
        <w:numPr>
          <w:ilvl w:val="0"/>
          <w:numId w:val="2"/>
        </w:numPr>
        <w:spacing w:after="80" w:line="300"/>
      </w:pPr>
      <w:r>
        <w:t xml:space="preserve">On mobile, every callout/item card should stack cleanly with full readable text — these sections are often where page layouts break.</w:t>
      </w:r>
    </w:p>
    <w:p>
      <w:pPr>
        <w:pStyle w:val="Heading2"/>
        <w:spacing w:after="140" w:before="280"/>
      </w:pPr>
      <w:r>
        <w:t xml:space="preserve">Legal review before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3E0" w:val="clear"/>
            <w:tcMar>
              <w:top w:type="dxa" w:w="160"/>
              <w:left w:type="dxa" w:w="200"/>
              <w:bottom w:type="dxa" w:w="160"/>
              <w:right w:type="dxa" w:w="200"/>
            </w:tcMar>
          </w:tcPr>
          <w:p>
            <w:pPr>
              <w:spacing w:after="80"/>
            </w:pPr>
            <w:r>
              <w:rPr>
                <w:b/>
                <w:bCs/>
                <w:color w:val="D97706"/>
                <w:sz w:val="22"/>
                <w:szCs w:val="22"/>
              </w:rPr>
              <w:t xml:space="preserve">Before any of this goes live</w:t>
            </w:r>
          </w:p>
          <w:p>
            <w:pPr>
              <w:spacing w:line="280"/>
            </w:pPr>
            <w:r>
              <w:rPr>
                <w:sz w:val="22"/>
                <w:szCs w:val="22"/>
              </w:rPr>
              <w:t xml:space="preserve">Have an attorney review the final language before publication, especially the homepage "Built for the rules" section, the /compliance page, and the healthcare-specific copy. The drafts here are written to be defensible, but every state has its own quirks and every business has its own specifics. Two hours of attorney time before publication is far cheaper than retrofitting the site after a complaint or demand letter.</w:t>
            </w:r>
          </w:p>
        </w:tc>
      </w:tr>
    </w:tbl>
    <w:p>
      <w:r>
        <w:t xml:space="preserve"/>
      </w:r>
    </w:p>
    <w:p>
      <w:pPr>
        <w:pStyle w:val="Heading2"/>
        <w:spacing w:after="140" w:before="280"/>
      </w:pPr>
      <w:r>
        <w:t xml:space="preserve">Contract language to match</w:t>
      </w:r>
    </w:p>
    <w:p>
      <w:pPr>
        <w:spacing w:after="120" w:line="300"/>
      </w:pPr>
      <w:r>
        <w:t xml:space="preserve">If the website copy says we build to compliance standards, our client contracts should match. Specifically, your services agreements should:</w:t>
      </w:r>
    </w:p>
    <w:p>
      <w:pPr>
        <w:pStyle w:val="ListParagraph"/>
        <w:numPr>
          <w:ilvl w:val="0"/>
          <w:numId w:val="2"/>
        </w:numPr>
        <w:spacing w:after="80" w:line="300"/>
      </w:pPr>
      <w:r>
        <w:t xml:space="preserve">Describe what Graylock provides ("compliance-aware website implementation built to industry-relevant standards") rather than "compliance services" or "legal compliance."</w:t>
      </w:r>
    </w:p>
    <w:p>
      <w:pPr>
        <w:pStyle w:val="ListParagraph"/>
        <w:numPr>
          <w:ilvl w:val="0"/>
          <w:numId w:val="2"/>
        </w:numPr>
        <w:spacing w:after="80" w:line="300"/>
      </w:pPr>
      <w:r>
        <w:t xml:space="preserve">Place ultimate responsibility for legal compliance on the client, not on Graylock.</w:t>
      </w:r>
    </w:p>
    <w:p>
      <w:pPr>
        <w:pStyle w:val="ListParagraph"/>
        <w:numPr>
          <w:ilvl w:val="0"/>
          <w:numId w:val="2"/>
        </w:numPr>
        <w:spacing w:after="80" w:line="300"/>
      </w:pPr>
      <w:r>
        <w:t xml:space="preserve">Include a client indemnification clause for third-party claims arising from the client's industry-specific obligations (license issues, advertising violations, etc.) where the client is the actual responsible party.</w:t>
      </w:r>
    </w:p>
    <w:p>
      <w:pPr>
        <w:pStyle w:val="ListParagraph"/>
        <w:numPr>
          <w:ilvl w:val="0"/>
          <w:numId w:val="2"/>
        </w:numPr>
        <w:spacing w:after="80" w:line="300"/>
      </w:pPr>
      <w:r>
        <w:t xml:space="preserve">Reference the substantiation file the client provides for objective claims — putting it in the client's hands to provide the proof, with Graylock implementing what the client substantiates.</w:t>
      </w:r>
    </w:p>
    <w:p>
      <w:pPr>
        <w:spacing w:after="120" w:line="300"/>
      </w:pPr>
      <w:r>
        <w:t xml:space="preserve">This is exactly the kind of contract language an attorney can review in an hour and that pays for itself the first time a client receives a demand letter and asks if it's our problem. (It isn't, if the contracts are written this way.)</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4"/>
              <w:left w:val="single" w:color="1F7A8C" w:sz="16"/>
              <w:bottom w:val="single" w:color="1F7A8C" w:sz="4"/>
              <w:right w:val="single" w:color="1F7A8C" w:sz="4"/>
            </w:tcBorders>
            <w:shd w:fill="EAF2F5" w:val="clear"/>
            <w:tcMar>
              <w:top w:type="dxa" w:w="160"/>
              <w:left w:type="dxa" w:w="200"/>
              <w:bottom w:type="dxa" w:w="160"/>
              <w:right w:type="dxa" w:w="200"/>
            </w:tcMar>
          </w:tcPr>
          <w:p>
            <w:pPr>
              <w:spacing w:after="80"/>
            </w:pPr>
            <w:r>
              <w:rPr>
                <w:b/>
                <w:bCs/>
                <w:color w:val="1F7A8C"/>
                <w:sz w:val="22"/>
                <w:szCs w:val="22"/>
              </w:rPr>
              <w:t xml:space="preserve">Document scope</w:t>
            </w:r>
          </w:p>
          <w:p>
            <w:pPr>
              <w:spacing w:line="280"/>
            </w:pPr>
            <w:r>
              <w:rPr>
                <w:sz w:val="22"/>
                <w:szCs w:val="22"/>
              </w:rPr>
              <w:t xml:space="preserve">This is a copy and implementation guide for graylockdigital.com — the public-facing Graylock marketing site. It works alongside the broader Graylock Digital Compliance Reference, which covers the rules themselves and the build playbook for client sites.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Internal working document · Not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Graylock Digital — Website Compliance Copy &amp;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F2A4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7A8C"/>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F2A4A"/>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1F7A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Graylock Digital — Website Compliance Copy &amp; Build Plan</dc:title>
  <dc:creator>Graylock Digital LLC</dc:creator>
  <dc:description>Page-by-page implementation guide for compliance copy on graylockdigital.com</dc:description>
  <cp:lastModifiedBy>Un-named</cp:lastModifiedBy>
  <cp:revision>1</cp:revision>
  <dcterms:created xsi:type="dcterms:W3CDTF">2026-04-26T16:33:51.183Z</dcterms:created>
  <dcterms:modified xsi:type="dcterms:W3CDTF">2026-04-26T16:33:51.184Z</dcterms:modified>
</cp:coreProperties>
</file>

<file path=docProps/custom.xml><?xml version="1.0" encoding="utf-8"?>
<Properties xmlns="http://schemas.openxmlformats.org/officeDocument/2006/custom-properties" xmlns:vt="http://schemas.openxmlformats.org/officeDocument/2006/docPropsVTypes"/>
</file>