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7A8C"/>
          <w:sz w:val="28"/>
          <w:szCs w:val="28"/>
        </w:rPr>
        <w:t xml:space="preserve">GRAYLOCK DIGITAL, LLC</w:t>
      </w:r>
    </w:p>
    <w:p>
      <w:pPr>
        <w:spacing w:after="480"/>
        <w:jc w:val="center"/>
      </w:pPr>
      <w:r>
        <w:rPr>
          <w:color w:val="595959"/>
          <w:sz w:val="24"/>
          <w:szCs w:val="24"/>
        </w:rPr>
        <w:t xml:space="preserve">Contract &amp; Compliance Documentation Package</w:t>
      </w:r>
    </w:p>
    <w:p>
      <w:pPr>
        <w:spacing w:after="240"/>
        <w:jc w:val="center"/>
      </w:pPr>
      <w:r>
        <w:rPr>
          <w:b/>
          <w:bCs/>
          <w:color w:val="0F2A4A"/>
          <w:sz w:val="56"/>
          <w:szCs w:val="56"/>
        </w:rPr>
        <w:t xml:space="preserve">Customer Agreement Suite</w:t>
      </w:r>
    </w:p>
    <w:p>
      <w:pPr>
        <w:spacing w:after="480"/>
        <w:jc w:val="center"/>
      </w:pPr>
      <w:r>
        <w:rPr>
          <w:i/>
          <w:iCs/>
          <w:color w:val="595959"/>
          <w:sz w:val="24"/>
          <w:szCs w:val="24"/>
        </w:rPr>
        <w:t xml:space="preserve">Master Services Agreement, Privacy Policy, Acceptable Use Policy, checkout copy, and Stripe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What's in this package</w:t>
            </w:r>
          </w:p>
          <w:p>
            <w:pPr>
              <w:spacing w:line="280"/>
            </w:pPr>
            <w:r>
              <w:rPr>
                <w:sz w:val="22"/>
                <w:szCs w:val="22"/>
              </w:rPr>
              <w:t xml:space="preserve">Six documents, one file. (1) The Master Services Agreement is the binding contract every subscriber accepts at checkout. (2) The Privacy Policy is what graylockdigital.com publishes to its visitors. (3) The Acceptable Use Policy companions the MSA. (4) The Checkout Summary is the one-page "what you're agreeing to" that displays at the Stripe Checkout. (5) The Stripe Configuration Guide tells you exactly how to wire up the click-through. (6) The Implementation Checklist is your launch sequence.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Before publishing — read this</w:t>
            </w:r>
          </w:p>
          <w:p>
            <w:pPr>
              <w:spacing w:line="280"/>
            </w:pPr>
            <w:r>
              <w:rPr>
                <w:sz w:val="22"/>
                <w:szCs w:val="22"/>
              </w:rPr>
              <w:t xml:space="preserve">These documents are working drafts. Have a Montana-licensed attorney review them before they go live, paying particular attention to the sections flagged in the Implementation Checklist at the end. The drafts are written to be defensible and reasonably standard for SaaS/WaaS subscription businesses, but Montana has its own consumer-protection statutes and your specific situation (Montana LLC, Nevada-based co-founder, multi-state customer base) deserves a professional eye. Budget two to three hours of attorney time.</w:t>
            </w:r>
          </w:p>
        </w:tc>
      </w:tr>
    </w:tbl>
    <w:p>
      <w:r>
        <w:t xml:space="preserve"/>
      </w:r>
    </w:p>
    <w:p>
      <w:pPr>
        <w:spacing w:before="480"/>
        <w:jc w:val="center"/>
      </w:pPr>
      <w:r>
        <w:rPr>
          <w:i/>
          <w:iCs/>
          <w:color w:val="595959"/>
          <w:sz w:val="20"/>
          <w:szCs w:val="20"/>
        </w:rPr>
        <w:t xml:space="preserve">Effective date placeholder: [INSERT DATE]</w:t>
      </w:r>
    </w:p>
    <w:p>
      <w:pPr>
        <w:spacing w:after="240"/>
        <w:jc w:val="center"/>
      </w:pPr>
      <w:r>
        <w:rPr>
          <w:i/>
          <w:iCs/>
          <w:color w:val="595959"/>
          <w:sz w:val="20"/>
          <w:szCs w:val="20"/>
        </w:rPr>
        <w:t xml:space="preserve">Version 1.0 (initial draft) — increment to 1.1 after attorney review and any edits</w:t>
      </w:r>
    </w:p>
    <w:p>
      <w:pPr>
        <w:pStyle w:val="Heading1"/>
        <w:pageBreakBefore/>
        <w:spacing w:after="240" w:before="0"/>
      </w:pPr>
      <w:r>
        <w:t xml:space="preserve">Contents</w:t>
      </w:r>
    </w:p>
    <w:p>
      <w:pPr>
        <w:spacing w:after="40"/>
      </w:pPr>
      <w:r>
        <w:rPr>
          <w:b/>
          <w:bCs/>
          <w:color w:val="1F7A8C"/>
        </w:rPr>
        <w:t xml:space="preserve">Document 1  </w:t>
      </w:r>
      <w:r>
        <w:rPr>
          <w:b/>
          <w:bCs/>
        </w:rPr>
        <w:t xml:space="preserve">Master Services Agreement (MSA)</w:t>
      </w:r>
    </w:p>
    <w:p>
      <w:pPr>
        <w:spacing w:after="120"/>
      </w:pPr>
      <w:r>
        <w:rPr>
          <w:color w:val="595959"/>
          <w:sz w:val="20"/>
          <w:szCs w:val="20"/>
        </w:rPr>
        <w:t xml:space="preserve">         The binding subscription contract. 18 numbered sections.</w:t>
      </w:r>
    </w:p>
    <w:p>
      <w:pPr>
        <w:spacing w:after="40"/>
      </w:pPr>
      <w:r>
        <w:rPr>
          <w:b/>
          <w:bCs/>
          <w:color w:val="1F7A8C"/>
        </w:rPr>
        <w:t xml:space="preserve">Document 2  </w:t>
      </w:r>
      <w:r>
        <w:rPr>
          <w:b/>
          <w:bCs/>
        </w:rPr>
        <w:t xml:space="preserve">Privacy Policy</w:t>
      </w:r>
    </w:p>
    <w:p>
      <w:pPr>
        <w:spacing w:after="120"/>
      </w:pPr>
      <w:r>
        <w:rPr>
          <w:color w:val="595959"/>
          <w:sz w:val="20"/>
          <w:szCs w:val="20"/>
        </w:rPr>
        <w:t xml:space="preserve">         What graylockdigital.com publishes regarding visitor and customer data.</w:t>
      </w:r>
    </w:p>
    <w:p>
      <w:pPr>
        <w:spacing w:after="40"/>
      </w:pPr>
      <w:r>
        <w:rPr>
          <w:b/>
          <w:bCs/>
          <w:color w:val="1F7A8C"/>
        </w:rPr>
        <w:t xml:space="preserve">Document 3  </w:t>
      </w:r>
      <w:r>
        <w:rPr>
          <w:b/>
          <w:bCs/>
        </w:rPr>
        <w:t xml:space="preserve">Acceptable Use Policy</w:t>
      </w:r>
    </w:p>
    <w:p>
      <w:pPr>
        <w:spacing w:after="120"/>
      </w:pPr>
      <w:r>
        <w:rPr>
          <w:color w:val="595959"/>
          <w:sz w:val="20"/>
          <w:szCs w:val="20"/>
        </w:rPr>
        <w:t xml:space="preserve">         What customers cannot use the service for.</w:t>
      </w:r>
    </w:p>
    <w:p>
      <w:pPr>
        <w:spacing w:after="40"/>
      </w:pPr>
      <w:r>
        <w:rPr>
          <w:b/>
          <w:bCs/>
          <w:color w:val="1F7A8C"/>
        </w:rPr>
        <w:t xml:space="preserve">Document 4  </w:t>
      </w:r>
      <w:r>
        <w:rPr>
          <w:b/>
          <w:bCs/>
        </w:rPr>
        <w:t xml:space="preserve">Checkout Summary (one-page)</w:t>
      </w:r>
    </w:p>
    <w:p>
      <w:pPr>
        <w:spacing w:after="120"/>
      </w:pPr>
      <w:r>
        <w:rPr>
          <w:color w:val="595959"/>
          <w:sz w:val="20"/>
          <w:szCs w:val="20"/>
        </w:rPr>
        <w:t xml:space="preserve">         Plain-English highlights to display at checkout.</w:t>
      </w:r>
    </w:p>
    <w:p>
      <w:pPr>
        <w:spacing w:after="40"/>
      </w:pPr>
      <w:r>
        <w:rPr>
          <w:b/>
          <w:bCs/>
          <w:color w:val="1F7A8C"/>
        </w:rPr>
        <w:t xml:space="preserve">Document 5  </w:t>
      </w:r>
      <w:r>
        <w:rPr>
          <w:b/>
          <w:bCs/>
        </w:rPr>
        <w:t xml:space="preserve">Stripe Configuration Guide</w:t>
      </w:r>
    </w:p>
    <w:p>
      <w:pPr>
        <w:spacing w:after="120"/>
      </w:pPr>
      <w:r>
        <w:rPr>
          <w:color w:val="595959"/>
          <w:sz w:val="20"/>
          <w:szCs w:val="20"/>
        </w:rPr>
        <w:t xml:space="preserve">         Exact steps to enable click-through consent at Stripe Checkout.</w:t>
      </w:r>
    </w:p>
    <w:p>
      <w:pPr>
        <w:spacing w:after="40"/>
      </w:pPr>
      <w:r>
        <w:rPr>
          <w:b/>
          <w:bCs/>
          <w:color w:val="1F7A8C"/>
        </w:rPr>
        <w:t xml:space="preserve">Document 6  </w:t>
      </w:r>
      <w:r>
        <w:rPr>
          <w:b/>
          <w:bCs/>
        </w:rPr>
        <w:t xml:space="preserve">Implementation Checklist</w:t>
      </w:r>
    </w:p>
    <w:p>
      <w:pPr>
        <w:spacing w:after="120"/>
      </w:pPr>
      <w:r>
        <w:rPr>
          <w:color w:val="595959"/>
          <w:sz w:val="20"/>
          <w:szCs w:val="20"/>
        </w:rPr>
        <w:t xml:space="preserve">         Launch sequence and attorney-review priorities.</w:t>
      </w:r>
    </w:p>
    <w:p>
      <w:pPr>
        <w:pStyle w:val="Heading1"/>
        <w:pageBreakBefore/>
        <w:spacing w:after="240" w:before="0"/>
      </w:pPr>
      <w:r>
        <w:t xml:space="preserve">Document 1 — Master Services Agreement</w:t>
      </w:r>
    </w:p>
    <w:p>
      <w:pPr>
        <w:spacing w:after="120" w:before="120"/>
        <w:jc w:val="center"/>
      </w:pPr>
      <w:r>
        <w:rPr>
          <w:b/>
          <w:bCs/>
          <w:color w:val="0F2A4A"/>
          <w:sz w:val="28"/>
          <w:szCs w:val="28"/>
        </w:rPr>
        <w:t xml:space="preserve">GRAYLOCK DIGITAL, LLC</w:t>
      </w:r>
    </w:p>
    <w:p>
      <w:pPr>
        <w:spacing w:after="360"/>
        <w:jc w:val="center"/>
      </w:pPr>
      <w:r>
        <w:rPr>
          <w:b/>
          <w:bCs/>
          <w:color w:val="0F2A4A"/>
          <w:sz w:val="26"/>
          <w:szCs w:val="26"/>
        </w:rPr>
        <w:t xml:space="preserve">MASTER SERVICES AGREEMENT</w:t>
      </w:r>
    </w:p>
    <w:p>
      <w:pPr>
        <w:spacing w:after="120" w:line="300"/>
      </w:pPr>
      <w:r>
        <w:rPr>
          <w:sz w:val="22"/>
          <w:szCs w:val="22"/>
        </w:rPr>
        <w:t xml:space="preserve">This Master Services Agreement ("Agreement") is between Graylock Digital, LLC, a Montana limited liability company with its principal place of business at 245 Gilbert Lake Drive, Kalispell, Montana 59901 ("Graylock," "we," "us," or "our"), and the customer identified at checkout ("Customer," "you," or "your"). This Agreement is effective on the date you complete checkout and accept these terms (the "Effective Date").</w:t>
      </w:r>
    </w:p>
    <w:p>
      <w:pPr>
        <w:spacing w:after="120" w:line="300"/>
      </w:pPr>
      <w:r>
        <w:rPr>
          <w:sz w:val="22"/>
          <w:szCs w:val="22"/>
        </w:rPr>
        <w:t xml:space="preserve">By checking the agreement box at checkout and completing payment, you represent that you are at least 18 years old, that you are the authorized representative of the business identified at checkout, that you have read and understood this Agreement in full, and that you agree to be bound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Notice to readers</w:t>
            </w:r>
          </w:p>
          <w:p>
            <w:pPr>
              <w:spacing w:line="280"/>
            </w:pPr>
            <w:r>
              <w:rPr>
                <w:sz w:val="22"/>
                <w:szCs w:val="22"/>
              </w:rPr>
              <w:t xml:space="preserve">This Agreement contains important provisions about your obligations, our limited liability, mandatory mediation and arbitration, a class-action waiver, and Montana governing law. Please read it carefully before agreeing.</w:t>
            </w:r>
          </w:p>
        </w:tc>
      </w:tr>
    </w:tbl>
    <w:p>
      <w:pPr>
        <w:spacing w:after="140" w:before="280"/>
      </w:pPr>
      <w:r>
        <w:rPr>
          <w:b/>
          <w:bCs/>
          <w:color w:val="0F2A4A"/>
          <w:sz w:val="24"/>
          <w:szCs w:val="24"/>
        </w:rPr>
        <w:t xml:space="preserve">1. </w:t>
      </w:r>
      <w:r>
        <w:rPr>
          <w:b/>
          <w:bCs/>
          <w:color w:val="0F2A4A"/>
          <w:sz w:val="24"/>
          <w:szCs w:val="24"/>
        </w:rPr>
        <w:t xml:space="preserve">Definitions</w:t>
      </w:r>
    </w:p>
    <w:p>
      <w:pPr>
        <w:spacing w:after="120" w:line="300"/>
      </w:pPr>
      <w:r>
        <w:rPr>
          <w:sz w:val="22"/>
          <w:szCs w:val="22"/>
        </w:rPr>
        <w:t xml:space="preserve">"Build Phase" means the period beginning when you pay your initial setup fee and ending when your Subscription begins.</w:t>
      </w:r>
    </w:p>
    <w:p>
      <w:pPr>
        <w:spacing w:after="120" w:line="300"/>
      </w:pPr>
      <w:r>
        <w:rPr>
          <w:sz w:val="22"/>
          <w:szCs w:val="22"/>
        </w:rPr>
        <w:t xml:space="preserve">"Build Agreement" means a separate agreement governing the Build Phase, presented and accepted at the time of setup-fee payment.</w:t>
      </w:r>
    </w:p>
    <w:p>
      <w:pPr>
        <w:spacing w:after="120" w:line="300"/>
      </w:pPr>
      <w:r>
        <w:rPr>
          <w:sz w:val="22"/>
          <w:szCs w:val="22"/>
        </w:rPr>
        <w:t xml:space="preserve">"Content" means all text, copy, images, photographs, video, audio, logos, brand assets, testimonials, and other materials displayed on or made available through your Website.</w:t>
      </w:r>
    </w:p>
    <w:p>
      <w:pPr>
        <w:spacing w:after="120" w:line="300"/>
      </w:pPr>
      <w:r>
        <w:rPr>
          <w:sz w:val="22"/>
          <w:szCs w:val="22"/>
        </w:rPr>
        <w:t xml:space="preserve">"Customer Content" means Content you provide to us, including any Content you direct us to use.</w:t>
      </w:r>
    </w:p>
    <w:p>
      <w:pPr>
        <w:spacing w:after="120" w:line="300"/>
      </w:pPr>
      <w:r>
        <w:rPr>
          <w:sz w:val="22"/>
          <w:szCs w:val="22"/>
        </w:rPr>
        <w:t xml:space="preserve">"Graylock OS" means the proprietary software platform, codebase, AI workflows, prompts, components, design systems, client portal, dashboards, and other tools that we use to build, host, deploy, maintain, and operate Websites, together with all updates, modifications, and derivative works.</w:t>
      </w:r>
    </w:p>
    <w:p>
      <w:pPr>
        <w:spacing w:after="120" w:line="300"/>
      </w:pPr>
      <w:r>
        <w:rPr>
          <w:sz w:val="22"/>
          <w:szCs w:val="22"/>
        </w:rPr>
        <w:t xml:space="preserve">"Initial Term" has the meaning given in Section 4.2.</w:t>
      </w:r>
    </w:p>
    <w:p>
      <w:pPr>
        <w:spacing w:after="120" w:line="300"/>
      </w:pPr>
      <w:r>
        <w:rPr>
          <w:sz w:val="22"/>
          <w:szCs w:val="22"/>
        </w:rPr>
        <w:t xml:space="preserve">"Services" means all services we provide under this Agreement, including the design, development, hosting, maintenance, support, and ongoing operation of your Website.</w:t>
      </w:r>
    </w:p>
    <w:p>
      <w:pPr>
        <w:spacing w:after="120" w:line="300"/>
      </w:pPr>
      <w:r>
        <w:rPr>
          <w:sz w:val="22"/>
          <w:szCs w:val="22"/>
        </w:rPr>
        <w:t xml:space="preserve">"Subscription" means your recurring monthly subscription to the Services at the Tier you selected at checkout.</w:t>
      </w:r>
    </w:p>
    <w:p>
      <w:pPr>
        <w:spacing w:after="120" w:line="300"/>
      </w:pPr>
      <w:r>
        <w:rPr>
          <w:sz w:val="22"/>
          <w:szCs w:val="22"/>
        </w:rPr>
        <w:t xml:space="preserve">"Subscription Tier" means the specific Graylock subscription plan you selected at checkout (currently Starter, Growth, Scale, or Custom), each as described on graylockdigital.com/pricing as of the Effective Date.</w:t>
      </w:r>
    </w:p>
    <w:p>
      <w:pPr>
        <w:spacing w:after="120" w:line="300"/>
      </w:pPr>
      <w:r>
        <w:rPr>
          <w:sz w:val="22"/>
          <w:szCs w:val="22"/>
        </w:rPr>
        <w:t xml:space="preserve">"Website" means the website Graylock builds and operates for you under this Agreement, including all subdomains we host on your behalf.</w:t>
      </w:r>
    </w:p>
    <w:p>
      <w:pPr>
        <w:spacing w:after="140" w:before="280"/>
      </w:pPr>
      <w:r>
        <w:rPr>
          <w:b/>
          <w:bCs/>
          <w:color w:val="0F2A4A"/>
          <w:sz w:val="24"/>
          <w:szCs w:val="24"/>
        </w:rPr>
        <w:t xml:space="preserve">2. </w:t>
      </w:r>
      <w:r>
        <w:rPr>
          <w:b/>
          <w:bCs/>
          <w:color w:val="0F2A4A"/>
          <w:sz w:val="24"/>
          <w:szCs w:val="24"/>
        </w:rPr>
        <w:t xml:space="preserve">Services and Subscription Tiers</w:t>
      </w:r>
    </w:p>
    <w:p>
      <w:pPr>
        <w:spacing w:after="100" w:before="180"/>
      </w:pPr>
      <w:r>
        <w:rPr>
          <w:b/>
          <w:bCs/>
          <w:color w:val="0F2A4A"/>
          <w:sz w:val="22"/>
          <w:szCs w:val="22"/>
        </w:rPr>
        <w:t xml:space="preserve">2.1 </w:t>
      </w:r>
      <w:r>
        <w:rPr>
          <w:b/>
          <w:bCs/>
          <w:color w:val="0F2A4A"/>
          <w:sz w:val="22"/>
          <w:szCs w:val="22"/>
        </w:rPr>
        <w:t xml:space="preserve">Services Generally</w:t>
      </w:r>
    </w:p>
    <w:p>
      <w:pPr>
        <w:spacing w:after="120" w:line="300"/>
      </w:pPr>
      <w:r>
        <w:rPr>
          <w:sz w:val="22"/>
          <w:szCs w:val="22"/>
        </w:rPr>
        <w:t xml:space="preserve">We will design, build, host, maintain, and operate your Website in accordance with the Subscription Tier you have selected. The features, allowances, and limits of each Subscription Tier are described on graylockdigital.com/pricing and incorporated into this Agreement by reference. If a conflict exists between graylockdigital.com/pricing and this Agreement, this Agreement controls.</w:t>
      </w:r>
    </w:p>
    <w:p>
      <w:pPr>
        <w:spacing w:after="100" w:before="180"/>
      </w:pPr>
      <w:r>
        <w:rPr>
          <w:b/>
          <w:bCs/>
          <w:color w:val="0F2A4A"/>
          <w:sz w:val="22"/>
          <w:szCs w:val="22"/>
        </w:rPr>
        <w:t xml:space="preserve">2.2 </w:t>
      </w:r>
      <w:r>
        <w:rPr>
          <w:b/>
          <w:bCs/>
          <w:color w:val="0F2A4A"/>
          <w:sz w:val="22"/>
          <w:szCs w:val="22"/>
        </w:rPr>
        <w:t xml:space="preserve">Site Updates and Edits</w:t>
      </w:r>
    </w:p>
    <w:p>
      <w:pPr>
        <w:spacing w:after="120" w:line="300"/>
      </w:pPr>
      <w:r>
        <w:rPr>
          <w:sz w:val="22"/>
          <w:szCs w:val="22"/>
        </w:rPr>
        <w:t xml:space="preserve">Each Subscription Tier includes a defined allowance of site update time per period (currently 1 hour per quarter for Starter, 1 hour per month for Growth, and 2 hours per month for Scale; Custom Tier allowances are specified in your applicable Statement of Work). We track update time in 6-minute (one-tenth of an hour) increments. Update time does not roll over from one period to the next.</w:t>
      </w:r>
    </w:p>
    <w:p>
      <w:pPr>
        <w:spacing w:after="120" w:line="300"/>
      </w:pPr>
      <w:r>
        <w:rPr>
          <w:sz w:val="22"/>
          <w:szCs w:val="22"/>
        </w:rPr>
        <w:t xml:space="preserve">Update time outside your included allowance is billed at $100 per hour. We will scope, estimate, and obtain your written approval for any work that exceeds your allowance before performing the work.</w:t>
      </w:r>
    </w:p>
    <w:p>
      <w:pPr>
        <w:spacing w:after="100" w:before="180"/>
      </w:pPr>
      <w:r>
        <w:rPr>
          <w:b/>
          <w:bCs/>
          <w:color w:val="0F2A4A"/>
          <w:sz w:val="22"/>
          <w:szCs w:val="22"/>
        </w:rPr>
        <w:t xml:space="preserve">2.3 </w:t>
      </w:r>
      <w:r>
        <w:rPr>
          <w:b/>
          <w:bCs/>
          <w:color w:val="0F2A4A"/>
          <w:sz w:val="22"/>
          <w:szCs w:val="22"/>
        </w:rPr>
        <w:t xml:space="preserve">À La Carte Services</w:t>
      </w:r>
    </w:p>
    <w:p>
      <w:pPr>
        <w:spacing w:after="120" w:line="300"/>
      </w:pPr>
      <w:r>
        <w:rPr>
          <w:sz w:val="22"/>
          <w:szCs w:val="22"/>
        </w:rPr>
        <w:t xml:space="preserve">Custom integrations, third-party software, premium plugins, paid templates, paid stock photography, and other services not included in your Subscription Tier are available at additional cost. Some à la carte services carry one-time fees, ongoing monthly fees, or both. We will provide a written estimate before performing any à la carte work, and you must approve the estimate in writing before we begin.</w:t>
      </w:r>
    </w:p>
    <w:p>
      <w:pPr>
        <w:spacing w:after="100" w:before="180"/>
      </w:pPr>
      <w:r>
        <w:rPr>
          <w:b/>
          <w:bCs/>
          <w:color w:val="0F2A4A"/>
          <w:sz w:val="22"/>
          <w:szCs w:val="22"/>
        </w:rPr>
        <w:t xml:space="preserve">2.4 </w:t>
      </w:r>
      <w:r>
        <w:rPr>
          <w:b/>
          <w:bCs/>
          <w:color w:val="0F2A4A"/>
          <w:sz w:val="22"/>
          <w:szCs w:val="22"/>
        </w:rPr>
        <w:t xml:space="preserve">Refresh Allowance</w:t>
      </w:r>
    </w:p>
    <w:p>
      <w:pPr>
        <w:spacing w:after="120" w:line="300"/>
      </w:pPr>
      <w:r>
        <w:rPr>
          <w:sz w:val="22"/>
          <w:szCs w:val="22"/>
        </w:rPr>
        <w:t xml:space="preserve">Beginning at the conclusion of your 24th paid Subscription month and continuing every 24 paid Subscription months thereafter, you become eligible for a Refresh. Your Refresh Allowance is 20 hours for the Starter Tier, 30 hours for the Growth Tier, and 40 hours for the Scale Tier. Custom Tier Refresh Allowances are specified in your applicable Statement of Work.</w:t>
      </w:r>
    </w:p>
    <w:p>
      <w:pPr>
        <w:spacing w:after="120" w:line="300"/>
      </w:pPr>
      <w:r>
        <w:rPr>
          <w:sz w:val="22"/>
          <w:szCs w:val="22"/>
        </w:rPr>
        <w:t xml:space="preserve">Refresh hours may be applied to any combination of website refresh work, new components, new features, redesign work, content updates, or other Website improvements that we agree to perform. We will scope and estimate any work you wish to do with your Refresh hours before beginning.</w:t>
      </w:r>
    </w:p>
    <w:p>
      <w:pPr>
        <w:spacing w:after="120" w:line="300"/>
      </w:pPr>
      <w:r>
        <w:rPr>
          <w:sz w:val="22"/>
          <w:szCs w:val="22"/>
        </w:rPr>
        <w:t xml:space="preserve">Refresh Allowances must be engaged within 6 months of the date you become eligible. Refresh hours not engaged within that 6-month window expire and do not roll over. You may delay the actual performance of Refresh work after engagement, but you must enter into a written scope of work with us within the 6-month window for the hours to remain available.</w:t>
      </w:r>
    </w:p>
    <w:p>
      <w:pPr>
        <w:spacing w:after="120" w:line="300"/>
      </w:pPr>
      <w:r>
        <w:rPr>
          <w:sz w:val="22"/>
          <w:szCs w:val="22"/>
        </w:rPr>
        <w:t xml:space="preserve">If you do not engage your first Refresh Allowance within the 6-month window, you do not become eligible for a second Refresh Allowance at month 48; instead, the next Refresh becomes available 24 months after you have engaged a Refresh.</w:t>
      </w:r>
    </w:p>
    <w:p>
      <w:pPr>
        <w:spacing w:after="120" w:line="300"/>
      </w:pPr>
      <w:r>
        <w:rPr>
          <w:sz w:val="22"/>
          <w:szCs w:val="22"/>
        </w:rPr>
        <w:t xml:space="preserve">If you cancel your Subscription before engaging a Refresh, any unused Refresh hours expire on the cancellation date with no compensation.</w:t>
      </w:r>
    </w:p>
    <w:p>
      <w:pPr>
        <w:spacing w:after="100" w:before="180"/>
      </w:pPr>
      <w:r>
        <w:rPr>
          <w:b/>
          <w:bCs/>
          <w:color w:val="0F2A4A"/>
          <w:sz w:val="22"/>
          <w:szCs w:val="22"/>
        </w:rPr>
        <w:t xml:space="preserve">2.5 </w:t>
      </w:r>
      <w:r>
        <w:rPr>
          <w:b/>
          <w:bCs/>
          <w:color w:val="0F2A4A"/>
          <w:sz w:val="22"/>
          <w:szCs w:val="22"/>
        </w:rPr>
        <w:t xml:space="preserve">Statements of Work</w:t>
      </w:r>
    </w:p>
    <w:p>
      <w:pPr>
        <w:spacing w:after="120" w:line="300"/>
      </w:pPr>
      <w:r>
        <w:rPr>
          <w:sz w:val="22"/>
          <w:szCs w:val="22"/>
        </w:rPr>
        <w:t xml:space="preserve">Custom Tier customers and any work outside the standard Subscription Tier features are governed by a separate written Statement of Work ("SOW"). Each SOW will reference and incorporate this Agreement. If a conflict exists between an SOW and this Agreement, the SOW controls only as to that specific engagement.</w:t>
      </w:r>
    </w:p>
    <w:p>
      <w:pPr>
        <w:spacing w:after="140" w:before="280"/>
      </w:pPr>
      <w:r>
        <w:rPr>
          <w:b/>
          <w:bCs/>
          <w:color w:val="0F2A4A"/>
          <w:sz w:val="24"/>
          <w:szCs w:val="24"/>
        </w:rPr>
        <w:t xml:space="preserve">3. </w:t>
      </w:r>
      <w:r>
        <w:rPr>
          <w:b/>
          <w:bCs/>
          <w:color w:val="0F2A4A"/>
          <w:sz w:val="24"/>
          <w:szCs w:val="24"/>
        </w:rPr>
        <w:t xml:space="preserve">Build Phase</w:t>
      </w:r>
    </w:p>
    <w:p>
      <w:pPr>
        <w:spacing w:after="100" w:before="180"/>
      </w:pPr>
      <w:r>
        <w:rPr>
          <w:b/>
          <w:bCs/>
          <w:color w:val="0F2A4A"/>
          <w:sz w:val="22"/>
          <w:szCs w:val="22"/>
        </w:rPr>
        <w:t xml:space="preserve">3.1 </w:t>
      </w:r>
      <w:r>
        <w:rPr>
          <w:b/>
          <w:bCs/>
          <w:color w:val="0F2A4A"/>
          <w:sz w:val="22"/>
          <w:szCs w:val="22"/>
        </w:rPr>
        <w:t xml:space="preserve">Separate Build Agreement</w:t>
      </w:r>
    </w:p>
    <w:p>
      <w:pPr>
        <w:spacing w:after="120" w:line="300"/>
      </w:pPr>
      <w:r>
        <w:rPr>
          <w:sz w:val="22"/>
          <w:szCs w:val="22"/>
        </w:rPr>
        <w:t xml:space="preserve">Before your Subscription begins, you and Graylock will enter into a separate Build Agreement that governs the Build Phase, including the scope of the initial Website build, the setup fee, milestones, and your participation in the build process. This Master Services Agreement does not govern the Build Phase.</w:t>
      </w:r>
    </w:p>
    <w:p>
      <w:pPr>
        <w:spacing w:after="100" w:before="180"/>
      </w:pPr>
      <w:r>
        <w:rPr>
          <w:b/>
          <w:bCs/>
          <w:color w:val="0F2A4A"/>
          <w:sz w:val="22"/>
          <w:szCs w:val="22"/>
        </w:rPr>
        <w:t xml:space="preserve">3.2 </w:t>
      </w:r>
      <w:r>
        <w:rPr>
          <w:b/>
          <w:bCs/>
          <w:color w:val="0F2A4A"/>
          <w:sz w:val="22"/>
          <w:szCs w:val="22"/>
        </w:rPr>
        <w:t xml:space="preserve">Acceptance of Built Website</w:t>
      </w:r>
    </w:p>
    <w:p>
      <w:pPr>
        <w:spacing w:after="120" w:line="300"/>
      </w:pPr>
      <w:r>
        <w:rPr>
          <w:sz w:val="22"/>
          <w:szCs w:val="22"/>
        </w:rPr>
        <w:t xml:space="preserve">By completing checkout and starting your Subscription, you confirm that you have reviewed your Website in full and that you approve all Content, design, structure, copy, headings, images, claims, testimonials, and other materials displayed on the Website as of that moment. This approval applies regardless of whether the Content was created by Graylock personnel, generated or assisted by artificial intelligence tools, or supplied by you. You acknowledge that you, not Graylock, are responsible for the legal compliance of all Content on your Website.</w:t>
      </w:r>
    </w:p>
    <w:p>
      <w:pPr>
        <w:spacing w:after="140" w:before="280"/>
      </w:pPr>
      <w:r>
        <w:rPr>
          <w:b/>
          <w:bCs/>
          <w:color w:val="0F2A4A"/>
          <w:sz w:val="24"/>
          <w:szCs w:val="24"/>
        </w:rPr>
        <w:t xml:space="preserve">4. </w:t>
      </w:r>
      <w:r>
        <w:rPr>
          <w:b/>
          <w:bCs/>
          <w:color w:val="0F2A4A"/>
          <w:sz w:val="24"/>
          <w:szCs w:val="24"/>
        </w:rPr>
        <w:t xml:space="preserve">Subscription Term, Pricing, and Cancellation</w:t>
      </w:r>
    </w:p>
    <w:p>
      <w:pPr>
        <w:spacing w:after="100" w:before="180"/>
      </w:pPr>
      <w:r>
        <w:rPr>
          <w:b/>
          <w:bCs/>
          <w:color w:val="0F2A4A"/>
          <w:sz w:val="22"/>
          <w:szCs w:val="22"/>
        </w:rPr>
        <w:t xml:space="preserve">4.1 </w:t>
      </w:r>
      <w:r>
        <w:rPr>
          <w:b/>
          <w:bCs/>
          <w:color w:val="0F2A4A"/>
          <w:sz w:val="22"/>
          <w:szCs w:val="22"/>
        </w:rPr>
        <w:t xml:space="preserve">Subscription Start</w:t>
      </w:r>
    </w:p>
    <w:p>
      <w:pPr>
        <w:spacing w:after="120" w:line="300"/>
      </w:pPr>
      <w:r>
        <w:rPr>
          <w:sz w:val="22"/>
          <w:szCs w:val="22"/>
        </w:rPr>
        <w:t xml:space="preserve">Your Subscription begins on the date you complete checkout (the "Subscription Start Date").</w:t>
      </w:r>
    </w:p>
    <w:p>
      <w:pPr>
        <w:spacing w:after="100" w:before="180"/>
      </w:pPr>
      <w:r>
        <w:rPr>
          <w:b/>
          <w:bCs/>
          <w:color w:val="0F2A4A"/>
          <w:sz w:val="22"/>
          <w:szCs w:val="22"/>
        </w:rPr>
        <w:t xml:space="preserve">4.2 </w:t>
      </w:r>
      <w:r>
        <w:rPr>
          <w:b/>
          <w:bCs/>
          <w:color w:val="0F2A4A"/>
          <w:sz w:val="22"/>
          <w:szCs w:val="22"/>
        </w:rPr>
        <w:t xml:space="preserve">Initial Term and Price Lock</w:t>
      </w:r>
    </w:p>
    <w:p>
      <w:pPr>
        <w:spacing w:after="120" w:line="300"/>
      </w:pPr>
      <w:r>
        <w:rPr>
          <w:sz w:val="22"/>
          <w:szCs w:val="22"/>
        </w:rPr>
        <w:t xml:space="preserve">The "Initial Term" is the 24-month period beginning on the Subscription Start Date. During the Initial Term, your monthly Subscription fee will not increase. After the Initial Term, your Subscription continues on a month-to-month basis at the same rate, until cancelled or until we provide notice of a price change under Section 4.4.</w:t>
      </w:r>
    </w:p>
    <w:p>
      <w:pPr>
        <w:spacing w:after="100" w:before="180"/>
      </w:pPr>
      <w:r>
        <w:rPr>
          <w:b/>
          <w:bCs/>
          <w:color w:val="0F2A4A"/>
          <w:sz w:val="22"/>
          <w:szCs w:val="22"/>
        </w:rPr>
        <w:t xml:space="preserve">4.3 </w:t>
      </w:r>
      <w:r>
        <w:rPr>
          <w:b/>
          <w:bCs/>
          <w:color w:val="0F2A4A"/>
          <w:sz w:val="22"/>
          <w:szCs w:val="22"/>
        </w:rPr>
        <w:t xml:space="preserve">Cancellation</w:t>
      </w:r>
    </w:p>
    <w:p>
      <w:pPr>
        <w:spacing w:after="120" w:line="300"/>
      </w:pPr>
      <w:r>
        <w:rPr>
          <w:sz w:val="22"/>
          <w:szCs w:val="22"/>
        </w:rPr>
        <w:t xml:space="preserve">You may cancel your Subscription at any time through your client portal or by contacting your client relationship manager. There is no early-termination fee. Cancellation takes effect at the end of your then-current monthly billing cycle. Subscription fees already paid for the cycle in which you cancel are non-refundable.</w:t>
      </w:r>
    </w:p>
    <w:p>
      <w:pPr>
        <w:spacing w:after="100" w:before="180"/>
      </w:pPr>
      <w:r>
        <w:rPr>
          <w:b/>
          <w:bCs/>
          <w:color w:val="0F2A4A"/>
          <w:sz w:val="22"/>
          <w:szCs w:val="22"/>
        </w:rPr>
        <w:t xml:space="preserve">4.4 </w:t>
      </w:r>
      <w:r>
        <w:rPr>
          <w:b/>
          <w:bCs/>
          <w:color w:val="0F2A4A"/>
          <w:sz w:val="22"/>
          <w:szCs w:val="22"/>
        </w:rPr>
        <w:t xml:space="preserve">Price Changes After Initial Term</w:t>
      </w:r>
    </w:p>
    <w:p>
      <w:pPr>
        <w:spacing w:after="120" w:line="300"/>
      </w:pPr>
      <w:r>
        <w:rPr>
          <w:sz w:val="22"/>
          <w:szCs w:val="22"/>
        </w:rPr>
        <w:t xml:space="preserve">After the Initial Term, we may change your Subscription fee with at least 60 days' written notice to you. Notice will be sent to the email address on file for your account. The new fee will take effect on the next billing cycle that begins at least 60 days after the date of notice. If you do not wish to accept the new fee, you may cancel your Subscription before the new fee takes effect under Section 4.3.</w:t>
      </w:r>
    </w:p>
    <w:p>
      <w:pPr>
        <w:spacing w:after="100" w:before="180"/>
      </w:pPr>
      <w:r>
        <w:rPr>
          <w:b/>
          <w:bCs/>
          <w:color w:val="0F2A4A"/>
          <w:sz w:val="22"/>
          <w:szCs w:val="22"/>
        </w:rPr>
        <w:t xml:space="preserve">4.5 </w:t>
      </w:r>
      <w:r>
        <w:rPr>
          <w:b/>
          <w:bCs/>
          <w:color w:val="0F2A4A"/>
          <w:sz w:val="22"/>
          <w:szCs w:val="22"/>
        </w:rPr>
        <w:t xml:space="preserve">Payment Method</w:t>
      </w:r>
    </w:p>
    <w:p>
      <w:pPr>
        <w:spacing w:after="120" w:line="300"/>
      </w:pPr>
      <w:r>
        <w:rPr>
          <w:sz w:val="22"/>
          <w:szCs w:val="22"/>
        </w:rPr>
        <w:t xml:space="preserve">You authorize us to charge the payment method on file for your Subscription fee, any à la carte services you authorize, and any update time exceeding your included allowance that you have approved. You are responsible for keeping your payment method current.</w:t>
      </w:r>
    </w:p>
    <w:p>
      <w:pPr>
        <w:spacing w:after="100" w:before="180"/>
      </w:pPr>
      <w:r>
        <w:rPr>
          <w:b/>
          <w:bCs/>
          <w:color w:val="0F2A4A"/>
          <w:sz w:val="22"/>
          <w:szCs w:val="22"/>
        </w:rPr>
        <w:t xml:space="preserve">4.6 </w:t>
      </w:r>
      <w:r>
        <w:rPr>
          <w:b/>
          <w:bCs/>
          <w:color w:val="0F2A4A"/>
          <w:sz w:val="22"/>
          <w:szCs w:val="22"/>
        </w:rPr>
        <w:t xml:space="preserve">Failed Payments</w:t>
      </w:r>
    </w:p>
    <w:p>
      <w:pPr>
        <w:spacing w:after="120" w:line="300"/>
      </w:pPr>
      <w:r>
        <w:rPr>
          <w:sz w:val="22"/>
          <w:szCs w:val="22"/>
        </w:rPr>
        <w:t xml:space="preserve">If a Subscription payment fails:</w:t>
      </w:r>
    </w:p>
    <w:p>
      <w:pPr>
        <w:pStyle w:val="ListParagraph"/>
        <w:numPr>
          <w:ilvl w:val="0"/>
          <w:numId w:val="2"/>
        </w:numPr>
        <w:spacing w:after="80" w:line="300"/>
      </w:pPr>
      <w:r>
        <w:t xml:space="preserve">Days 1 through 30 after the failure: We will use reasonable efforts to contact you by email and phone to update your payment method, and your Website will remain online and operational. We may suspend non-essential services such as new edit requests during this period.</w:t>
      </w:r>
    </w:p>
    <w:p>
      <w:pPr>
        <w:pStyle w:val="ListParagraph"/>
        <w:numPr>
          <w:ilvl w:val="0"/>
          <w:numId w:val="2"/>
        </w:numPr>
        <w:spacing w:after="80" w:line="300"/>
      </w:pPr>
      <w:r>
        <w:t xml:space="preserve">Days 31 through 90 after the failure: Your Website will be taken offline. Your Account will be suspended. Your domain registration (if it is registered to you, which it always is under this Agreement) remains yours and is unaffected. You may reinstate your Account at any time during this window by paying all outstanding fees.</w:t>
      </w:r>
    </w:p>
    <w:p>
      <w:pPr>
        <w:pStyle w:val="ListParagraph"/>
        <w:numPr>
          <w:ilvl w:val="0"/>
          <w:numId w:val="2"/>
        </w:numPr>
        <w:spacing w:after="80" w:line="300"/>
      </w:pPr>
      <w:r>
        <w:t xml:space="preserve">Day 91 and after the failure: Your Website code will be permanently deleted. Your Account will be closed. After this point, restoration is not possible. You may still request a copy of your Content under Section 6.4 within 60 days of Account closure.</w:t>
      </w:r>
    </w:p>
    <w:p>
      <w:pPr>
        <w:spacing w:after="100" w:before="180"/>
      </w:pPr>
      <w:r>
        <w:rPr>
          <w:b/>
          <w:bCs/>
          <w:color w:val="0F2A4A"/>
          <w:sz w:val="22"/>
          <w:szCs w:val="22"/>
        </w:rPr>
        <w:t xml:space="preserve">4.7 </w:t>
      </w:r>
      <w:r>
        <w:rPr>
          <w:b/>
          <w:bCs/>
          <w:color w:val="0F2A4A"/>
          <w:sz w:val="22"/>
          <w:szCs w:val="22"/>
        </w:rPr>
        <w:t xml:space="preserve">Setup Fees</w:t>
      </w:r>
    </w:p>
    <w:p>
      <w:pPr>
        <w:spacing w:after="120" w:line="300"/>
      </w:pPr>
      <w:r>
        <w:rPr>
          <w:sz w:val="22"/>
          <w:szCs w:val="22"/>
        </w:rPr>
        <w:t xml:space="preserve">Setup fees, if any, are paid under your Build Agreement before this Master Services Agreement takes effect. Setup fees are non-refundable except as expressly stated in your Build Agreement. Setup fees are not credited against Subscription fees, but do reduce the Buyout Price under Section 7.</w:t>
      </w:r>
    </w:p>
    <w:p>
      <w:pPr>
        <w:spacing w:after="140" w:before="280"/>
      </w:pPr>
      <w:r>
        <w:rPr>
          <w:b/>
          <w:bCs/>
          <w:color w:val="0F2A4A"/>
          <w:sz w:val="24"/>
          <w:szCs w:val="24"/>
        </w:rPr>
        <w:t xml:space="preserve">5. </w:t>
      </w:r>
      <w:r>
        <w:rPr>
          <w:b/>
          <w:bCs/>
          <w:color w:val="0F2A4A"/>
          <w:sz w:val="24"/>
          <w:szCs w:val="24"/>
        </w:rPr>
        <w:t xml:space="preserve">Customer Responsibilities</w:t>
      </w:r>
    </w:p>
    <w:p>
      <w:pPr>
        <w:spacing w:after="100" w:before="180"/>
      </w:pPr>
      <w:r>
        <w:rPr>
          <w:b/>
          <w:bCs/>
          <w:color w:val="0F2A4A"/>
          <w:sz w:val="22"/>
          <w:szCs w:val="22"/>
        </w:rPr>
        <w:t xml:space="preserve">5.1 </w:t>
      </w:r>
      <w:r>
        <w:rPr>
          <w:b/>
          <w:bCs/>
          <w:color w:val="0F2A4A"/>
          <w:sz w:val="22"/>
          <w:szCs w:val="22"/>
        </w:rPr>
        <w:t xml:space="preserve">Content Approval and Ownership of Compliance</w:t>
      </w:r>
    </w:p>
    <w:p>
      <w:pPr>
        <w:spacing w:after="120" w:line="300"/>
      </w:pPr>
      <w:r>
        <w:rPr>
          <w:sz w:val="22"/>
          <w:szCs w:val="22"/>
        </w:rPr>
        <w:t xml:space="preserve">You are responsible for the legal compliance of all Content displayed on your Website. This responsibility applies regardless of whether the Content was provided by you, written by Graylock personnel, generated or assisted by AI, or any combination. We design and build your Website with consideration of generally applicable advertising and privacy laws, but specific compliance with any law, regulation, professional licensing rule, or industry standard applicable to your business is your responsibility, working with your own attorney, compliance officer, or licensing board as appropriate.</w:t>
      </w:r>
    </w:p>
    <w:p>
      <w:pPr>
        <w:spacing w:after="100" w:before="180"/>
      </w:pPr>
      <w:r>
        <w:rPr>
          <w:b/>
          <w:bCs/>
          <w:color w:val="0F2A4A"/>
          <w:sz w:val="22"/>
          <w:szCs w:val="22"/>
        </w:rPr>
        <w:t xml:space="preserve">5.2 </w:t>
      </w:r>
      <w:r>
        <w:rPr>
          <w:b/>
          <w:bCs/>
          <w:color w:val="0F2A4A"/>
          <w:sz w:val="22"/>
          <w:szCs w:val="22"/>
        </w:rPr>
        <w:t xml:space="preserve">Content Warranties</w:t>
      </w:r>
    </w:p>
    <w:p>
      <w:pPr>
        <w:spacing w:after="120" w:line="300"/>
      </w:pPr>
      <w:r>
        <w:rPr>
          <w:sz w:val="22"/>
          <w:szCs w:val="22"/>
        </w:rPr>
        <w:t xml:space="preserve">You represent and warrant that:</w:t>
      </w:r>
    </w:p>
    <w:p>
      <w:pPr>
        <w:pStyle w:val="ListParagraph"/>
        <w:numPr>
          <w:ilvl w:val="0"/>
          <w:numId w:val="2"/>
        </w:numPr>
        <w:spacing w:after="80" w:line="300"/>
      </w:pPr>
      <w:r>
        <w:t xml:space="preserve">You own or have all necessary rights and licenses to all Customer Content you provide to us, and to display that Content on your Website;</w:t>
      </w:r>
    </w:p>
    <w:p>
      <w:pPr>
        <w:pStyle w:val="ListParagraph"/>
        <w:numPr>
          <w:ilvl w:val="0"/>
          <w:numId w:val="2"/>
        </w:numPr>
        <w:spacing w:after="80" w:line="300"/>
      </w:pPr>
      <w:r>
        <w:t xml:space="preserve">Your Customer Content does not infringe any third party's intellectual property, privacy, publicity, or other rights;</w:t>
      </w:r>
    </w:p>
    <w:p>
      <w:pPr>
        <w:pStyle w:val="ListParagraph"/>
        <w:numPr>
          <w:ilvl w:val="0"/>
          <w:numId w:val="2"/>
        </w:numPr>
        <w:spacing w:after="80" w:line="300"/>
      </w:pPr>
      <w:r>
        <w:t xml:space="preserve">All testimonials, endorsements, before-and-after photos, and patient or client references on your Website have appropriate written authorizations on file with you, and that those authorizations cover the specific use displayed on the Website;</w:t>
      </w:r>
    </w:p>
    <w:p>
      <w:pPr>
        <w:pStyle w:val="ListParagraph"/>
        <w:numPr>
          <w:ilvl w:val="0"/>
          <w:numId w:val="2"/>
        </w:numPr>
        <w:spacing w:after="80" w:line="300"/>
      </w:pPr>
      <w:r>
        <w:t xml:space="preserve">All claims, statements of fact, statistics, awards, certifications, credentials, and similar objective representations on your Website are accurate, current, and substantiated by documentation in your possession;</w:t>
      </w:r>
    </w:p>
    <w:p>
      <w:pPr>
        <w:pStyle w:val="ListParagraph"/>
        <w:numPr>
          <w:ilvl w:val="0"/>
          <w:numId w:val="2"/>
        </w:numPr>
        <w:spacing w:after="80" w:line="300"/>
      </w:pPr>
      <w:r>
        <w:t xml:space="preserve">Your business operations and Website do not violate any applicable law, regulation, or industry rule, and you hold all licenses, registrations, and certifications required to operate your business and offer the services described on your Website.</w:t>
      </w:r>
    </w:p>
    <w:p>
      <w:pPr>
        <w:spacing w:after="100" w:before="180"/>
      </w:pPr>
      <w:r>
        <w:rPr>
          <w:b/>
          <w:bCs/>
          <w:color w:val="0F2A4A"/>
          <w:sz w:val="22"/>
          <w:szCs w:val="22"/>
        </w:rPr>
        <w:t xml:space="preserve">5.3 </w:t>
      </w:r>
      <w:r>
        <w:rPr>
          <w:b/>
          <w:bCs/>
          <w:color w:val="0F2A4A"/>
          <w:sz w:val="22"/>
          <w:szCs w:val="22"/>
        </w:rPr>
        <w:t xml:space="preserve">Post-Launch Content Changes</w:t>
      </w:r>
    </w:p>
    <w:p>
      <w:pPr>
        <w:spacing w:after="120" w:line="300"/>
      </w:pPr>
      <w:r>
        <w:rPr>
          <w:sz w:val="22"/>
          <w:szCs w:val="22"/>
        </w:rPr>
        <w:t xml:space="preserve">After your initial Website goes live, any change you request to your Website is deemed approved by you when you submit the request. Any change we propose to your Website (other than routine maintenance, security updates, accessibility fixes, infrastructure updates, and similar non-substantive changes) requires your written approval before publication. Written approval may be provided through your client portal, by email, or by other written communication.</w:t>
      </w:r>
    </w:p>
    <w:p>
      <w:pPr>
        <w:spacing w:after="100" w:before="180"/>
      </w:pPr>
      <w:r>
        <w:rPr>
          <w:b/>
          <w:bCs/>
          <w:color w:val="0F2A4A"/>
          <w:sz w:val="22"/>
          <w:szCs w:val="22"/>
        </w:rPr>
        <w:t xml:space="preserve">5.4 </w:t>
      </w:r>
      <w:r>
        <w:rPr>
          <w:b/>
          <w:bCs/>
          <w:color w:val="0F2A4A"/>
          <w:sz w:val="22"/>
          <w:szCs w:val="22"/>
        </w:rPr>
        <w:t xml:space="preserve">Substantiation Records</w:t>
      </w:r>
    </w:p>
    <w:p>
      <w:pPr>
        <w:spacing w:after="120" w:line="300"/>
      </w:pPr>
      <w:r>
        <w:rPr>
          <w:sz w:val="22"/>
          <w:szCs w:val="22"/>
        </w:rPr>
        <w:t xml:space="preserve">You are responsible for maintaining your own substantiation file for any objective claim, testimonial, credential, certification, license, or similar representation displayed on your Website. We may request that you provide substantiation for specific items. If you cannot or will not provide adequate substantiation, we may decline to publish or may require removal of the item, and you indemnify us against claims related to unsubstantiated representations.</w:t>
      </w:r>
    </w:p>
    <w:p>
      <w:pPr>
        <w:spacing w:after="100" w:before="180"/>
      </w:pPr>
      <w:r>
        <w:rPr>
          <w:b/>
          <w:bCs/>
          <w:color w:val="0F2A4A"/>
          <w:sz w:val="22"/>
          <w:szCs w:val="22"/>
        </w:rPr>
        <w:t xml:space="preserve">5.5 </w:t>
      </w:r>
      <w:r>
        <w:rPr>
          <w:b/>
          <w:bCs/>
          <w:color w:val="0F2A4A"/>
          <w:sz w:val="22"/>
          <w:szCs w:val="22"/>
        </w:rPr>
        <w:t xml:space="preserve">Domain and Third-Party Accounts</w:t>
      </w:r>
    </w:p>
    <w:p>
      <w:pPr>
        <w:spacing w:after="120" w:line="300"/>
      </w:pPr>
      <w:r>
        <w:rPr>
          <w:sz w:val="22"/>
          <w:szCs w:val="22"/>
        </w:rPr>
        <w:t xml:space="preserve">You are the registrant of your own domain name. You are also responsible for maintaining your own accounts with any third-party services connected to your Website (Google Business Profile, Google Search Console, Google Analytics, social media platforms, payment processors, email service providers, and similar). We may assist you in setting up these accounts, but you own them and are responsible for their continued maintenance and credentials.</w:t>
      </w:r>
    </w:p>
    <w:p>
      <w:pPr>
        <w:spacing w:after="140" w:before="280"/>
      </w:pPr>
      <w:r>
        <w:rPr>
          <w:b/>
          <w:bCs/>
          <w:color w:val="0F2A4A"/>
          <w:sz w:val="24"/>
          <w:szCs w:val="24"/>
        </w:rPr>
        <w:t xml:space="preserve">6. </w:t>
      </w:r>
      <w:r>
        <w:rPr>
          <w:b/>
          <w:bCs/>
          <w:color w:val="0F2A4A"/>
          <w:sz w:val="24"/>
          <w:szCs w:val="24"/>
        </w:rPr>
        <w:t xml:space="preserve">Intellectual Property</w:t>
      </w:r>
    </w:p>
    <w:p>
      <w:pPr>
        <w:spacing w:after="100" w:before="180"/>
      </w:pPr>
      <w:r>
        <w:rPr>
          <w:b/>
          <w:bCs/>
          <w:color w:val="0F2A4A"/>
          <w:sz w:val="22"/>
          <w:szCs w:val="22"/>
        </w:rPr>
        <w:t xml:space="preserve">6.1 </w:t>
      </w:r>
      <w:r>
        <w:rPr>
          <w:b/>
          <w:bCs/>
          <w:color w:val="0F2A4A"/>
          <w:sz w:val="22"/>
          <w:szCs w:val="22"/>
        </w:rPr>
        <w:t xml:space="preserve">Graylock Property</w:t>
      </w:r>
    </w:p>
    <w:p>
      <w:pPr>
        <w:spacing w:after="120" w:line="300"/>
      </w:pPr>
      <w:r>
        <w:rPr>
          <w:sz w:val="22"/>
          <w:szCs w:val="22"/>
        </w:rPr>
        <w:t xml:space="preserve">Graylock OS, the underlying source code of your Website, the Graylock-built design components and templates, the prompts and AI workflows used to build your Website, the client portal and associated dashboards, and all other software, methodologies, and tools we use to deliver the Services are the exclusive property of Graylock. Nothing in this Agreement transfers ownership of any of the foregoing to you.</w:t>
      </w:r>
    </w:p>
    <w:p>
      <w:pPr>
        <w:spacing w:after="120" w:line="300"/>
      </w:pPr>
      <w:r>
        <w:rPr>
          <w:sz w:val="22"/>
          <w:szCs w:val="22"/>
        </w:rPr>
        <w:t xml:space="preserve">During your active Subscription, we grant you a limited, non-exclusive, non-transferable license to access and use the Website we operate for you. This license terminates when your Subscription ends or under Section 7.</w:t>
      </w:r>
    </w:p>
    <w:p>
      <w:pPr>
        <w:spacing w:after="100" w:before="180"/>
      </w:pPr>
      <w:r>
        <w:rPr>
          <w:b/>
          <w:bCs/>
          <w:color w:val="0F2A4A"/>
          <w:sz w:val="22"/>
          <w:szCs w:val="22"/>
        </w:rPr>
        <w:t xml:space="preserve">6.2 </w:t>
      </w:r>
      <w:r>
        <w:rPr>
          <w:b/>
          <w:bCs/>
          <w:color w:val="0F2A4A"/>
          <w:sz w:val="22"/>
          <w:szCs w:val="22"/>
        </w:rPr>
        <w:t xml:space="preserve">Customer Content</w:t>
      </w:r>
    </w:p>
    <w:p>
      <w:pPr>
        <w:spacing w:after="120" w:line="300"/>
      </w:pPr>
      <w:r>
        <w:rPr>
          <w:sz w:val="22"/>
          <w:szCs w:val="22"/>
        </w:rPr>
        <w:t xml:space="preserve">You retain ownership of all Customer Content you provide to us. You grant us a non-exclusive, worldwide license to host, display, modify, format, and use Customer Content as necessary to provide the Services.</w:t>
      </w:r>
    </w:p>
    <w:p>
      <w:pPr>
        <w:spacing w:after="100" w:before="180"/>
      </w:pPr>
      <w:r>
        <w:rPr>
          <w:b/>
          <w:bCs/>
          <w:color w:val="0F2A4A"/>
          <w:sz w:val="22"/>
          <w:szCs w:val="22"/>
        </w:rPr>
        <w:t xml:space="preserve">6.3 </w:t>
      </w:r>
      <w:r>
        <w:rPr>
          <w:b/>
          <w:bCs/>
          <w:color w:val="0F2A4A"/>
          <w:sz w:val="22"/>
          <w:szCs w:val="22"/>
        </w:rPr>
        <w:t xml:space="preserve">Graylock-Created Content</w:t>
      </w:r>
    </w:p>
    <w:p>
      <w:pPr>
        <w:spacing w:after="120" w:line="300"/>
      </w:pPr>
      <w:r>
        <w:rPr>
          <w:sz w:val="22"/>
          <w:szCs w:val="22"/>
        </w:rPr>
        <w:t xml:space="preserve">Original written copy, headings, page structure, and similar text-based Content that we create for your Website becomes part of your Website and is licensed to you for use on the Website during your active Subscription. Subject to Section 6.4, you may receive a copy of this text-based Content if you cancel your Subscription.</w:t>
      </w:r>
    </w:p>
    <w:p>
      <w:pPr>
        <w:spacing w:after="120" w:line="300"/>
      </w:pPr>
      <w:r>
        <w:rPr>
          <w:sz w:val="22"/>
          <w:szCs w:val="22"/>
        </w:rPr>
        <w:t xml:space="preserve">Photographs, illustrations, graphics, icons, custom design elements, and other visual assets created by Graylock for your Website remain the exclusive property of Graylock. We license these assets to you for display on the Website during your active Subscription only. We do not transfer or provide these visual assets to you upon cancellation, and you do not have the right to reuse them after your Subscription ends, except as expressly provided in Section 7 (Buyout).</w:t>
      </w:r>
    </w:p>
    <w:p>
      <w:pPr>
        <w:spacing w:after="100" w:before="180"/>
      </w:pPr>
      <w:r>
        <w:rPr>
          <w:b/>
          <w:bCs/>
          <w:color w:val="0F2A4A"/>
          <w:sz w:val="22"/>
          <w:szCs w:val="22"/>
        </w:rPr>
        <w:t xml:space="preserve">6.4 </w:t>
      </w:r>
      <w:r>
        <w:rPr>
          <w:b/>
          <w:bCs/>
          <w:color w:val="0F2A4A"/>
          <w:sz w:val="22"/>
          <w:szCs w:val="22"/>
        </w:rPr>
        <w:t xml:space="preserve">Content Return on Cancellation</w:t>
      </w:r>
    </w:p>
    <w:p>
      <w:pPr>
        <w:spacing w:after="120" w:line="300"/>
      </w:pPr>
      <w:r>
        <w:rPr>
          <w:sz w:val="22"/>
          <w:szCs w:val="22"/>
        </w:rPr>
        <w:t xml:space="preserve">Within the 60-day period following your cancellation, you may request a copy of the text-based written Content displayed on your Website. We will deliver this Content within 30 days of your written request, in PDF format, page by page. The PDF will not include metadata, alt text, page titles, meta descriptions, schema markup, or other non-display Content. We will not return Customer Content you originally provided to us, since you already have it. We will not return Graylock-created visual assets.</w:t>
      </w:r>
    </w:p>
    <w:p>
      <w:pPr>
        <w:spacing w:after="100" w:before="180"/>
      </w:pPr>
      <w:r>
        <w:rPr>
          <w:b/>
          <w:bCs/>
          <w:color w:val="0F2A4A"/>
          <w:sz w:val="22"/>
          <w:szCs w:val="22"/>
        </w:rPr>
        <w:t xml:space="preserve">6.5 </w:t>
      </w:r>
      <w:r>
        <w:rPr>
          <w:b/>
          <w:bCs/>
          <w:color w:val="0F2A4A"/>
          <w:sz w:val="22"/>
          <w:szCs w:val="22"/>
        </w:rPr>
        <w:t xml:space="preserve">Reuse of Templates and Methodology</w:t>
      </w:r>
    </w:p>
    <w:p>
      <w:pPr>
        <w:spacing w:after="120" w:line="300"/>
      </w:pPr>
      <w:r>
        <w:rPr>
          <w:sz w:val="22"/>
          <w:szCs w:val="22"/>
        </w:rPr>
        <w:t xml:space="preserve">Each Website we build is original to the customer it serves. However, we may apply our methodologies, structures, design systems, code patterns, prompts, and workflows to other customers. Nothing in this Agreement restricts us from developing, owning, marketing, or providing services to other customers, including in your industry or geographic market.</w:t>
      </w:r>
    </w:p>
    <w:p>
      <w:pPr>
        <w:spacing w:after="100" w:before="180"/>
      </w:pPr>
      <w:r>
        <w:rPr>
          <w:b/>
          <w:bCs/>
          <w:color w:val="0F2A4A"/>
          <w:sz w:val="22"/>
          <w:szCs w:val="22"/>
        </w:rPr>
        <w:t xml:space="preserve">6.6 </w:t>
      </w:r>
      <w:r>
        <w:rPr>
          <w:b/>
          <w:bCs/>
          <w:color w:val="0F2A4A"/>
          <w:sz w:val="22"/>
          <w:szCs w:val="22"/>
        </w:rPr>
        <w:t xml:space="preserve">Footer Attribution</w:t>
      </w:r>
    </w:p>
    <w:p>
      <w:pPr>
        <w:spacing w:after="120" w:line="300"/>
      </w:pPr>
      <w:r>
        <w:rPr>
          <w:sz w:val="22"/>
          <w:szCs w:val="22"/>
        </w:rPr>
        <w:t xml:space="preserve">During your active Subscription, your Website will display a small attribution in the footer (such as "Built by Graylock Digital" or "Maintained by Graylock Digital") linking to graylockdigital.com. You may purchase the right to remove this attribution at our then-current attribution-removal fee. After a Buyout under Section 7, the attribution requirement no longer applies.</w:t>
      </w:r>
    </w:p>
    <w:p>
      <w:pPr>
        <w:spacing w:after="100" w:before="180"/>
      </w:pPr>
      <w:r>
        <w:rPr>
          <w:b/>
          <w:bCs/>
          <w:color w:val="0F2A4A"/>
          <w:sz w:val="22"/>
          <w:szCs w:val="22"/>
        </w:rPr>
        <w:t xml:space="preserve">6.7 </w:t>
      </w:r>
      <w:r>
        <w:rPr>
          <w:b/>
          <w:bCs/>
          <w:color w:val="0F2A4A"/>
          <w:sz w:val="22"/>
          <w:szCs w:val="22"/>
        </w:rPr>
        <w:t xml:space="preserve">Portfolio and Marketing Use</w:t>
      </w:r>
    </w:p>
    <w:p>
      <w:pPr>
        <w:spacing w:after="120" w:line="300"/>
      </w:pPr>
      <w:r>
        <w:rPr>
          <w:sz w:val="22"/>
          <w:szCs w:val="22"/>
        </w:rPr>
        <w:t xml:space="preserve">We may display your Website, business name, logo, and a brief description of our work in our portfolio, on our website, in proposals to prospective customers, and in similar marketing materials. You may opt out of this use at any time by written notice to us, in which case we will remove the relevant materials within 30 days. While you are an active customer, we may publicly identify you as a Graylock customer.</w:t>
      </w:r>
    </w:p>
    <w:p>
      <w:pPr>
        <w:spacing w:after="140" w:before="280"/>
      </w:pPr>
      <w:r>
        <w:rPr>
          <w:b/>
          <w:bCs/>
          <w:color w:val="0F2A4A"/>
          <w:sz w:val="24"/>
          <w:szCs w:val="24"/>
        </w:rPr>
        <w:t xml:space="preserve">7. </w:t>
      </w:r>
      <w:r>
        <w:rPr>
          <w:b/>
          <w:bCs/>
          <w:color w:val="0F2A4A"/>
          <w:sz w:val="24"/>
          <w:szCs w:val="24"/>
        </w:rPr>
        <w:t xml:space="preserve">Buyout Option</w:t>
      </w:r>
    </w:p>
    <w:p>
      <w:pPr>
        <w:spacing w:after="100" w:before="180"/>
      </w:pPr>
      <w:r>
        <w:rPr>
          <w:b/>
          <w:bCs/>
          <w:color w:val="0F2A4A"/>
          <w:sz w:val="22"/>
          <w:szCs w:val="22"/>
        </w:rPr>
        <w:t xml:space="preserve">7.1 </w:t>
      </w:r>
      <w:r>
        <w:rPr>
          <w:b/>
          <w:bCs/>
          <w:color w:val="0F2A4A"/>
          <w:sz w:val="22"/>
          <w:szCs w:val="22"/>
        </w:rPr>
        <w:t xml:space="preserve">Right to Purchase Source Code</w:t>
      </w:r>
    </w:p>
    <w:p>
      <w:pPr>
        <w:spacing w:after="120" w:line="300"/>
      </w:pPr>
      <w:r>
        <w:rPr>
          <w:sz w:val="22"/>
          <w:szCs w:val="22"/>
        </w:rPr>
        <w:t xml:space="preserve">If you wish to terminate your Subscription and retain a copy of your Website source code, you may purchase the source code from Graylock at the Buyout Price defined in Section 7.2.</w:t>
      </w:r>
    </w:p>
    <w:p>
      <w:pPr>
        <w:spacing w:after="100" w:before="180"/>
      </w:pPr>
      <w:r>
        <w:rPr>
          <w:b/>
          <w:bCs/>
          <w:color w:val="0F2A4A"/>
          <w:sz w:val="22"/>
          <w:szCs w:val="22"/>
        </w:rPr>
        <w:t xml:space="preserve">7.2 </w:t>
      </w:r>
      <w:r>
        <w:rPr>
          <w:b/>
          <w:bCs/>
          <w:color w:val="0F2A4A"/>
          <w:sz w:val="22"/>
          <w:szCs w:val="22"/>
        </w:rPr>
        <w:t xml:space="preserve">Buyout Price</w:t>
      </w:r>
    </w:p>
    <w:p>
      <w:pPr>
        <w:spacing w:after="120" w:line="300"/>
      </w:pPr>
      <w:r>
        <w:rPr>
          <w:sz w:val="22"/>
          <w:szCs w:val="22"/>
        </w:rPr>
        <w:t xml:space="preserve">The Buyout Price is calculated as follows:</w:t>
      </w:r>
    </w:p>
    <w:p>
      <w:pPr>
        <w:spacing w:after="120" w:line="300"/>
      </w:pPr>
      <w:r>
        <w:rPr>
          <w:sz w:val="22"/>
          <w:szCs w:val="22"/>
        </w:rPr>
        <w:t xml:space="preserve">Buyout Price = (Monthly Subscription Fee × Build Hours) − Setup Fees Actually Paid</w:t>
      </w:r>
    </w:p>
    <w:p>
      <w:pPr>
        <w:spacing w:after="120" w:line="300"/>
      </w:pPr>
      <w:r>
        <w:rPr>
          <w:sz w:val="22"/>
          <w:szCs w:val="22"/>
        </w:rPr>
        <w:t xml:space="preserve">Where Build Hours are: 40 hours for Starter, 50 hours for Growth, 60 hours for Scale, and as specified in the Statement of Work for Custom Tier customers.</w:t>
      </w:r>
    </w:p>
    <w:p>
      <w:pPr>
        <w:spacing w:after="120" w:line="300"/>
      </w:pPr>
      <w:r>
        <w:rPr>
          <w:sz w:val="22"/>
          <w:szCs w:val="22"/>
        </w:rPr>
        <w:t xml:space="preserve">By way of example: a Starter customer who paid an $799 setup fee would have a Buyout Price of ($199 × 40) − $799 = $7,161. A Growth customer who paid a $999 setup fee would have a Buyout Price of ($299 × 50) − $999 = $13,951.</w:t>
      </w:r>
    </w:p>
    <w:p>
      <w:pPr>
        <w:spacing w:after="120" w:line="300"/>
      </w:pPr>
      <w:r>
        <w:rPr>
          <w:sz w:val="22"/>
          <w:szCs w:val="22"/>
        </w:rPr>
        <w:t xml:space="preserve">Subscription fees you have paid do not reduce the Buyout Price. The Buyout Price reflects the value of the Website's underlying code and assets, separate from the ongoing Services covered by your Subscription fees.</w:t>
      </w:r>
    </w:p>
    <w:p>
      <w:pPr>
        <w:spacing w:after="100" w:before="180"/>
      </w:pPr>
      <w:r>
        <w:rPr>
          <w:b/>
          <w:bCs/>
          <w:color w:val="0F2A4A"/>
          <w:sz w:val="22"/>
          <w:szCs w:val="22"/>
        </w:rPr>
        <w:t xml:space="preserve">7.3 </w:t>
      </w:r>
      <w:r>
        <w:rPr>
          <w:b/>
          <w:bCs/>
          <w:color w:val="0F2A4A"/>
          <w:sz w:val="22"/>
          <w:szCs w:val="22"/>
        </w:rPr>
        <w:t xml:space="preserve">What the Buyout Includes</w:t>
      </w:r>
    </w:p>
    <w:p>
      <w:pPr>
        <w:spacing w:after="120" w:line="300"/>
      </w:pPr>
      <w:r>
        <w:rPr>
          <w:sz w:val="22"/>
          <w:szCs w:val="22"/>
        </w:rPr>
        <w:t xml:space="preserve">Upon payment of the Buyout Price, we will deliver to you:</w:t>
      </w:r>
    </w:p>
    <w:p>
      <w:pPr>
        <w:pStyle w:val="ListParagraph"/>
        <w:numPr>
          <w:ilvl w:val="0"/>
          <w:numId w:val="2"/>
        </w:numPr>
        <w:spacing w:after="80" w:line="300"/>
      </w:pPr>
      <w:r>
        <w:t xml:space="preserve">A Git repository containing the source code of your Website at the time of buyout;</w:t>
      </w:r>
    </w:p>
    <w:p>
      <w:pPr>
        <w:pStyle w:val="ListParagraph"/>
        <w:numPr>
          <w:ilvl w:val="0"/>
          <w:numId w:val="2"/>
        </w:numPr>
        <w:spacing w:after="80" w:line="300"/>
      </w:pPr>
      <w:r>
        <w:t xml:space="preserve">Photographs, illustrations, graphics, and other visual assets that are part of your Website code;</w:t>
      </w:r>
    </w:p>
    <w:p>
      <w:pPr>
        <w:pStyle w:val="ListParagraph"/>
        <w:numPr>
          <w:ilvl w:val="0"/>
          <w:numId w:val="2"/>
        </w:numPr>
        <w:spacing w:after="80" w:line="300"/>
      </w:pPr>
      <w:r>
        <w:t xml:space="preserve">On-page SEO work that is part of your Website code (titles, headings, meta tags, schema, internal linking);</w:t>
      </w:r>
    </w:p>
    <w:p>
      <w:pPr>
        <w:pStyle w:val="ListParagraph"/>
        <w:numPr>
          <w:ilvl w:val="0"/>
          <w:numId w:val="2"/>
        </w:numPr>
        <w:spacing w:after="80" w:line="300"/>
      </w:pPr>
      <w:r>
        <w:t xml:space="preserve">A copy of the text-based Content displayed on your Website.</w:t>
      </w:r>
    </w:p>
    <w:p>
      <w:pPr>
        <w:spacing w:after="100" w:before="180"/>
      </w:pPr>
      <w:r>
        <w:rPr>
          <w:b/>
          <w:bCs/>
          <w:color w:val="0F2A4A"/>
          <w:sz w:val="22"/>
          <w:szCs w:val="22"/>
        </w:rPr>
        <w:t xml:space="preserve">7.4 </w:t>
      </w:r>
      <w:r>
        <w:rPr>
          <w:b/>
          <w:bCs/>
          <w:color w:val="0F2A4A"/>
          <w:sz w:val="22"/>
          <w:szCs w:val="22"/>
        </w:rPr>
        <w:t xml:space="preserve">What the Buyout Does Not Include</w:t>
      </w:r>
    </w:p>
    <w:p>
      <w:pPr>
        <w:spacing w:after="120" w:line="300"/>
      </w:pPr>
      <w:r>
        <w:rPr>
          <w:sz w:val="22"/>
          <w:szCs w:val="22"/>
        </w:rPr>
        <w:t xml:space="preserve">The following are not included in a Buyout:</w:t>
      </w:r>
    </w:p>
    <w:p>
      <w:pPr>
        <w:pStyle w:val="ListParagraph"/>
        <w:numPr>
          <w:ilvl w:val="0"/>
          <w:numId w:val="2"/>
        </w:numPr>
        <w:spacing w:after="80" w:line="300"/>
      </w:pPr>
      <w:r>
        <w:t xml:space="preserve">Graylock OS, the client portal, the customer dashboards, and any other Graylock proprietary software platform components, including any components that are accessed by your Website but are not embedded in your Website's source code;</w:t>
      </w:r>
    </w:p>
    <w:p>
      <w:pPr>
        <w:pStyle w:val="ListParagraph"/>
        <w:numPr>
          <w:ilvl w:val="0"/>
          <w:numId w:val="2"/>
        </w:numPr>
        <w:spacing w:after="80" w:line="300"/>
      </w:pPr>
      <w:r>
        <w:t xml:space="preserve">Third-party software licenses, plugin licenses, font licenses, stock photography licenses, and any other third-party rights that do not transfer with the source code; you are responsible for separately licensing any third-party assets needed for your Website to operate;</w:t>
      </w:r>
    </w:p>
    <w:p>
      <w:pPr>
        <w:pStyle w:val="ListParagraph"/>
        <w:numPr>
          <w:ilvl w:val="0"/>
          <w:numId w:val="2"/>
        </w:numPr>
        <w:spacing w:after="80" w:line="300"/>
      </w:pPr>
      <w:r>
        <w:t xml:space="preserve">Hosting, deployment, ongoing maintenance, support, security updates, accessibility monitoring, or any other services we previously provided under your Subscription;</w:t>
      </w:r>
    </w:p>
    <w:p>
      <w:pPr>
        <w:pStyle w:val="ListParagraph"/>
        <w:numPr>
          <w:ilvl w:val="0"/>
          <w:numId w:val="2"/>
        </w:numPr>
        <w:spacing w:after="80" w:line="300"/>
      </w:pPr>
      <w:r>
        <w:t xml:space="preserve">Any Graylock-OS-generated dashboards, analytics, monitoring, or business intelligence outputs.</w:t>
      </w:r>
    </w:p>
    <w:p>
      <w:pPr>
        <w:spacing w:after="100" w:before="180"/>
      </w:pPr>
      <w:r>
        <w:rPr>
          <w:b/>
          <w:bCs/>
          <w:color w:val="0F2A4A"/>
          <w:sz w:val="22"/>
          <w:szCs w:val="22"/>
        </w:rPr>
        <w:t xml:space="preserve">7.5 </w:t>
      </w:r>
      <w:r>
        <w:rPr>
          <w:b/>
          <w:bCs/>
          <w:color w:val="0F2A4A"/>
          <w:sz w:val="22"/>
          <w:szCs w:val="22"/>
        </w:rPr>
        <w:t xml:space="preserve">Post-Buyout Status</w:t>
      </w:r>
    </w:p>
    <w:p>
      <w:pPr>
        <w:spacing w:after="120" w:line="300"/>
      </w:pPr>
      <w:r>
        <w:rPr>
          <w:sz w:val="22"/>
          <w:szCs w:val="22"/>
        </w:rPr>
        <w:t xml:space="preserve">After Buyout, we will not provide hosting, support, maintenance, or any other services for the Website. You are responsible for finding your own hosting provider, deployment partner, and ongoing maintenance. The source code is provided AS IS without warranty of any kind. Footer attribution to Graylock is not required after Buyout.</w:t>
      </w:r>
    </w:p>
    <w:p>
      <w:pPr>
        <w:spacing w:after="100" w:before="180"/>
      </w:pPr>
      <w:r>
        <w:rPr>
          <w:b/>
          <w:bCs/>
          <w:color w:val="0F2A4A"/>
          <w:sz w:val="22"/>
          <w:szCs w:val="22"/>
        </w:rPr>
        <w:t xml:space="preserve">7.6 </w:t>
      </w:r>
      <w:r>
        <w:rPr>
          <w:b/>
          <w:bCs/>
          <w:color w:val="0F2A4A"/>
          <w:sz w:val="22"/>
          <w:szCs w:val="22"/>
        </w:rPr>
        <w:t xml:space="preserve">Transfer of Third-Party Accounts</w:t>
      </w:r>
    </w:p>
    <w:p>
      <w:pPr>
        <w:spacing w:after="120" w:line="300"/>
      </w:pPr>
      <w:r>
        <w:rPr>
          <w:sz w:val="22"/>
          <w:szCs w:val="22"/>
        </w:rPr>
        <w:t xml:space="preserve">Upon Buyout (or upon cancellation under Section 4.3), we will transfer to you administrative access to any Google Business Profile, Google Search Console, Google Analytics, or similar third-party accounts we created or managed on your behalf, to the extent these accounts are tied to your business identity rather than ours.</w:t>
      </w:r>
    </w:p>
    <w:p>
      <w:pPr>
        <w:spacing w:after="140" w:before="280"/>
      </w:pPr>
      <w:r>
        <w:rPr>
          <w:b/>
          <w:bCs/>
          <w:color w:val="0F2A4A"/>
          <w:sz w:val="24"/>
          <w:szCs w:val="24"/>
        </w:rPr>
        <w:t xml:space="preserve">8. </w:t>
      </w:r>
      <w:r>
        <w:rPr>
          <w:b/>
          <w:bCs/>
          <w:color w:val="0F2A4A"/>
          <w:sz w:val="24"/>
          <w:szCs w:val="24"/>
        </w:rPr>
        <w:t xml:space="preserve">Service Levels</w:t>
      </w:r>
    </w:p>
    <w:p>
      <w:pPr>
        <w:spacing w:after="100" w:before="180"/>
      </w:pPr>
      <w:r>
        <w:rPr>
          <w:b/>
          <w:bCs/>
          <w:color w:val="0F2A4A"/>
          <w:sz w:val="22"/>
          <w:szCs w:val="22"/>
        </w:rPr>
        <w:t xml:space="preserve">8.1 </w:t>
      </w:r>
      <w:r>
        <w:rPr>
          <w:b/>
          <w:bCs/>
          <w:color w:val="0F2A4A"/>
          <w:sz w:val="22"/>
          <w:szCs w:val="22"/>
        </w:rPr>
        <w:t xml:space="preserve">Uptime</w:t>
      </w:r>
    </w:p>
    <w:p>
      <w:pPr>
        <w:spacing w:after="120" w:line="300"/>
      </w:pPr>
      <w:r>
        <w:rPr>
          <w:sz w:val="22"/>
          <w:szCs w:val="22"/>
        </w:rPr>
        <w:t xml:space="preserve">We target Website uptime of 99% per calendar month, measured by Graylock's monitoring tools, excluding scheduled maintenance, force majeure, third-party outages outside our reasonable control, and outages caused by Customer or Customer Content. Uptime is a target, not a contractual guarantee, and the limitations of liability in Section 11 apply to all uptime-related claims.</w:t>
      </w:r>
    </w:p>
    <w:p>
      <w:pPr>
        <w:spacing w:after="100" w:before="180"/>
      </w:pPr>
      <w:r>
        <w:rPr>
          <w:b/>
          <w:bCs/>
          <w:color w:val="0F2A4A"/>
          <w:sz w:val="22"/>
          <w:szCs w:val="22"/>
        </w:rPr>
        <w:t xml:space="preserve">8.2 </w:t>
      </w:r>
      <w:r>
        <w:rPr>
          <w:b/>
          <w:bCs/>
          <w:color w:val="0F2A4A"/>
          <w:sz w:val="22"/>
          <w:szCs w:val="22"/>
        </w:rPr>
        <w:t xml:space="preserve">Support Response Time</w:t>
      </w:r>
    </w:p>
    <w:p>
      <w:pPr>
        <w:spacing w:after="120" w:line="300"/>
      </w:pPr>
      <w:r>
        <w:rPr>
          <w:sz w:val="22"/>
          <w:szCs w:val="22"/>
        </w:rPr>
        <w:t xml:space="preserve">We respond to support requests submitted through your client portal or by email within one business day. "Business day" means Monday through Friday, excluding U.S. federal holidays, between the hours of 9:00 a.m. Mountain Time and 5:00 p.m. Pacific Time.</w:t>
      </w:r>
    </w:p>
    <w:p>
      <w:pPr>
        <w:spacing w:after="100" w:before="180"/>
      </w:pPr>
      <w:r>
        <w:rPr>
          <w:b/>
          <w:bCs/>
          <w:color w:val="0F2A4A"/>
          <w:sz w:val="22"/>
          <w:szCs w:val="22"/>
        </w:rPr>
        <w:t xml:space="preserve">8.3 </w:t>
      </w:r>
      <w:r>
        <w:rPr>
          <w:b/>
          <w:bCs/>
          <w:color w:val="0F2A4A"/>
          <w:sz w:val="22"/>
          <w:szCs w:val="22"/>
        </w:rPr>
        <w:t xml:space="preserve">Backups</w:t>
      </w:r>
    </w:p>
    <w:p>
      <w:pPr>
        <w:spacing w:after="120" w:line="300"/>
      </w:pPr>
      <w:r>
        <w:rPr>
          <w:sz w:val="22"/>
          <w:szCs w:val="22"/>
        </w:rPr>
        <w:t xml:space="preserve">We maintain daily backups of your Website with a rolling 30-day retention period. Backups are intended for our operational use to recover from incidents. While we will use reasonable efforts to restore from backup if needed, we do not guarantee the completeness or success of any specific restoration.</w:t>
      </w:r>
    </w:p>
    <w:p>
      <w:pPr>
        <w:spacing w:after="100" w:before="180"/>
      </w:pPr>
      <w:r>
        <w:rPr>
          <w:b/>
          <w:bCs/>
          <w:color w:val="0F2A4A"/>
          <w:sz w:val="22"/>
          <w:szCs w:val="22"/>
        </w:rPr>
        <w:t xml:space="preserve">8.4 </w:t>
      </w:r>
      <w:r>
        <w:rPr>
          <w:b/>
          <w:bCs/>
          <w:color w:val="0F2A4A"/>
          <w:sz w:val="22"/>
          <w:szCs w:val="22"/>
        </w:rPr>
        <w:t xml:space="preserve">Hours of Operation</w:t>
      </w:r>
    </w:p>
    <w:p>
      <w:pPr>
        <w:spacing w:after="120" w:line="300"/>
      </w:pPr>
      <w:r>
        <w:rPr>
          <w:sz w:val="22"/>
          <w:szCs w:val="22"/>
        </w:rPr>
        <w:t xml:space="preserve">Our normal business hours are Monday through Friday, 9:00 a.m. Mountain Time through 5:00 p.m. Pacific Time, excluding U.S. federal holidays. We are not staffed for emergency response outside of business hours.</w:t>
      </w:r>
    </w:p>
    <w:p>
      <w:pPr>
        <w:spacing w:after="140" w:before="280"/>
      </w:pPr>
      <w:r>
        <w:rPr>
          <w:b/>
          <w:bCs/>
          <w:color w:val="0F2A4A"/>
          <w:sz w:val="24"/>
          <w:szCs w:val="24"/>
        </w:rPr>
        <w:t xml:space="preserve">9. </w:t>
      </w:r>
      <w:r>
        <w:rPr>
          <w:b/>
          <w:bCs/>
          <w:color w:val="0F2A4A"/>
          <w:sz w:val="24"/>
          <w:szCs w:val="24"/>
        </w:rPr>
        <w:t xml:space="preserve">Use of AI</w:t>
      </w:r>
    </w:p>
    <w:p>
      <w:pPr>
        <w:spacing w:after="120" w:line="300"/>
      </w:pPr>
      <w:r>
        <w:rPr>
          <w:sz w:val="22"/>
          <w:szCs w:val="22"/>
        </w:rPr>
        <w:t xml:space="preserve">Graylock uses a combination of human work and artificial intelligence tools to deliver the Services. AI tools may be used in copywriting, editing, content generation, design, code generation, search optimization, and other aspects of the build and ongoing maintenance of your Website.</w:t>
      </w:r>
    </w:p>
    <w:p>
      <w:pPr>
        <w:spacing w:after="120" w:line="300"/>
      </w:pPr>
      <w:r>
        <w:rPr>
          <w:sz w:val="22"/>
          <w:szCs w:val="22"/>
        </w:rPr>
        <w:t xml:space="preserve">Graylock OS, including the AI workflows and prompts that power it, is proprietary to Graylock and is not licensed or transferred to you under this Agreement, including in a Buyout.</w:t>
      </w:r>
    </w:p>
    <w:p>
      <w:pPr>
        <w:spacing w:after="120" w:line="300"/>
      </w:pPr>
      <w:r>
        <w:rPr>
          <w:sz w:val="22"/>
          <w:szCs w:val="22"/>
        </w:rPr>
        <w:t xml:space="preserve">You acknowledge and agree that the use of AI tools in the production of your Website does not change your responsibilities under Section 5, including your responsibility for legal compliance and the accuracy of all Content.</w:t>
      </w:r>
    </w:p>
    <w:p>
      <w:pPr>
        <w:spacing w:after="140" w:before="280"/>
      </w:pPr>
      <w:r>
        <w:rPr>
          <w:b/>
          <w:bCs/>
          <w:color w:val="0F2A4A"/>
          <w:sz w:val="24"/>
          <w:szCs w:val="24"/>
        </w:rPr>
        <w:t xml:space="preserve">10. </w:t>
      </w:r>
      <w:r>
        <w:rPr>
          <w:b/>
          <w:bCs/>
          <w:color w:val="0F2A4A"/>
          <w:sz w:val="24"/>
          <w:szCs w:val="24"/>
        </w:rPr>
        <w:t xml:space="preserve">Disclaimers and No Guarantees</w:t>
      </w:r>
    </w:p>
    <w:p>
      <w:pPr>
        <w:spacing w:after="100" w:before="180"/>
      </w:pPr>
      <w:r>
        <w:rPr>
          <w:b/>
          <w:bCs/>
          <w:color w:val="0F2A4A"/>
          <w:sz w:val="22"/>
          <w:szCs w:val="22"/>
        </w:rPr>
        <w:t xml:space="preserve">10.1 </w:t>
      </w:r>
      <w:r>
        <w:rPr>
          <w:b/>
          <w:bCs/>
          <w:color w:val="0F2A4A"/>
          <w:sz w:val="22"/>
          <w:szCs w:val="22"/>
        </w:rPr>
        <w:t xml:space="preserve">Service AS IS</w:t>
      </w:r>
    </w:p>
    <w:p>
      <w:pPr>
        <w:spacing w:after="120" w:line="300"/>
      </w:pPr>
      <w:r>
        <w:rPr>
          <w:sz w:val="22"/>
          <w:szCs w:val="22"/>
        </w:rPr>
        <w:t xml:space="preserve">EXCEPT AS EXPRESSLY STATED IN THIS AGREEMENT, THE SERVICES AND THE WEBSITE ARE PROVIDED "AS IS" AND "AS AVAILABLE," WITHOUT WARRANTY OF ANY KIND. WE DISCLAIM ALL WARRANTIES, EXPRESS, IMPLIED, AND STATUTORY, INCLUDING WARRANTIES OF MERCHANTABILITY, FITNESS FOR A PARTICULAR PURPOSE, NON-INFRINGEMENT, ACCURACY, AND ANY WARRANTIES ARISING FROM COURSE OF DEALING OR USAGE OF TRADE.</w:t>
      </w:r>
    </w:p>
    <w:p>
      <w:pPr>
        <w:spacing w:after="100" w:before="180"/>
      </w:pPr>
      <w:r>
        <w:rPr>
          <w:b/>
          <w:bCs/>
          <w:color w:val="0F2A4A"/>
          <w:sz w:val="22"/>
          <w:szCs w:val="22"/>
        </w:rPr>
        <w:t xml:space="preserve">10.2 </w:t>
      </w:r>
      <w:r>
        <w:rPr>
          <w:b/>
          <w:bCs/>
          <w:color w:val="0F2A4A"/>
          <w:sz w:val="22"/>
          <w:szCs w:val="22"/>
        </w:rPr>
        <w:t xml:space="preserve">No Outcome Guarantees</w:t>
      </w:r>
    </w:p>
    <w:p>
      <w:pPr>
        <w:spacing w:after="120" w:line="300"/>
      </w:pPr>
      <w:r>
        <w:rPr>
          <w:sz w:val="22"/>
          <w:szCs w:val="22"/>
        </w:rPr>
        <w:t xml:space="preserve">We do not guarantee any specific business outcome, including search engine rankings, search engine indexing, traffic levels, conversion rates, lead volume, sales, revenue, customer acquisition, customer retention, or competitive positioning. We do not guarantee that your Website will be free from errors, defects, or vulnerabilities, or that the Services will be uninterrupted.</w:t>
      </w:r>
    </w:p>
    <w:p>
      <w:pPr>
        <w:spacing w:after="100" w:before="180"/>
      </w:pPr>
      <w:r>
        <w:rPr>
          <w:b/>
          <w:bCs/>
          <w:color w:val="0F2A4A"/>
          <w:sz w:val="22"/>
          <w:szCs w:val="22"/>
        </w:rPr>
        <w:t xml:space="preserve">10.3 </w:t>
      </w:r>
      <w:r>
        <w:rPr>
          <w:b/>
          <w:bCs/>
          <w:color w:val="0F2A4A"/>
          <w:sz w:val="22"/>
          <w:szCs w:val="22"/>
        </w:rPr>
        <w:t xml:space="preserve">No Legal or Compliance Guarantees</w:t>
      </w:r>
    </w:p>
    <w:p>
      <w:pPr>
        <w:spacing w:after="120" w:line="300"/>
      </w:pPr>
      <w:r>
        <w:rPr>
          <w:sz w:val="22"/>
          <w:szCs w:val="22"/>
        </w:rPr>
        <w:t xml:space="preserve">We are not a law firm, a compliance consultancy, an accounting firm, or a regulatory advisor. Nothing we provide constitutes legal, financial, accounting, tax, medical, or professional advice. We do not guarantee that your Website complies with any law, regulation, professional licensing rule, or industry standard. Final responsibility for legal and regulatory compliance is yours, working with your own qualified advisors.</w:t>
      </w:r>
    </w:p>
    <w:p>
      <w:pPr>
        <w:spacing w:after="140" w:before="280"/>
      </w:pPr>
      <w:r>
        <w:rPr>
          <w:b/>
          <w:bCs/>
          <w:color w:val="0F2A4A"/>
          <w:sz w:val="24"/>
          <w:szCs w:val="24"/>
        </w:rPr>
        <w:t xml:space="preserve">11. </w:t>
      </w:r>
      <w:r>
        <w:rPr>
          <w:b/>
          <w:bCs/>
          <w:color w:val="0F2A4A"/>
          <w:sz w:val="24"/>
          <w:szCs w:val="24"/>
        </w:rPr>
        <w:t xml:space="preserve">Limitation of Liability</w:t>
      </w:r>
    </w:p>
    <w:p>
      <w:pPr>
        <w:spacing w:after="100" w:before="180"/>
      </w:pPr>
      <w:r>
        <w:rPr>
          <w:b/>
          <w:bCs/>
          <w:color w:val="0F2A4A"/>
          <w:sz w:val="22"/>
          <w:szCs w:val="22"/>
        </w:rPr>
        <w:t xml:space="preserve">11.1 </w:t>
      </w:r>
      <w:r>
        <w:rPr>
          <w:b/>
          <w:bCs/>
          <w:color w:val="0F2A4A"/>
          <w:sz w:val="22"/>
          <w:szCs w:val="22"/>
        </w:rPr>
        <w:t xml:space="preserve">Liability Cap</w:t>
      </w:r>
    </w:p>
    <w:p>
      <w:pPr>
        <w:spacing w:after="120" w:line="300"/>
      </w:pPr>
      <w:r>
        <w:rPr>
          <w:sz w:val="22"/>
          <w:szCs w:val="22"/>
        </w:rPr>
        <w:t xml:space="preserve">EXCEPT FOR YOUR PAYMENT OBLIGATIONS, INDEMNIFICATION OBLIGATIONS, AND BREACHES OF CONFIDENTIALITY, NEITHER PARTY'S TOTAL LIABILITY UNDER THIS AGREEMENT, REGARDLESS OF THE BASIS OR FORM OF THE CLAIM, WILL EXCEED THE TOTAL FEES YOU PAID TO GRAYLOCK UNDER THIS AGREEMENT IN THE 12 MONTHS IMMEDIATELY PRECEDING THE EVENT GIVING RISE TO THE CLAIM.</w:t>
      </w:r>
    </w:p>
    <w:p>
      <w:pPr>
        <w:spacing w:after="100" w:before="180"/>
      </w:pPr>
      <w:r>
        <w:rPr>
          <w:b/>
          <w:bCs/>
          <w:color w:val="0F2A4A"/>
          <w:sz w:val="22"/>
          <w:szCs w:val="22"/>
        </w:rPr>
        <w:t xml:space="preserve">11.2 </w:t>
      </w:r>
      <w:r>
        <w:rPr>
          <w:b/>
          <w:bCs/>
          <w:color w:val="0F2A4A"/>
          <w:sz w:val="22"/>
          <w:szCs w:val="22"/>
        </w:rPr>
        <w:t xml:space="preserve">Excluded Damages</w:t>
      </w:r>
    </w:p>
    <w:p>
      <w:pPr>
        <w:spacing w:after="120" w:line="300"/>
      </w:pPr>
      <w:r>
        <w:rPr>
          <w:sz w:val="22"/>
          <w:szCs w:val="22"/>
        </w:rPr>
        <w:t xml:space="preserve">IN NO EVENT WILL EITHER PARTY BE LIABLE FOR ANY INDIRECT, INCIDENTAL, CONSEQUENTIAL, SPECIAL, EXEMPLARY, OR PUNITIVE DAMAGES, OR FOR LOST PROFITS, LOST REVENUE, LOST DATA, LOSS OF GOODWILL, OR BUSINESS INTERRUPTION, EVEN IF ADVISED OF THE POSSIBILITY OF SUCH DAMAGES.</w:t>
      </w:r>
    </w:p>
    <w:p>
      <w:pPr>
        <w:spacing w:after="100" w:before="180"/>
      </w:pPr>
      <w:r>
        <w:rPr>
          <w:b/>
          <w:bCs/>
          <w:color w:val="0F2A4A"/>
          <w:sz w:val="22"/>
          <w:szCs w:val="22"/>
        </w:rPr>
        <w:t xml:space="preserve">11.3 </w:t>
      </w:r>
      <w:r>
        <w:rPr>
          <w:b/>
          <w:bCs/>
          <w:color w:val="0F2A4A"/>
          <w:sz w:val="22"/>
          <w:szCs w:val="22"/>
        </w:rPr>
        <w:t xml:space="preserve">Application</w:t>
      </w:r>
    </w:p>
    <w:p>
      <w:pPr>
        <w:spacing w:after="120" w:line="300"/>
      </w:pPr>
      <w:r>
        <w:rPr>
          <w:sz w:val="22"/>
          <w:szCs w:val="22"/>
        </w:rPr>
        <w:t xml:space="preserve">These limitations apply to the maximum extent permitted by law. The limitations apply even if a remedy fails of its essential purpose.</w:t>
      </w:r>
    </w:p>
    <w:p>
      <w:pPr>
        <w:spacing w:after="140" w:before="280"/>
      </w:pPr>
      <w:r>
        <w:rPr>
          <w:b/>
          <w:bCs/>
          <w:color w:val="0F2A4A"/>
          <w:sz w:val="24"/>
          <w:szCs w:val="24"/>
        </w:rPr>
        <w:t xml:space="preserve">12. </w:t>
      </w:r>
      <w:r>
        <w:rPr>
          <w:b/>
          <w:bCs/>
          <w:color w:val="0F2A4A"/>
          <w:sz w:val="24"/>
          <w:szCs w:val="24"/>
        </w:rPr>
        <w:t xml:space="preserve">Indemnification</w:t>
      </w:r>
    </w:p>
    <w:p>
      <w:pPr>
        <w:spacing w:after="100" w:before="180"/>
      </w:pPr>
      <w:r>
        <w:rPr>
          <w:b/>
          <w:bCs/>
          <w:color w:val="0F2A4A"/>
          <w:sz w:val="22"/>
          <w:szCs w:val="22"/>
        </w:rPr>
        <w:t xml:space="preserve">12.1 </w:t>
      </w:r>
      <w:r>
        <w:rPr>
          <w:b/>
          <w:bCs/>
          <w:color w:val="0F2A4A"/>
          <w:sz w:val="22"/>
          <w:szCs w:val="22"/>
        </w:rPr>
        <w:t xml:space="preserve">By Customer</w:t>
      </w:r>
    </w:p>
    <w:p>
      <w:pPr>
        <w:spacing w:after="120" w:line="300"/>
      </w:pPr>
      <w:r>
        <w:rPr>
          <w:sz w:val="22"/>
          <w:szCs w:val="22"/>
        </w:rPr>
        <w:t xml:space="preserve">You will defend, indemnify, and hold harmless Graylock and its members, officers, employees, and agents from and against all third-party claims, demands, suits, proceedings, damages, liabilities, losses, fines, penalties, and expenses (including reasonable attorneys' fees) arising out of or related to:</w:t>
      </w:r>
    </w:p>
    <w:p>
      <w:pPr>
        <w:pStyle w:val="ListParagraph"/>
        <w:numPr>
          <w:ilvl w:val="0"/>
          <w:numId w:val="2"/>
        </w:numPr>
        <w:spacing w:after="80" w:line="300"/>
      </w:pPr>
      <w:r>
        <w:t xml:space="preserve">Customer Content or any Content displayed on your Website;</w:t>
      </w:r>
    </w:p>
    <w:p>
      <w:pPr>
        <w:pStyle w:val="ListParagraph"/>
        <w:numPr>
          <w:ilvl w:val="0"/>
          <w:numId w:val="2"/>
        </w:numPr>
        <w:spacing w:after="80" w:line="300"/>
      </w:pPr>
      <w:r>
        <w:t xml:space="preserve">Your breach of any of the warranties in Section 5;</w:t>
      </w:r>
    </w:p>
    <w:p>
      <w:pPr>
        <w:pStyle w:val="ListParagraph"/>
        <w:numPr>
          <w:ilvl w:val="0"/>
          <w:numId w:val="2"/>
        </w:numPr>
        <w:spacing w:after="80" w:line="300"/>
      </w:pPr>
      <w:r>
        <w:t xml:space="preserve">Your operation of your business;</w:t>
      </w:r>
    </w:p>
    <w:p>
      <w:pPr>
        <w:pStyle w:val="ListParagraph"/>
        <w:numPr>
          <w:ilvl w:val="0"/>
          <w:numId w:val="2"/>
        </w:numPr>
        <w:spacing w:after="80" w:line="300"/>
      </w:pPr>
      <w:r>
        <w:t xml:space="preserve">Your compliance or non-compliance with any law, regulation, professional licensing rule, or industry standard applicable to your business;</w:t>
      </w:r>
    </w:p>
    <w:p>
      <w:pPr>
        <w:pStyle w:val="ListParagraph"/>
        <w:numPr>
          <w:ilvl w:val="0"/>
          <w:numId w:val="2"/>
        </w:numPr>
        <w:spacing w:after="80" w:line="300"/>
      </w:pPr>
      <w:r>
        <w:t xml:space="preserve">Your products or services described or sold through your Website;</w:t>
      </w:r>
    </w:p>
    <w:p>
      <w:pPr>
        <w:pStyle w:val="ListParagraph"/>
        <w:numPr>
          <w:ilvl w:val="0"/>
          <w:numId w:val="2"/>
        </w:numPr>
        <w:spacing w:after="80" w:line="300"/>
      </w:pPr>
      <w:r>
        <w:t xml:space="preserve">Any claim that your Content, your business, or your operations infringes the rights of any third party.</w:t>
      </w:r>
    </w:p>
    <w:p>
      <w:pPr>
        <w:spacing w:after="100" w:before="180"/>
      </w:pPr>
      <w:r>
        <w:rPr>
          <w:b/>
          <w:bCs/>
          <w:color w:val="0F2A4A"/>
          <w:sz w:val="22"/>
          <w:szCs w:val="22"/>
        </w:rPr>
        <w:t xml:space="preserve">12.2 </w:t>
      </w:r>
      <w:r>
        <w:rPr>
          <w:b/>
          <w:bCs/>
          <w:color w:val="0F2A4A"/>
          <w:sz w:val="22"/>
          <w:szCs w:val="22"/>
        </w:rPr>
        <w:t xml:space="preserve">By Graylock</w:t>
      </w:r>
    </w:p>
    <w:p>
      <w:pPr>
        <w:spacing w:after="120" w:line="300"/>
      </w:pPr>
      <w:r>
        <w:rPr>
          <w:sz w:val="22"/>
          <w:szCs w:val="22"/>
        </w:rPr>
        <w:t xml:space="preserve">We will defend, indemnify, and hold harmless you from and against third-party claims that the Graylock-developed source code of your Website (excluding Customer Content) infringes the U.S. intellectual property rights of a third party. This indemnification does not apply to (a) Customer Content, (b) modifications to the Website made by anyone other than us, (c) combinations of the Website with materials we did not provide, or (d) the Website after Buyout.</w:t>
      </w:r>
    </w:p>
    <w:p>
      <w:pPr>
        <w:spacing w:after="100" w:before="180"/>
      </w:pPr>
      <w:r>
        <w:rPr>
          <w:b/>
          <w:bCs/>
          <w:color w:val="0F2A4A"/>
          <w:sz w:val="22"/>
          <w:szCs w:val="22"/>
        </w:rPr>
        <w:t xml:space="preserve">12.3 </w:t>
      </w:r>
      <w:r>
        <w:rPr>
          <w:b/>
          <w:bCs/>
          <w:color w:val="0F2A4A"/>
          <w:sz w:val="22"/>
          <w:szCs w:val="22"/>
        </w:rPr>
        <w:t xml:space="preserve">Procedure</w:t>
      </w:r>
    </w:p>
    <w:p>
      <w:pPr>
        <w:spacing w:after="120" w:line="300"/>
      </w:pPr>
      <w:r>
        <w:rPr>
          <w:sz w:val="22"/>
          <w:szCs w:val="22"/>
        </w:rPr>
        <w:t xml:space="preserve">The party seeking indemnification must provide prompt written notice of the claim, give the indemnifying party sole control of the defense and settlement, and provide reasonable cooperation. The indemnifying party may not settle a claim that imposes liability or admission on the other party without that party's written consent, not to be unreasonably withheld.</w:t>
      </w:r>
    </w:p>
    <w:p>
      <w:pPr>
        <w:spacing w:after="140" w:before="280"/>
      </w:pPr>
      <w:r>
        <w:rPr>
          <w:b/>
          <w:bCs/>
          <w:color w:val="0F2A4A"/>
          <w:sz w:val="24"/>
          <w:szCs w:val="24"/>
        </w:rPr>
        <w:t xml:space="preserve">13. </w:t>
      </w:r>
      <w:r>
        <w:rPr>
          <w:b/>
          <w:bCs/>
          <w:color w:val="0F2A4A"/>
          <w:sz w:val="24"/>
          <w:szCs w:val="24"/>
        </w:rPr>
        <w:t xml:space="preserve">Confidentiality</w:t>
      </w:r>
    </w:p>
    <w:p>
      <w:pPr>
        <w:spacing w:after="100" w:before="180"/>
      </w:pPr>
      <w:r>
        <w:rPr>
          <w:b/>
          <w:bCs/>
          <w:color w:val="0F2A4A"/>
          <w:sz w:val="22"/>
          <w:szCs w:val="22"/>
        </w:rPr>
        <w:t xml:space="preserve">13.1 </w:t>
      </w:r>
      <w:r>
        <w:rPr>
          <w:b/>
          <w:bCs/>
          <w:color w:val="0F2A4A"/>
          <w:sz w:val="22"/>
          <w:szCs w:val="22"/>
        </w:rPr>
        <w:t xml:space="preserve">Definition</w:t>
      </w:r>
    </w:p>
    <w:p>
      <w:pPr>
        <w:spacing w:after="120" w:line="300"/>
      </w:pPr>
      <w:r>
        <w:rPr>
          <w:sz w:val="22"/>
          <w:szCs w:val="22"/>
        </w:rPr>
        <w:t xml:space="preserve">"Confidential Information" means non-public information disclosed by one party to the other that is marked confidential or that a reasonable person would understand to be confidential under the circumstances. Confidential Information does not include information that is publicly known, was known to the receiving party before disclosure, is independently developed, or is rightfully obtained from a third party.</w:t>
      </w:r>
    </w:p>
    <w:p>
      <w:pPr>
        <w:spacing w:after="100" w:before="180"/>
      </w:pPr>
      <w:r>
        <w:rPr>
          <w:b/>
          <w:bCs/>
          <w:color w:val="0F2A4A"/>
          <w:sz w:val="22"/>
          <w:szCs w:val="22"/>
        </w:rPr>
        <w:t xml:space="preserve">13.2 </w:t>
      </w:r>
      <w:r>
        <w:rPr>
          <w:b/>
          <w:bCs/>
          <w:color w:val="0F2A4A"/>
          <w:sz w:val="22"/>
          <w:szCs w:val="22"/>
        </w:rPr>
        <w:t xml:space="preserve">Obligations</w:t>
      </w:r>
    </w:p>
    <w:p>
      <w:pPr>
        <w:spacing w:after="120" w:line="300"/>
      </w:pPr>
      <w:r>
        <w:rPr>
          <w:sz w:val="22"/>
          <w:szCs w:val="22"/>
        </w:rPr>
        <w:t xml:space="preserve">Each party will protect the other's Confidential Information with at least the same degree of care it uses to protect its own confidential information of similar importance, and not less than reasonable care. Neither party will use the other's Confidential Information except to perform its obligations under this Agreement, and neither party will disclose the other's Confidential Information to third parties except as expressly permitted under this Agreement.</w:t>
      </w:r>
    </w:p>
    <w:p>
      <w:pPr>
        <w:spacing w:after="100" w:before="180"/>
      </w:pPr>
      <w:r>
        <w:rPr>
          <w:b/>
          <w:bCs/>
          <w:color w:val="0F2A4A"/>
          <w:sz w:val="22"/>
          <w:szCs w:val="22"/>
        </w:rPr>
        <w:t xml:space="preserve">13.3 </w:t>
      </w:r>
      <w:r>
        <w:rPr>
          <w:b/>
          <w:bCs/>
          <w:color w:val="0F2A4A"/>
          <w:sz w:val="22"/>
          <w:szCs w:val="22"/>
        </w:rPr>
        <w:t xml:space="preserve">Required Disclosure</w:t>
      </w:r>
    </w:p>
    <w:p>
      <w:pPr>
        <w:spacing w:after="120" w:line="300"/>
      </w:pPr>
      <w:r>
        <w:rPr>
          <w:sz w:val="22"/>
          <w:szCs w:val="22"/>
        </w:rPr>
        <w:t xml:space="preserve">A party may disclose Confidential Information if compelled by law or court order, provided that the party gives the other reasonable advance notice (where lawful) and cooperates in seeking protective treatment.</w:t>
      </w:r>
    </w:p>
    <w:p>
      <w:pPr>
        <w:spacing w:after="140" w:before="280"/>
      </w:pPr>
      <w:r>
        <w:rPr>
          <w:b/>
          <w:bCs/>
          <w:color w:val="0F2A4A"/>
          <w:sz w:val="24"/>
          <w:szCs w:val="24"/>
        </w:rPr>
        <w:t xml:space="preserve">14. </w:t>
      </w:r>
      <w:r>
        <w:rPr>
          <w:b/>
          <w:bCs/>
          <w:color w:val="0F2A4A"/>
          <w:sz w:val="24"/>
          <w:szCs w:val="24"/>
        </w:rPr>
        <w:t xml:space="preserve">Termination</w:t>
      </w:r>
    </w:p>
    <w:p>
      <w:pPr>
        <w:spacing w:after="100" w:before="180"/>
      </w:pPr>
      <w:r>
        <w:rPr>
          <w:b/>
          <w:bCs/>
          <w:color w:val="0F2A4A"/>
          <w:sz w:val="22"/>
          <w:szCs w:val="22"/>
        </w:rPr>
        <w:t xml:space="preserve">14.1 </w:t>
      </w:r>
      <w:r>
        <w:rPr>
          <w:b/>
          <w:bCs/>
          <w:color w:val="0F2A4A"/>
          <w:sz w:val="22"/>
          <w:szCs w:val="22"/>
        </w:rPr>
        <w:t xml:space="preserve">Termination by Customer</w:t>
      </w:r>
    </w:p>
    <w:p>
      <w:pPr>
        <w:spacing w:after="120" w:line="300"/>
      </w:pPr>
      <w:r>
        <w:rPr>
          <w:sz w:val="22"/>
          <w:szCs w:val="22"/>
        </w:rPr>
        <w:t xml:space="preserve">You may cancel your Subscription at any time as described in Section 4.3.</w:t>
      </w:r>
    </w:p>
    <w:p>
      <w:pPr>
        <w:spacing w:after="100" w:before="180"/>
      </w:pPr>
      <w:r>
        <w:rPr>
          <w:b/>
          <w:bCs/>
          <w:color w:val="0F2A4A"/>
          <w:sz w:val="22"/>
          <w:szCs w:val="22"/>
        </w:rPr>
        <w:t xml:space="preserve">14.2 </w:t>
      </w:r>
      <w:r>
        <w:rPr>
          <w:b/>
          <w:bCs/>
          <w:color w:val="0F2A4A"/>
          <w:sz w:val="22"/>
          <w:szCs w:val="22"/>
        </w:rPr>
        <w:t xml:space="preserve">Termination by Graylock</w:t>
      </w:r>
    </w:p>
    <w:p>
      <w:pPr>
        <w:spacing w:after="120" w:line="300"/>
      </w:pPr>
      <w:r>
        <w:rPr>
          <w:sz w:val="22"/>
          <w:szCs w:val="22"/>
        </w:rPr>
        <w:t xml:space="preserve">We may suspend or terminate your Subscription, in whole or in part, on written notice, for any of the following reasons:</w:t>
      </w:r>
    </w:p>
    <w:p>
      <w:pPr>
        <w:pStyle w:val="ListParagraph"/>
        <w:numPr>
          <w:ilvl w:val="0"/>
          <w:numId w:val="2"/>
        </w:numPr>
        <w:spacing w:after="80" w:line="300"/>
      </w:pPr>
      <w:r>
        <w:t xml:space="preserve">Non-payment after the cure period in Section 4.6;</w:t>
      </w:r>
    </w:p>
    <w:p>
      <w:pPr>
        <w:pStyle w:val="ListParagraph"/>
        <w:numPr>
          <w:ilvl w:val="0"/>
          <w:numId w:val="2"/>
        </w:numPr>
        <w:spacing w:after="80" w:line="300"/>
      </w:pPr>
      <w:r>
        <w:t xml:space="preserve">Material breach of this Agreement that is not cured within 15 days of written notice;</w:t>
      </w:r>
    </w:p>
    <w:p>
      <w:pPr>
        <w:pStyle w:val="ListParagraph"/>
        <w:numPr>
          <w:ilvl w:val="0"/>
          <w:numId w:val="2"/>
        </w:numPr>
        <w:spacing w:after="80" w:line="300"/>
      </w:pPr>
      <w:r>
        <w:t xml:space="preserve">Your engagement in illegal activity through the Website;</w:t>
      </w:r>
    </w:p>
    <w:p>
      <w:pPr>
        <w:pStyle w:val="ListParagraph"/>
        <w:numPr>
          <w:ilvl w:val="0"/>
          <w:numId w:val="2"/>
        </w:numPr>
        <w:spacing w:after="80" w:line="300"/>
      </w:pPr>
      <w:r>
        <w:t xml:space="preserve">Your violation of the Acceptable Use Policy (incorporated by reference);</w:t>
      </w:r>
    </w:p>
    <w:p>
      <w:pPr>
        <w:pStyle w:val="ListParagraph"/>
        <w:numPr>
          <w:ilvl w:val="0"/>
          <w:numId w:val="2"/>
        </w:numPr>
        <w:spacing w:after="80" w:line="300"/>
      </w:pPr>
      <w:r>
        <w:t xml:space="preserve">Your bankruptcy, insolvency, or assignment for the benefit of creditors;</w:t>
      </w:r>
    </w:p>
    <w:p>
      <w:pPr>
        <w:pStyle w:val="ListParagraph"/>
        <w:numPr>
          <w:ilvl w:val="0"/>
          <w:numId w:val="2"/>
        </w:numPr>
        <w:spacing w:after="80" w:line="300"/>
      </w:pPr>
      <w:r>
        <w:t xml:space="preserve">Conduct that, in our reasonable judgment, exposes Graylock to legal, regulatory, reputational, or operational risk.</w:t>
      </w:r>
    </w:p>
    <w:p>
      <w:pPr>
        <w:spacing w:after="100" w:before="180"/>
      </w:pPr>
      <w:r>
        <w:rPr>
          <w:b/>
          <w:bCs/>
          <w:color w:val="0F2A4A"/>
          <w:sz w:val="22"/>
          <w:szCs w:val="22"/>
        </w:rPr>
        <w:t xml:space="preserve">14.3 </w:t>
      </w:r>
      <w:r>
        <w:rPr>
          <w:b/>
          <w:bCs/>
          <w:color w:val="0F2A4A"/>
          <w:sz w:val="22"/>
          <w:szCs w:val="22"/>
        </w:rPr>
        <w:t xml:space="preserve">Effect of Termination</w:t>
      </w:r>
    </w:p>
    <w:p>
      <w:pPr>
        <w:spacing w:after="120" w:line="300"/>
      </w:pPr>
      <w:r>
        <w:rPr>
          <w:sz w:val="22"/>
          <w:szCs w:val="22"/>
        </w:rPr>
        <w:t xml:space="preserve">Upon termination by either party, we will provide you 60 days' notice during which your Website will remain operational at our discretion (or, in the case of immediate termination for cause, may go offline immediately). You must request return of your Content under Section 6.4 within 60 days of the termination notice. Your domain registration is unaffected and remains yours. After 60 days, your Website goes offline. After 90 days from the termination notice, your Website code and our copies of your Customer Content are deleted.</w:t>
      </w:r>
    </w:p>
    <w:p>
      <w:pPr>
        <w:spacing w:after="100" w:before="180"/>
      </w:pPr>
      <w:r>
        <w:rPr>
          <w:b/>
          <w:bCs/>
          <w:color w:val="0F2A4A"/>
          <w:sz w:val="22"/>
          <w:szCs w:val="22"/>
        </w:rPr>
        <w:t xml:space="preserve">14.4 </w:t>
      </w:r>
      <w:r>
        <w:rPr>
          <w:b/>
          <w:bCs/>
          <w:color w:val="0F2A4A"/>
          <w:sz w:val="22"/>
          <w:szCs w:val="22"/>
        </w:rPr>
        <w:t xml:space="preserve">Survival</w:t>
      </w:r>
    </w:p>
    <w:p>
      <w:pPr>
        <w:spacing w:after="120" w:line="300"/>
      </w:pPr>
      <w:r>
        <w:rPr>
          <w:sz w:val="22"/>
          <w:szCs w:val="22"/>
        </w:rPr>
        <w:t xml:space="preserve">Sections 1 (Definitions), 5 (Customer Responsibilities, to the extent of obligations and warranties for the period of active service), 6 (Intellectual Property), 7 (Buyout Option, if exercised), 10 (Disclaimers), 11 (Limitation of Liability), 12 (Indemnification), 13 (Confidentiality), 14 (Termination), 15 (Dispute Resolution), 16 (Governing Law), and 18 (General) survive termination of this Agreement.</w:t>
      </w:r>
    </w:p>
    <w:p>
      <w:pPr>
        <w:spacing w:after="140" w:before="280"/>
      </w:pPr>
      <w:r>
        <w:rPr>
          <w:b/>
          <w:bCs/>
          <w:color w:val="0F2A4A"/>
          <w:sz w:val="24"/>
          <w:szCs w:val="24"/>
        </w:rPr>
        <w:t xml:space="preserve">15. </w:t>
      </w:r>
      <w:r>
        <w:rPr>
          <w:b/>
          <w:bCs/>
          <w:color w:val="0F2A4A"/>
          <w:sz w:val="24"/>
          <w:szCs w:val="24"/>
        </w:rPr>
        <w:t xml:space="preserve">Dispute Resolution</w:t>
      </w:r>
    </w:p>
    <w:p>
      <w:pPr>
        <w:spacing w:after="100" w:before="180"/>
      </w:pPr>
      <w:r>
        <w:rPr>
          <w:b/>
          <w:bCs/>
          <w:color w:val="0F2A4A"/>
          <w:sz w:val="22"/>
          <w:szCs w:val="22"/>
        </w:rPr>
        <w:t xml:space="preserve">15.1 </w:t>
      </w:r>
      <w:r>
        <w:rPr>
          <w:b/>
          <w:bCs/>
          <w:color w:val="0F2A4A"/>
          <w:sz w:val="22"/>
          <w:szCs w:val="22"/>
        </w:rPr>
        <w:t xml:space="preserve">Informal Resolution</w:t>
      </w:r>
    </w:p>
    <w:p>
      <w:pPr>
        <w:spacing w:after="120" w:line="300"/>
      </w:pPr>
      <w:r>
        <w:rPr>
          <w:sz w:val="22"/>
          <w:szCs w:val="22"/>
        </w:rPr>
        <w:t xml:space="preserve">Before initiating any formal dispute, the parties agree to attempt in good faith to resolve any dispute through direct discussion. The party initiating the dispute will provide written notice describing the dispute and the desired resolution. The parties will negotiate for at least 30 days before proceeding to mediation.</w:t>
      </w:r>
    </w:p>
    <w:p>
      <w:pPr>
        <w:spacing w:after="100" w:before="180"/>
      </w:pPr>
      <w:r>
        <w:rPr>
          <w:b/>
          <w:bCs/>
          <w:color w:val="0F2A4A"/>
          <w:sz w:val="22"/>
          <w:szCs w:val="22"/>
        </w:rPr>
        <w:t xml:space="preserve">15.2 </w:t>
      </w:r>
      <w:r>
        <w:rPr>
          <w:b/>
          <w:bCs/>
          <w:color w:val="0F2A4A"/>
          <w:sz w:val="22"/>
          <w:szCs w:val="22"/>
        </w:rPr>
        <w:t xml:space="preserve">Mediation</w:t>
      </w:r>
    </w:p>
    <w:p>
      <w:pPr>
        <w:spacing w:after="120" w:line="300"/>
      </w:pPr>
      <w:r>
        <w:rPr>
          <w:sz w:val="22"/>
          <w:szCs w:val="22"/>
        </w:rPr>
        <w:t xml:space="preserve">If a dispute is not resolved within 30 days of the notice in Section 15.1, the parties will submit the dispute to mediation administered by a mutually agreed-upon mediator located in Montana, with each party bearing half of the mediator's fees. The parties will participate in the mediation in good faith for at least one session before initiating arbitration.</w:t>
      </w:r>
    </w:p>
    <w:p>
      <w:pPr>
        <w:spacing w:after="100" w:before="180"/>
      </w:pPr>
      <w:r>
        <w:rPr>
          <w:b/>
          <w:bCs/>
          <w:color w:val="0F2A4A"/>
          <w:sz w:val="22"/>
          <w:szCs w:val="22"/>
        </w:rPr>
        <w:t xml:space="preserve">15.3 </w:t>
      </w:r>
      <w:r>
        <w:rPr>
          <w:b/>
          <w:bCs/>
          <w:color w:val="0F2A4A"/>
          <w:sz w:val="22"/>
          <w:szCs w:val="22"/>
        </w:rPr>
        <w:t xml:space="preserve">Binding Arbitration</w:t>
      </w:r>
    </w:p>
    <w:p>
      <w:pPr>
        <w:spacing w:after="120" w:line="300"/>
      </w:pPr>
      <w:r>
        <w:rPr>
          <w:sz w:val="22"/>
          <w:szCs w:val="22"/>
        </w:rPr>
        <w:t xml:space="preserve">If mediation does not resolve the dispute, the dispute will be resolved exclusively by binding arbitration administered by JAMS or the American Arbitration Association under its Commercial Arbitration Rules, before a single arbitrator. The arbitration will take place in Flathead County, Montana, or by remote means as the arbitrator directs. The arbitrator's award will be final and may be entered in any court of competent jurisdiction.</w:t>
      </w:r>
    </w:p>
    <w:p>
      <w:pPr>
        <w:spacing w:after="100" w:before="180"/>
      </w:pPr>
      <w:r>
        <w:rPr>
          <w:b/>
          <w:bCs/>
          <w:color w:val="0F2A4A"/>
          <w:sz w:val="22"/>
          <w:szCs w:val="22"/>
        </w:rPr>
        <w:t xml:space="preserve">15.4 </w:t>
      </w:r>
      <w:r>
        <w:rPr>
          <w:b/>
          <w:bCs/>
          <w:color w:val="0F2A4A"/>
          <w:sz w:val="22"/>
          <w:szCs w:val="22"/>
        </w:rPr>
        <w:t xml:space="preserve">Small Claims Carve-Out</w:t>
      </w:r>
    </w:p>
    <w:p>
      <w:pPr>
        <w:spacing w:after="120" w:line="300"/>
      </w:pPr>
      <w:r>
        <w:rPr>
          <w:sz w:val="22"/>
          <w:szCs w:val="22"/>
        </w:rPr>
        <w:t xml:space="preserve">Notwithstanding Section 15.3, either party may bring an individual claim in small claims court in Flathead County, Montana, if the claim qualifies for small claims jurisdiction under Montana law.</w:t>
      </w:r>
    </w:p>
    <w:p>
      <w:pPr>
        <w:spacing w:after="100" w:before="180"/>
      </w:pPr>
      <w:r>
        <w:rPr>
          <w:b/>
          <w:bCs/>
          <w:color w:val="0F2A4A"/>
          <w:sz w:val="22"/>
          <w:szCs w:val="22"/>
        </w:rPr>
        <w:t xml:space="preserve">15.5 </w:t>
      </w:r>
      <w:r>
        <w:rPr>
          <w:b/>
          <w:bCs/>
          <w:color w:val="0F2A4A"/>
          <w:sz w:val="22"/>
          <w:szCs w:val="22"/>
        </w:rPr>
        <w:t xml:space="preserve">Class Action Waiver</w:t>
      </w:r>
    </w:p>
    <w:p>
      <w:pPr>
        <w:spacing w:after="120" w:line="300"/>
      </w:pPr>
      <w:r>
        <w:rPr>
          <w:sz w:val="22"/>
          <w:szCs w:val="22"/>
        </w:rPr>
        <w:t xml:space="preserve">EACH PARTY AGREES THAT ANY DISPUTE WILL BE RESOLVED ONLY ON AN INDIVIDUAL BASIS, NOT AS A PLAINTIFF OR CLASS MEMBER IN ANY CLASS, COLLECTIVE, OR REPRESENTATIVE PROCEEDING. Neither party may consolidate or join more than one person's claims, and the arbitrator may not preside over any form of representative or class proceeding.</w:t>
      </w:r>
    </w:p>
    <w:p>
      <w:pPr>
        <w:spacing w:after="100" w:before="180"/>
      </w:pPr>
      <w:r>
        <w:rPr>
          <w:b/>
          <w:bCs/>
          <w:color w:val="0F2A4A"/>
          <w:sz w:val="22"/>
          <w:szCs w:val="22"/>
        </w:rPr>
        <w:t xml:space="preserve">15.6 </w:t>
      </w:r>
      <w:r>
        <w:rPr>
          <w:b/>
          <w:bCs/>
          <w:color w:val="0F2A4A"/>
          <w:sz w:val="22"/>
          <w:szCs w:val="22"/>
        </w:rPr>
        <w:t xml:space="preserve">Equitable Relief</w:t>
      </w:r>
    </w:p>
    <w:p>
      <w:pPr>
        <w:spacing w:after="120" w:line="300"/>
      </w:pPr>
      <w:r>
        <w:rPr>
          <w:sz w:val="22"/>
          <w:szCs w:val="22"/>
        </w:rPr>
        <w:t xml:space="preserve">Notwithstanding the above, either party may seek temporary injunctive or other equitable relief in a court of competent jurisdiction to prevent or restrain misuse of intellectual property, breach of confidentiality, or similar irreparable harm, pending resolution of the underlying dispute.</w:t>
      </w:r>
    </w:p>
    <w:p>
      <w:pPr>
        <w:spacing w:after="140" w:before="280"/>
      </w:pPr>
      <w:r>
        <w:rPr>
          <w:b/>
          <w:bCs/>
          <w:color w:val="0F2A4A"/>
          <w:sz w:val="24"/>
          <w:szCs w:val="24"/>
        </w:rPr>
        <w:t xml:space="preserve">16. </w:t>
      </w:r>
      <w:r>
        <w:rPr>
          <w:b/>
          <w:bCs/>
          <w:color w:val="0F2A4A"/>
          <w:sz w:val="24"/>
          <w:szCs w:val="24"/>
        </w:rPr>
        <w:t xml:space="preserve">Governing Law</w:t>
      </w:r>
    </w:p>
    <w:p>
      <w:pPr>
        <w:spacing w:after="120" w:line="300"/>
      </w:pPr>
      <w:r>
        <w:rPr>
          <w:sz w:val="22"/>
          <w:szCs w:val="22"/>
        </w:rPr>
        <w:t xml:space="preserve">This Agreement is governed by the laws of the State of Montana, without regard to its conflict-of-law principles. The federal and state courts located in Flathead County, Montana, have exclusive jurisdiction for any matters not subject to arbitration under Section 15.</w:t>
      </w:r>
    </w:p>
    <w:p>
      <w:pPr>
        <w:spacing w:after="140" w:before="280"/>
      </w:pPr>
      <w:r>
        <w:rPr>
          <w:b/>
          <w:bCs/>
          <w:color w:val="0F2A4A"/>
          <w:sz w:val="24"/>
          <w:szCs w:val="24"/>
        </w:rPr>
        <w:t xml:space="preserve">17. </w:t>
      </w:r>
      <w:r>
        <w:rPr>
          <w:b/>
          <w:bCs/>
          <w:color w:val="0F2A4A"/>
          <w:sz w:val="24"/>
          <w:szCs w:val="24"/>
        </w:rPr>
        <w:t xml:space="preserve">Notices</w:t>
      </w:r>
    </w:p>
    <w:p>
      <w:pPr>
        <w:spacing w:after="120" w:line="300"/>
      </w:pPr>
      <w:r>
        <w:rPr>
          <w:sz w:val="22"/>
          <w:szCs w:val="22"/>
        </w:rPr>
        <w:t xml:space="preserve">Notices to Graylock must be sent by email to tim@graylockdigital.com and jared@graylockdigital.com, or by U.S. mail to Graylock Digital, LLC at the address on graylockdigital.com/contact (or the address noted in this Agreement). Notices to Customer will be sent to the email address on file for your Account. Notices are effective upon receipt, except that emailed notices to Customer are deemed received on the day sent if sent during a business day, or on the next business day if sent outside business hours.</w:t>
      </w:r>
    </w:p>
    <w:p>
      <w:pPr>
        <w:spacing w:after="140" w:before="280"/>
      </w:pPr>
      <w:r>
        <w:rPr>
          <w:b/>
          <w:bCs/>
          <w:color w:val="0F2A4A"/>
          <w:sz w:val="24"/>
          <w:szCs w:val="24"/>
        </w:rPr>
        <w:t xml:space="preserve">18. </w:t>
      </w:r>
      <w:r>
        <w:rPr>
          <w:b/>
          <w:bCs/>
          <w:color w:val="0F2A4A"/>
          <w:sz w:val="24"/>
          <w:szCs w:val="24"/>
        </w:rPr>
        <w:t xml:space="preserve">General</w:t>
      </w:r>
    </w:p>
    <w:p>
      <w:pPr>
        <w:spacing w:after="100" w:before="180"/>
      </w:pPr>
      <w:r>
        <w:rPr>
          <w:b/>
          <w:bCs/>
          <w:color w:val="0F2A4A"/>
          <w:sz w:val="22"/>
          <w:szCs w:val="22"/>
        </w:rPr>
        <w:t xml:space="preserve">18.1 </w:t>
      </w:r>
      <w:r>
        <w:rPr>
          <w:b/>
          <w:bCs/>
          <w:color w:val="0F2A4A"/>
          <w:sz w:val="22"/>
          <w:szCs w:val="22"/>
        </w:rPr>
        <w:t xml:space="preserve">Entire Agreement</w:t>
      </w:r>
    </w:p>
    <w:p>
      <w:pPr>
        <w:spacing w:after="120" w:line="300"/>
      </w:pPr>
      <w:r>
        <w:rPr>
          <w:sz w:val="22"/>
          <w:szCs w:val="22"/>
        </w:rPr>
        <w:t xml:space="preserve">This Agreement, together with the Build Agreement (for the Build Phase), the Acceptable Use Policy, the Privacy Policy, and any applicable Statement of Work, is the entire agreement between the parties regarding its subject matter, and supersedes all prior agreements and understandings.</w:t>
      </w:r>
    </w:p>
    <w:p>
      <w:pPr>
        <w:spacing w:after="100" w:before="180"/>
      </w:pPr>
      <w:r>
        <w:rPr>
          <w:b/>
          <w:bCs/>
          <w:color w:val="0F2A4A"/>
          <w:sz w:val="22"/>
          <w:szCs w:val="22"/>
        </w:rPr>
        <w:t xml:space="preserve">18.2 </w:t>
      </w:r>
      <w:r>
        <w:rPr>
          <w:b/>
          <w:bCs/>
          <w:color w:val="0F2A4A"/>
          <w:sz w:val="22"/>
          <w:szCs w:val="22"/>
        </w:rPr>
        <w:t xml:space="preserve">Amendments to This Agreement</w:t>
      </w:r>
    </w:p>
    <w:p>
      <w:pPr>
        <w:spacing w:after="120" w:line="300"/>
      </w:pPr>
      <w:r>
        <w:rPr>
          <w:sz w:val="22"/>
          <w:szCs w:val="22"/>
        </w:rPr>
        <w:t xml:space="preserve">We may update this Agreement from time to time. We will provide at least 30 days' notice of material changes by email or through your client portal. Your continued use of the Services after the effective date of an updated Agreement constitutes acceptance of the updated terms. If you do not accept the updated terms, you may cancel under Section 4.3.</w:t>
      </w:r>
    </w:p>
    <w:p>
      <w:pPr>
        <w:spacing w:after="100" w:before="180"/>
      </w:pPr>
      <w:r>
        <w:rPr>
          <w:b/>
          <w:bCs/>
          <w:color w:val="0F2A4A"/>
          <w:sz w:val="22"/>
          <w:szCs w:val="22"/>
        </w:rPr>
        <w:t xml:space="preserve">18.3 </w:t>
      </w:r>
      <w:r>
        <w:rPr>
          <w:b/>
          <w:bCs/>
          <w:color w:val="0F2A4A"/>
          <w:sz w:val="22"/>
          <w:szCs w:val="22"/>
        </w:rPr>
        <w:t xml:space="preserve">Assignment</w:t>
      </w:r>
    </w:p>
    <w:p>
      <w:pPr>
        <w:spacing w:after="120" w:line="300"/>
      </w:pPr>
      <w:r>
        <w:rPr>
          <w:sz w:val="22"/>
          <w:szCs w:val="22"/>
        </w:rPr>
        <w:t xml:space="preserve">You may not assign this Agreement without our prior written consent. We may assign this Agreement to an affiliate, to a successor in interest in connection with a merger, acquisition, reorganization, or sale of all or substantially all of our assets, or with your consent (not to be unreasonably withheld).</w:t>
      </w:r>
    </w:p>
    <w:p>
      <w:pPr>
        <w:spacing w:after="100" w:before="180"/>
      </w:pPr>
      <w:r>
        <w:rPr>
          <w:b/>
          <w:bCs/>
          <w:color w:val="0F2A4A"/>
          <w:sz w:val="22"/>
          <w:szCs w:val="22"/>
        </w:rPr>
        <w:t xml:space="preserve">18.4 </w:t>
      </w:r>
      <w:r>
        <w:rPr>
          <w:b/>
          <w:bCs/>
          <w:color w:val="0F2A4A"/>
          <w:sz w:val="22"/>
          <w:szCs w:val="22"/>
        </w:rPr>
        <w:t xml:space="preserve">Force Majeure</w:t>
      </w:r>
    </w:p>
    <w:p>
      <w:pPr>
        <w:spacing w:after="120" w:line="300"/>
      </w:pPr>
      <w:r>
        <w:rPr>
          <w:sz w:val="22"/>
          <w:szCs w:val="22"/>
        </w:rPr>
        <w:t xml:space="preserve">Neither party is liable for failure or delay in performance caused by events outside its reasonable control, including acts of God, natural disasters, war, terrorism, pandemic, government action, internet outages, third-party service failures, and cyberattacks not caused by the affected party's negligence.</w:t>
      </w:r>
    </w:p>
    <w:p>
      <w:pPr>
        <w:spacing w:after="100" w:before="180"/>
      </w:pPr>
      <w:r>
        <w:rPr>
          <w:b/>
          <w:bCs/>
          <w:color w:val="0F2A4A"/>
          <w:sz w:val="22"/>
          <w:szCs w:val="22"/>
        </w:rPr>
        <w:t xml:space="preserve">18.5 </w:t>
      </w:r>
      <w:r>
        <w:rPr>
          <w:b/>
          <w:bCs/>
          <w:color w:val="0F2A4A"/>
          <w:sz w:val="22"/>
          <w:szCs w:val="22"/>
        </w:rPr>
        <w:t xml:space="preserve">Severability</w:t>
      </w:r>
    </w:p>
    <w:p>
      <w:pPr>
        <w:spacing w:after="120" w:line="300"/>
      </w:pPr>
      <w:r>
        <w:rPr>
          <w:sz w:val="22"/>
          <w:szCs w:val="22"/>
        </w:rPr>
        <w:t xml:space="preserve">If any provision of this Agreement is held to be invalid or unenforceable, the remaining provisions will remain in full force and effect, and the invalid or unenforceable provision will be modified to the minimum extent necessary to make it enforceable.</w:t>
      </w:r>
    </w:p>
    <w:p>
      <w:pPr>
        <w:spacing w:after="100" w:before="180"/>
      </w:pPr>
      <w:r>
        <w:rPr>
          <w:b/>
          <w:bCs/>
          <w:color w:val="0F2A4A"/>
          <w:sz w:val="22"/>
          <w:szCs w:val="22"/>
        </w:rPr>
        <w:t xml:space="preserve">18.6 </w:t>
      </w:r>
      <w:r>
        <w:rPr>
          <w:b/>
          <w:bCs/>
          <w:color w:val="0F2A4A"/>
          <w:sz w:val="22"/>
          <w:szCs w:val="22"/>
        </w:rPr>
        <w:t xml:space="preserve">No Waiver</w:t>
      </w:r>
    </w:p>
    <w:p>
      <w:pPr>
        <w:spacing w:after="120" w:line="300"/>
      </w:pPr>
      <w:r>
        <w:rPr>
          <w:sz w:val="22"/>
          <w:szCs w:val="22"/>
        </w:rPr>
        <w:t xml:space="preserve">A failure to enforce any provision of this Agreement is not a waiver of the right to enforce it later or in another instance. Waivers must be in writing to be effective.</w:t>
      </w:r>
    </w:p>
    <w:p>
      <w:pPr>
        <w:spacing w:after="100" w:before="180"/>
      </w:pPr>
      <w:r>
        <w:rPr>
          <w:b/>
          <w:bCs/>
          <w:color w:val="0F2A4A"/>
          <w:sz w:val="22"/>
          <w:szCs w:val="22"/>
        </w:rPr>
        <w:t xml:space="preserve">18.7 </w:t>
      </w:r>
      <w:r>
        <w:rPr>
          <w:b/>
          <w:bCs/>
          <w:color w:val="0F2A4A"/>
          <w:sz w:val="22"/>
          <w:szCs w:val="22"/>
        </w:rPr>
        <w:t xml:space="preserve">Independent Contractors</w:t>
      </w:r>
    </w:p>
    <w:p>
      <w:pPr>
        <w:spacing w:after="120" w:line="300"/>
      </w:pPr>
      <w:r>
        <w:rPr>
          <w:sz w:val="22"/>
          <w:szCs w:val="22"/>
        </w:rPr>
        <w:t xml:space="preserve">The parties are independent contractors. Nothing in this Agreement creates a partnership, joint venture, agency, fiduciary, or employment relationship.</w:t>
      </w:r>
    </w:p>
    <w:p>
      <w:pPr>
        <w:spacing w:after="100" w:before="180"/>
      </w:pPr>
      <w:r>
        <w:rPr>
          <w:b/>
          <w:bCs/>
          <w:color w:val="0F2A4A"/>
          <w:sz w:val="22"/>
          <w:szCs w:val="22"/>
        </w:rPr>
        <w:t xml:space="preserve">18.8 </w:t>
      </w:r>
      <w:r>
        <w:rPr>
          <w:b/>
          <w:bCs/>
          <w:color w:val="0F2A4A"/>
          <w:sz w:val="22"/>
          <w:szCs w:val="22"/>
        </w:rPr>
        <w:t xml:space="preserve">No Third-Party Beneficiaries</w:t>
      </w:r>
    </w:p>
    <w:p>
      <w:pPr>
        <w:spacing w:after="120" w:line="300"/>
      </w:pPr>
      <w:r>
        <w:rPr>
          <w:sz w:val="22"/>
          <w:szCs w:val="22"/>
        </w:rPr>
        <w:t xml:space="preserve">This Agreement does not create any rights for any third party.</w:t>
      </w:r>
    </w:p>
    <w:p>
      <w:pPr>
        <w:spacing w:after="100" w:before="180"/>
      </w:pPr>
      <w:r>
        <w:rPr>
          <w:b/>
          <w:bCs/>
          <w:color w:val="0F2A4A"/>
          <w:sz w:val="22"/>
          <w:szCs w:val="22"/>
        </w:rPr>
        <w:t xml:space="preserve">18.9 </w:t>
      </w:r>
      <w:r>
        <w:rPr>
          <w:b/>
          <w:bCs/>
          <w:color w:val="0F2A4A"/>
          <w:sz w:val="22"/>
          <w:szCs w:val="22"/>
        </w:rPr>
        <w:t xml:space="preserve">Headings</w:t>
      </w:r>
    </w:p>
    <w:p>
      <w:pPr>
        <w:spacing w:after="120" w:line="300"/>
      </w:pPr>
      <w:r>
        <w:rPr>
          <w:sz w:val="22"/>
          <w:szCs w:val="22"/>
        </w:rPr>
        <w:t xml:space="preserve">Section headings are for convenience only and do not affect interpretation.</w:t>
      </w:r>
    </w:p>
    <w:p>
      <w:pPr>
        <w:spacing w:after="100" w:before="180"/>
      </w:pPr>
      <w:r>
        <w:rPr>
          <w:b/>
          <w:bCs/>
          <w:color w:val="0F2A4A"/>
          <w:sz w:val="22"/>
          <w:szCs w:val="22"/>
        </w:rPr>
        <w:t xml:space="preserve">18.10 </w:t>
      </w:r>
      <w:r>
        <w:rPr>
          <w:b/>
          <w:bCs/>
          <w:color w:val="0F2A4A"/>
          <w:sz w:val="22"/>
          <w:szCs w:val="22"/>
        </w:rPr>
        <w:t xml:space="preserve">Counterparts and Electronic Acceptance</w:t>
      </w:r>
    </w:p>
    <w:p>
      <w:pPr>
        <w:spacing w:after="120" w:line="300"/>
      </w:pPr>
      <w:r>
        <w:rPr>
          <w:sz w:val="22"/>
          <w:szCs w:val="22"/>
        </w:rPr>
        <w:t xml:space="preserve">This Agreement may be accepted electronically. Your acceptance through the checkout process has the same legal effect as a handwritten signature.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End of Master Services Agreement</w:t>
            </w:r>
          </w:p>
          <w:p>
            <w:pPr>
              <w:spacing w:line="280"/>
            </w:pPr>
            <w:r>
              <w:rPr>
                <w:sz w:val="22"/>
                <w:szCs w:val="22"/>
              </w:rPr>
              <w:t xml:space="preserve">Customer accepts this Agreement by checking the agreement box at checkout and completing payment.</w:t>
            </w:r>
          </w:p>
        </w:tc>
      </w:tr>
    </w:tbl>
    <w:p>
      <w:pPr>
        <w:pStyle w:val="Heading1"/>
        <w:pageBreakBefore/>
        <w:spacing w:after="240" w:before="0"/>
      </w:pPr>
      <w:r>
        <w:t xml:space="preserve">Document 2 — Privacy Policy</w:t>
      </w:r>
    </w:p>
    <w:p>
      <w:pPr>
        <w:spacing w:after="120" w:before="120"/>
        <w:jc w:val="center"/>
      </w:pPr>
      <w:r>
        <w:rPr>
          <w:b/>
          <w:bCs/>
          <w:color w:val="0F2A4A"/>
          <w:sz w:val="28"/>
          <w:szCs w:val="28"/>
        </w:rPr>
        <w:t xml:space="preserve">GRAYLOCK DIGITAL, LLC</w:t>
      </w:r>
    </w:p>
    <w:p>
      <w:pPr>
        <w:spacing w:after="360"/>
        <w:jc w:val="center"/>
      </w:pPr>
      <w:r>
        <w:rPr>
          <w:b/>
          <w:bCs/>
          <w:color w:val="0F2A4A"/>
          <w:sz w:val="26"/>
          <w:szCs w:val="26"/>
        </w:rPr>
        <w:t xml:space="preserve">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What this Privacy Policy covers</w:t>
            </w:r>
          </w:p>
          <w:p>
            <w:pPr>
              <w:spacing w:line="280"/>
            </w:pPr>
            <w:r>
              <w:rPr>
                <w:sz w:val="22"/>
                <w:szCs w:val="22"/>
              </w:rPr>
              <w:t xml:space="preserve">This Privacy Policy explains how Graylock Digital, LLC collects, uses, and shares information when you visit graylockdigital.com or use our services. This Policy applies to information about you and your business as a Graylock visitor or customer. It does not apply to information your customers provide to your own website built by Graylock — your own privacy practices govern that, and you are responsible for them.</w:t>
            </w:r>
          </w:p>
        </w:tc>
      </w:tr>
    </w:tbl>
    <w:p>
      <w:pPr>
        <w:spacing w:after="120" w:line="300"/>
      </w:pPr>
      <w:r>
        <w:t xml:space="preserve">Effective date: [INSERT DATE]</w:t>
      </w:r>
    </w:p>
    <w:p>
      <w:pPr>
        <w:spacing w:after="120" w:line="300"/>
      </w:pPr>
      <w:r>
        <w:t xml:space="preserve">Last updated: [INSERT DATE]</w:t>
      </w:r>
    </w:p>
    <w:p>
      <w:pPr>
        <w:spacing w:after="140" w:before="280"/>
      </w:pPr>
      <w:r>
        <w:rPr>
          <w:b/>
          <w:bCs/>
          <w:color w:val="0F2A4A"/>
          <w:sz w:val="24"/>
          <w:szCs w:val="24"/>
        </w:rPr>
        <w:t xml:space="preserve">1. </w:t>
      </w:r>
      <w:r>
        <w:rPr>
          <w:b/>
          <w:bCs/>
          <w:color w:val="0F2A4A"/>
          <w:sz w:val="24"/>
          <w:szCs w:val="24"/>
        </w:rPr>
        <w:t xml:space="preserve">Information We Collect</w:t>
      </w:r>
    </w:p>
    <w:p>
      <w:pPr>
        <w:spacing w:after="100" w:before="180"/>
      </w:pPr>
      <w:r>
        <w:rPr>
          <w:b/>
          <w:bCs/>
          <w:color w:val="0F2A4A"/>
          <w:sz w:val="22"/>
          <w:szCs w:val="22"/>
        </w:rPr>
        <w:t xml:space="preserve">1.1 </w:t>
      </w:r>
      <w:r>
        <w:rPr>
          <w:b/>
          <w:bCs/>
          <w:color w:val="0F2A4A"/>
          <w:sz w:val="22"/>
          <w:szCs w:val="22"/>
        </w:rPr>
        <w:t xml:space="preserve">Information You Provide Directly</w:t>
      </w:r>
    </w:p>
    <w:p>
      <w:pPr>
        <w:spacing w:after="120" w:line="300"/>
      </w:pPr>
      <w:r>
        <w:rPr>
          <w:sz w:val="22"/>
          <w:szCs w:val="22"/>
        </w:rPr>
        <w:t xml:space="preserve">When you contact us, sign up, or use our services, you may provide:</w:t>
      </w:r>
    </w:p>
    <w:p>
      <w:pPr>
        <w:pStyle w:val="ListParagraph"/>
        <w:numPr>
          <w:ilvl w:val="0"/>
          <w:numId w:val="2"/>
        </w:numPr>
        <w:spacing w:after="80" w:line="300"/>
      </w:pPr>
      <w:r>
        <w:t xml:space="preserve">Name, email address, phone number, business name, and business address;</w:t>
      </w:r>
    </w:p>
    <w:p>
      <w:pPr>
        <w:pStyle w:val="ListParagraph"/>
        <w:numPr>
          <w:ilvl w:val="0"/>
          <w:numId w:val="2"/>
        </w:numPr>
        <w:spacing w:after="80" w:line="300"/>
      </w:pPr>
      <w:r>
        <w:t xml:space="preserve">Payment information (processed by our payment processor; we do not store card numbers);</w:t>
      </w:r>
    </w:p>
    <w:p>
      <w:pPr>
        <w:pStyle w:val="ListParagraph"/>
        <w:numPr>
          <w:ilvl w:val="0"/>
          <w:numId w:val="2"/>
        </w:numPr>
        <w:spacing w:after="80" w:line="300"/>
      </w:pPr>
      <w:r>
        <w:t xml:space="preserve">Information about your business, industry, services, and goals;</w:t>
      </w:r>
    </w:p>
    <w:p>
      <w:pPr>
        <w:pStyle w:val="ListParagraph"/>
        <w:numPr>
          <w:ilvl w:val="0"/>
          <w:numId w:val="2"/>
        </w:numPr>
        <w:spacing w:after="80" w:line="300"/>
      </w:pPr>
      <w:r>
        <w:t xml:space="preserve">Content you provide for use on your Website (text, photos, brand assets, and similar);</w:t>
      </w:r>
    </w:p>
    <w:p>
      <w:pPr>
        <w:pStyle w:val="ListParagraph"/>
        <w:numPr>
          <w:ilvl w:val="0"/>
          <w:numId w:val="2"/>
        </w:numPr>
        <w:spacing w:after="80" w:line="300"/>
      </w:pPr>
      <w:r>
        <w:t xml:space="preserve">Communications you send us through email, the client portal, or other channels.</w:t>
      </w:r>
    </w:p>
    <w:p>
      <w:pPr>
        <w:spacing w:after="100" w:before="180"/>
      </w:pPr>
      <w:r>
        <w:rPr>
          <w:b/>
          <w:bCs/>
          <w:color w:val="0F2A4A"/>
          <w:sz w:val="22"/>
          <w:szCs w:val="22"/>
        </w:rPr>
        <w:t xml:space="preserve">1.2 </w:t>
      </w:r>
      <w:r>
        <w:rPr>
          <w:b/>
          <w:bCs/>
          <w:color w:val="0F2A4A"/>
          <w:sz w:val="22"/>
          <w:szCs w:val="22"/>
        </w:rPr>
        <w:t xml:space="preserve">Information We Collect Automatically</w:t>
      </w:r>
    </w:p>
    <w:p>
      <w:pPr>
        <w:spacing w:after="120" w:line="300"/>
      </w:pPr>
      <w:r>
        <w:rPr>
          <w:sz w:val="22"/>
          <w:szCs w:val="22"/>
        </w:rPr>
        <w:t xml:space="preserve">When you visit graylockdigital.com or use the client portal, we may collect:</w:t>
      </w:r>
    </w:p>
    <w:p>
      <w:pPr>
        <w:pStyle w:val="ListParagraph"/>
        <w:numPr>
          <w:ilvl w:val="0"/>
          <w:numId w:val="2"/>
        </w:numPr>
        <w:spacing w:after="80" w:line="300"/>
      </w:pPr>
      <w:r>
        <w:t xml:space="preserve">IP address, browser type, device information, operating system, referring URL;</w:t>
      </w:r>
    </w:p>
    <w:p>
      <w:pPr>
        <w:pStyle w:val="ListParagraph"/>
        <w:numPr>
          <w:ilvl w:val="0"/>
          <w:numId w:val="2"/>
        </w:numPr>
        <w:spacing w:after="80" w:line="300"/>
      </w:pPr>
      <w:r>
        <w:t xml:space="preserve">Pages you visit, time spent, links clicked, and other usage information;</w:t>
      </w:r>
    </w:p>
    <w:p>
      <w:pPr>
        <w:pStyle w:val="ListParagraph"/>
        <w:numPr>
          <w:ilvl w:val="0"/>
          <w:numId w:val="2"/>
        </w:numPr>
        <w:spacing w:after="80" w:line="300"/>
      </w:pPr>
      <w:r>
        <w:t xml:space="preserve">Cookies and similar technologies as described in Section 6.</w:t>
      </w:r>
    </w:p>
    <w:p>
      <w:pPr>
        <w:spacing w:after="100" w:before="180"/>
      </w:pPr>
      <w:r>
        <w:rPr>
          <w:b/>
          <w:bCs/>
          <w:color w:val="0F2A4A"/>
          <w:sz w:val="22"/>
          <w:szCs w:val="22"/>
        </w:rPr>
        <w:t xml:space="preserve">1.3 </w:t>
      </w:r>
      <w:r>
        <w:rPr>
          <w:b/>
          <w:bCs/>
          <w:color w:val="0F2A4A"/>
          <w:sz w:val="22"/>
          <w:szCs w:val="22"/>
        </w:rPr>
        <w:t xml:space="preserve">Information from Third Parties</w:t>
      </w:r>
    </w:p>
    <w:p>
      <w:pPr>
        <w:spacing w:after="120" w:line="300"/>
      </w:pPr>
      <w:r>
        <w:rPr>
          <w:sz w:val="22"/>
          <w:szCs w:val="22"/>
        </w:rPr>
        <w:t xml:space="preserve">We may receive information about you from third parties, including service providers, analytics providers, payment processors, and publicly available sources, in connection with delivering services to you and operating our business.</w:t>
      </w:r>
    </w:p>
    <w:p>
      <w:pPr>
        <w:spacing w:after="140" w:before="280"/>
      </w:pPr>
      <w:r>
        <w:rPr>
          <w:b/>
          <w:bCs/>
          <w:color w:val="0F2A4A"/>
          <w:sz w:val="24"/>
          <w:szCs w:val="24"/>
        </w:rPr>
        <w:t xml:space="preserve">2. </w:t>
      </w:r>
      <w:r>
        <w:rPr>
          <w:b/>
          <w:bCs/>
          <w:color w:val="0F2A4A"/>
          <w:sz w:val="24"/>
          <w:szCs w:val="24"/>
        </w:rPr>
        <w:t xml:space="preserve">How We Use Information</w:t>
      </w:r>
    </w:p>
    <w:p>
      <w:pPr>
        <w:spacing w:after="120" w:line="300"/>
      </w:pPr>
      <w:r>
        <w:rPr>
          <w:sz w:val="22"/>
          <w:szCs w:val="22"/>
        </w:rPr>
        <w:t xml:space="preserve">We use the information we collect to:</w:t>
      </w:r>
    </w:p>
    <w:p>
      <w:pPr>
        <w:pStyle w:val="ListParagraph"/>
        <w:numPr>
          <w:ilvl w:val="0"/>
          <w:numId w:val="2"/>
        </w:numPr>
        <w:spacing w:after="80" w:line="300"/>
      </w:pPr>
      <w:r>
        <w:t xml:space="preserve">Provide, operate, and improve our services and your Website;</w:t>
      </w:r>
    </w:p>
    <w:p>
      <w:pPr>
        <w:pStyle w:val="ListParagraph"/>
        <w:numPr>
          <w:ilvl w:val="0"/>
          <w:numId w:val="2"/>
        </w:numPr>
        <w:spacing w:after="80" w:line="300"/>
      </w:pPr>
      <w:r>
        <w:t xml:space="preserve">Communicate with you about your account, services, and inquiries;</w:t>
      </w:r>
    </w:p>
    <w:p>
      <w:pPr>
        <w:pStyle w:val="ListParagraph"/>
        <w:numPr>
          <w:ilvl w:val="0"/>
          <w:numId w:val="2"/>
        </w:numPr>
        <w:spacing w:after="80" w:line="300"/>
      </w:pPr>
      <w:r>
        <w:t xml:space="preserve">Process payments and manage your Subscription;</w:t>
      </w:r>
    </w:p>
    <w:p>
      <w:pPr>
        <w:pStyle w:val="ListParagraph"/>
        <w:numPr>
          <w:ilvl w:val="0"/>
          <w:numId w:val="2"/>
        </w:numPr>
        <w:spacing w:after="80" w:line="300"/>
      </w:pPr>
      <w:r>
        <w:t xml:space="preserve">Send service announcements, security alerts, and administrative messages;</w:t>
      </w:r>
    </w:p>
    <w:p>
      <w:pPr>
        <w:pStyle w:val="ListParagraph"/>
        <w:numPr>
          <w:ilvl w:val="0"/>
          <w:numId w:val="2"/>
        </w:numPr>
        <w:spacing w:after="80" w:line="300"/>
      </w:pPr>
      <w:r>
        <w:t xml:space="preserve">Send marketing communications, where permitted by law and your preferences;</w:t>
      </w:r>
    </w:p>
    <w:p>
      <w:pPr>
        <w:pStyle w:val="ListParagraph"/>
        <w:numPr>
          <w:ilvl w:val="0"/>
          <w:numId w:val="2"/>
        </w:numPr>
        <w:spacing w:after="80" w:line="300"/>
      </w:pPr>
      <w:r>
        <w:t xml:space="preserve">Comply with legal obligations and enforce our agreements;</w:t>
      </w:r>
    </w:p>
    <w:p>
      <w:pPr>
        <w:pStyle w:val="ListParagraph"/>
        <w:numPr>
          <w:ilvl w:val="0"/>
          <w:numId w:val="2"/>
        </w:numPr>
        <w:spacing w:after="80" w:line="300"/>
      </w:pPr>
      <w:r>
        <w:t xml:space="preserve">Detect, prevent, and address fraud, security, and technical issues;</w:t>
      </w:r>
    </w:p>
    <w:p>
      <w:pPr>
        <w:pStyle w:val="ListParagraph"/>
        <w:numPr>
          <w:ilvl w:val="0"/>
          <w:numId w:val="2"/>
        </w:numPr>
        <w:spacing w:after="80" w:line="300"/>
      </w:pPr>
      <w:r>
        <w:t xml:space="preserve">Conduct research, analytics, and product development.</w:t>
      </w:r>
    </w:p>
    <w:p>
      <w:pPr>
        <w:spacing w:after="140" w:before="280"/>
      </w:pPr>
      <w:r>
        <w:rPr>
          <w:b/>
          <w:bCs/>
          <w:color w:val="0F2A4A"/>
          <w:sz w:val="24"/>
          <w:szCs w:val="24"/>
        </w:rPr>
        <w:t xml:space="preserve">3. </w:t>
      </w:r>
      <w:r>
        <w:rPr>
          <w:b/>
          <w:bCs/>
          <w:color w:val="0F2A4A"/>
          <w:sz w:val="24"/>
          <w:szCs w:val="24"/>
        </w:rPr>
        <w:t xml:space="preserve">How We Share Information</w:t>
      </w:r>
    </w:p>
    <w:p>
      <w:pPr>
        <w:spacing w:after="120" w:line="300"/>
      </w:pPr>
      <w:r>
        <w:rPr>
          <w:sz w:val="22"/>
          <w:szCs w:val="22"/>
        </w:rPr>
        <w:t xml:space="preserve">We share information with:</w:t>
      </w:r>
    </w:p>
    <w:p>
      <w:pPr>
        <w:pStyle w:val="ListParagraph"/>
        <w:numPr>
          <w:ilvl w:val="0"/>
          <w:numId w:val="2"/>
        </w:numPr>
        <w:spacing w:after="80" w:line="300"/>
      </w:pPr>
      <w:r>
        <w:t xml:space="preserve">Service providers and vendors that help us operate our business (hosting, payment processing, email delivery, analytics, customer support, and similar), under appropriate contractual protections;</w:t>
      </w:r>
    </w:p>
    <w:p>
      <w:pPr>
        <w:pStyle w:val="ListParagraph"/>
        <w:numPr>
          <w:ilvl w:val="0"/>
          <w:numId w:val="2"/>
        </w:numPr>
        <w:spacing w:after="80" w:line="300"/>
      </w:pPr>
      <w:r>
        <w:t xml:space="preserve">Professional advisors (attorneys, accountants) when needed for our business operations;</w:t>
      </w:r>
    </w:p>
    <w:p>
      <w:pPr>
        <w:pStyle w:val="ListParagraph"/>
        <w:numPr>
          <w:ilvl w:val="0"/>
          <w:numId w:val="2"/>
        </w:numPr>
        <w:spacing w:after="80" w:line="300"/>
      </w:pPr>
      <w:r>
        <w:t xml:space="preserve">Authorities and other parties when required by law, court order, or legal process, or when necessary to protect our rights or the rights of others;</w:t>
      </w:r>
    </w:p>
    <w:p>
      <w:pPr>
        <w:pStyle w:val="ListParagraph"/>
        <w:numPr>
          <w:ilvl w:val="0"/>
          <w:numId w:val="2"/>
        </w:numPr>
        <w:spacing w:after="80" w:line="300"/>
      </w:pPr>
      <w:r>
        <w:t xml:space="preserve">A successor entity in connection with a merger, acquisition, financing, reorganization, or sale of all or substantially all of our assets, with appropriate notice.</w:t>
      </w:r>
    </w:p>
    <w:p>
      <w:pPr>
        <w:spacing w:after="120" w:line="300"/>
      </w:pPr>
      <w:r>
        <w:rPr>
          <w:sz w:val="22"/>
          <w:szCs w:val="22"/>
        </w:rPr>
        <w:t xml:space="preserve">We do not sell your personal information for monetary consideration, and we do not engage in cross-context behavioral advertising of your personal information.</w:t>
      </w:r>
    </w:p>
    <w:p>
      <w:pPr>
        <w:spacing w:after="140" w:before="280"/>
      </w:pPr>
      <w:r>
        <w:rPr>
          <w:b/>
          <w:bCs/>
          <w:color w:val="0F2A4A"/>
          <w:sz w:val="24"/>
          <w:szCs w:val="24"/>
        </w:rPr>
        <w:t xml:space="preserve">4. </w:t>
      </w:r>
      <w:r>
        <w:rPr>
          <w:b/>
          <w:bCs/>
          <w:color w:val="0F2A4A"/>
          <w:sz w:val="24"/>
          <w:szCs w:val="24"/>
        </w:rPr>
        <w:t xml:space="preserve">Your Rights and Choices</w:t>
      </w:r>
    </w:p>
    <w:p>
      <w:pPr>
        <w:spacing w:after="120" w:line="300"/>
      </w:pPr>
      <w:r>
        <w:rPr>
          <w:sz w:val="22"/>
          <w:szCs w:val="22"/>
        </w:rPr>
        <w:t xml:space="preserve">Depending on where you live, you may have rights regarding your personal information, including:</w:t>
      </w:r>
    </w:p>
    <w:p>
      <w:pPr>
        <w:pStyle w:val="ListParagraph"/>
        <w:numPr>
          <w:ilvl w:val="0"/>
          <w:numId w:val="2"/>
        </w:numPr>
        <w:spacing w:after="80" w:line="300"/>
      </w:pPr>
      <w:r>
        <w:t xml:space="preserve">Accessing the personal information we hold about you;</w:t>
      </w:r>
    </w:p>
    <w:p>
      <w:pPr>
        <w:pStyle w:val="ListParagraph"/>
        <w:numPr>
          <w:ilvl w:val="0"/>
          <w:numId w:val="2"/>
        </w:numPr>
        <w:spacing w:after="80" w:line="300"/>
      </w:pPr>
      <w:r>
        <w:t xml:space="preserve">Correcting inaccurate personal information;</w:t>
      </w:r>
    </w:p>
    <w:p>
      <w:pPr>
        <w:pStyle w:val="ListParagraph"/>
        <w:numPr>
          <w:ilvl w:val="0"/>
          <w:numId w:val="2"/>
        </w:numPr>
        <w:spacing w:after="80" w:line="300"/>
      </w:pPr>
      <w:r>
        <w:t xml:space="preserve">Deleting your personal information, subject to legal exceptions;</w:t>
      </w:r>
    </w:p>
    <w:p>
      <w:pPr>
        <w:pStyle w:val="ListParagraph"/>
        <w:numPr>
          <w:ilvl w:val="0"/>
          <w:numId w:val="2"/>
        </w:numPr>
        <w:spacing w:after="80" w:line="300"/>
      </w:pPr>
      <w:r>
        <w:t xml:space="preserve">Receiving a portable copy of your personal information;</w:t>
      </w:r>
    </w:p>
    <w:p>
      <w:pPr>
        <w:pStyle w:val="ListParagraph"/>
        <w:numPr>
          <w:ilvl w:val="0"/>
          <w:numId w:val="2"/>
        </w:numPr>
        <w:spacing w:after="80" w:line="300"/>
      </w:pPr>
      <w:r>
        <w:t xml:space="preserve">Opting out of certain processing, including any sale or sharing of personal information for cross-context behavioral advertising, and certain types of profiling;</w:t>
      </w:r>
    </w:p>
    <w:p>
      <w:pPr>
        <w:pStyle w:val="ListParagraph"/>
        <w:numPr>
          <w:ilvl w:val="0"/>
          <w:numId w:val="2"/>
        </w:numPr>
        <w:spacing w:after="80" w:line="300"/>
      </w:pPr>
      <w:r>
        <w:t xml:space="preserve">Withdrawing consent where we rely on consent.</w:t>
      </w:r>
    </w:p>
    <w:p>
      <w:pPr>
        <w:spacing w:after="120" w:line="300"/>
      </w:pPr>
      <w:r>
        <w:rPr>
          <w:sz w:val="22"/>
          <w:szCs w:val="22"/>
        </w:rPr>
        <w:t xml:space="preserve">To exercise these rights, contact us at jared@graylockdigital.com or tim@graylockdigital.com. We will respond within the timeframe required by applicable law. We may need to verify your identity before processing your request.</w:t>
      </w:r>
    </w:p>
    <w:p>
      <w:pPr>
        <w:spacing w:after="120" w:line="300"/>
      </w:pPr>
      <w:r>
        <w:rPr>
          <w:sz w:val="22"/>
          <w:szCs w:val="22"/>
        </w:rPr>
        <w:t xml:space="preserve">We honor browser-level privacy signals, including the Global Privacy Control (GPC) signal, where required by applicable law.</w:t>
      </w:r>
    </w:p>
    <w:p>
      <w:pPr>
        <w:spacing w:after="100" w:before="180"/>
      </w:pPr>
      <w:r>
        <w:rPr>
          <w:b/>
          <w:bCs/>
          <w:color w:val="0F2A4A"/>
          <w:sz w:val="22"/>
          <w:szCs w:val="22"/>
        </w:rPr>
        <w:t xml:space="preserve">4.1 </w:t>
      </w:r>
      <w:r>
        <w:rPr>
          <w:b/>
          <w:bCs/>
          <w:color w:val="0F2A4A"/>
          <w:sz w:val="22"/>
          <w:szCs w:val="22"/>
        </w:rPr>
        <w:t xml:space="preserve">California Residents</w:t>
      </w:r>
    </w:p>
    <w:p>
      <w:pPr>
        <w:spacing w:after="120" w:line="300"/>
      </w:pPr>
      <w:r>
        <w:rPr>
          <w:sz w:val="22"/>
          <w:szCs w:val="22"/>
        </w:rPr>
        <w:t xml:space="preserve">If you are a California resident, you have specific rights under the California Consumer Privacy Act (CCPA) and the California Privacy Rights Act (CPRA), including the rights described above. You may also designate an authorized agent to make requests on your behalf, subject to verification.</w:t>
      </w:r>
    </w:p>
    <w:p>
      <w:pPr>
        <w:spacing w:after="100" w:before="180"/>
      </w:pPr>
      <w:r>
        <w:rPr>
          <w:b/>
          <w:bCs/>
          <w:color w:val="0F2A4A"/>
          <w:sz w:val="22"/>
          <w:szCs w:val="22"/>
        </w:rPr>
        <w:t xml:space="preserve">4.2 </w:t>
      </w:r>
      <w:r>
        <w:rPr>
          <w:b/>
          <w:bCs/>
          <w:color w:val="0F2A4A"/>
          <w:sz w:val="22"/>
          <w:szCs w:val="22"/>
        </w:rPr>
        <w:t xml:space="preserve">Other States with Comprehensive Privacy Laws</w:t>
      </w:r>
    </w:p>
    <w:p>
      <w:pPr>
        <w:spacing w:after="120" w:line="300"/>
      </w:pPr>
      <w:r>
        <w:rPr>
          <w:sz w:val="22"/>
          <w:szCs w:val="22"/>
        </w:rPr>
        <w:t xml:space="preserve">Residents of states with comprehensive privacy laws (including but not limited to Virginia, Colorado, Connecticut, Utah, Oregon, Texas, Montana, Delaware, Iowa, New Jersey, New Hampshire, Tennessee, Indiana, Kentucky, Maryland, Minnesota, Rhode Island, and Nebraska) may have similar rights under their respective state laws. We respect those rights and will respond in accordance with the applicable law.</w:t>
      </w:r>
    </w:p>
    <w:p>
      <w:pPr>
        <w:spacing w:after="100" w:before="180"/>
      </w:pPr>
      <w:r>
        <w:rPr>
          <w:b/>
          <w:bCs/>
          <w:color w:val="0F2A4A"/>
          <w:sz w:val="22"/>
          <w:szCs w:val="22"/>
        </w:rPr>
        <w:t xml:space="preserve">4.3 </w:t>
      </w:r>
      <w:r>
        <w:rPr>
          <w:b/>
          <w:bCs/>
          <w:color w:val="0F2A4A"/>
          <w:sz w:val="22"/>
          <w:szCs w:val="22"/>
        </w:rPr>
        <w:t xml:space="preserve">Marketing Communications</w:t>
      </w:r>
    </w:p>
    <w:p>
      <w:pPr>
        <w:spacing w:after="120" w:line="300"/>
      </w:pPr>
      <w:r>
        <w:rPr>
          <w:sz w:val="22"/>
          <w:szCs w:val="22"/>
        </w:rPr>
        <w:t xml:space="preserve">You may opt out of marketing emails at any time by clicking the unsubscribe link in any marketing email or by contacting us. We will continue to send transactional and account-related emails as necessary to provide the Services.</w:t>
      </w:r>
    </w:p>
    <w:p>
      <w:pPr>
        <w:spacing w:after="140" w:before="280"/>
      </w:pPr>
      <w:r>
        <w:rPr>
          <w:b/>
          <w:bCs/>
          <w:color w:val="0F2A4A"/>
          <w:sz w:val="24"/>
          <w:szCs w:val="24"/>
        </w:rPr>
        <w:t xml:space="preserve">5. </w:t>
      </w:r>
      <w:r>
        <w:rPr>
          <w:b/>
          <w:bCs/>
          <w:color w:val="0F2A4A"/>
          <w:sz w:val="24"/>
          <w:szCs w:val="24"/>
        </w:rPr>
        <w:t xml:space="preserve">Data Retention</w:t>
      </w:r>
    </w:p>
    <w:p>
      <w:pPr>
        <w:spacing w:after="120" w:line="300"/>
      </w:pPr>
      <w:r>
        <w:rPr>
          <w:sz w:val="22"/>
          <w:szCs w:val="22"/>
        </w:rPr>
        <w:t xml:space="preserve">We retain your information for as long as needed to provide the Services, to comply with legal obligations, to resolve disputes, and to enforce our agreements. After your Subscription ends, we retain your information consistent with the Master Services Agreement and as required by law. Some categories of data (such as financial records and tax documents) may be retained longer to comply with legal requirements.</w:t>
      </w:r>
    </w:p>
    <w:p>
      <w:pPr>
        <w:spacing w:after="140" w:before="280"/>
      </w:pPr>
      <w:r>
        <w:rPr>
          <w:b/>
          <w:bCs/>
          <w:color w:val="0F2A4A"/>
          <w:sz w:val="24"/>
          <w:szCs w:val="24"/>
        </w:rPr>
        <w:t xml:space="preserve">6. </w:t>
      </w:r>
      <w:r>
        <w:rPr>
          <w:b/>
          <w:bCs/>
          <w:color w:val="0F2A4A"/>
          <w:sz w:val="24"/>
          <w:szCs w:val="24"/>
        </w:rPr>
        <w:t xml:space="preserve">Cookies and Similar Technologies</w:t>
      </w:r>
    </w:p>
    <w:p>
      <w:pPr>
        <w:spacing w:after="120" w:line="300"/>
      </w:pPr>
      <w:r>
        <w:rPr>
          <w:sz w:val="22"/>
          <w:szCs w:val="22"/>
        </w:rPr>
        <w:t xml:space="preserve">We use cookies and similar technologies on graylockdigital.com to operate the site, remember your preferences, analyze how the site is used, and improve our services. You can control cookies through your browser settings. We respect Global Privacy Control signals where required by law.</w:t>
      </w:r>
    </w:p>
    <w:p>
      <w:pPr>
        <w:spacing w:after="140" w:before="280"/>
      </w:pPr>
      <w:r>
        <w:rPr>
          <w:b/>
          <w:bCs/>
          <w:color w:val="0F2A4A"/>
          <w:sz w:val="24"/>
          <w:szCs w:val="24"/>
        </w:rPr>
        <w:t xml:space="preserve">7. </w:t>
      </w:r>
      <w:r>
        <w:rPr>
          <w:b/>
          <w:bCs/>
          <w:color w:val="0F2A4A"/>
          <w:sz w:val="24"/>
          <w:szCs w:val="24"/>
        </w:rPr>
        <w:t xml:space="preserve">Data Security</w:t>
      </w:r>
    </w:p>
    <w:p>
      <w:pPr>
        <w:spacing w:after="120" w:line="300"/>
      </w:pPr>
      <w:r>
        <w:rPr>
          <w:sz w:val="22"/>
          <w:szCs w:val="22"/>
        </w:rPr>
        <w:t xml:space="preserve">We use reasonable administrative, technical, and physical safeguards to protect your information, including encryption in transit and at rest, access controls, and monitoring. However, no system is perfectly secure, and we cannot guarantee absolute security.</w:t>
      </w:r>
    </w:p>
    <w:p>
      <w:pPr>
        <w:spacing w:after="140" w:before="280"/>
      </w:pPr>
      <w:r>
        <w:rPr>
          <w:b/>
          <w:bCs/>
          <w:color w:val="0F2A4A"/>
          <w:sz w:val="24"/>
          <w:szCs w:val="24"/>
        </w:rPr>
        <w:t xml:space="preserve">8. </w:t>
      </w:r>
      <w:r>
        <w:rPr>
          <w:b/>
          <w:bCs/>
          <w:color w:val="0F2A4A"/>
          <w:sz w:val="24"/>
          <w:szCs w:val="24"/>
        </w:rPr>
        <w:t xml:space="preserve">International Users</w:t>
      </w:r>
    </w:p>
    <w:p>
      <w:pPr>
        <w:spacing w:after="120" w:line="300"/>
      </w:pPr>
      <w:r>
        <w:rPr>
          <w:sz w:val="22"/>
          <w:szCs w:val="22"/>
        </w:rPr>
        <w:t xml:space="preserve">We operate from the United States. If you access our services from outside the United States, your information will be transferred to and processed in the United States, where data protection laws may differ from those of your jurisdiction.</w:t>
      </w:r>
    </w:p>
    <w:p>
      <w:pPr>
        <w:spacing w:after="140" w:before="280"/>
      </w:pPr>
      <w:r>
        <w:rPr>
          <w:b/>
          <w:bCs/>
          <w:color w:val="0F2A4A"/>
          <w:sz w:val="24"/>
          <w:szCs w:val="24"/>
        </w:rPr>
        <w:t xml:space="preserve">9. </w:t>
      </w:r>
      <w:r>
        <w:rPr>
          <w:b/>
          <w:bCs/>
          <w:color w:val="0F2A4A"/>
          <w:sz w:val="24"/>
          <w:szCs w:val="24"/>
        </w:rPr>
        <w:t xml:space="preserve">Children's Privacy</w:t>
      </w:r>
    </w:p>
    <w:p>
      <w:pPr>
        <w:spacing w:after="120" w:line="300"/>
      </w:pPr>
      <w:r>
        <w:rPr>
          <w:sz w:val="22"/>
          <w:szCs w:val="22"/>
        </w:rPr>
        <w:t xml:space="preserve">Our services are not directed to children under 13, and we do not knowingly collect information from children under 13. If you believe we have collected information from a child under 13, please contact us and we will delete it.</w:t>
      </w:r>
    </w:p>
    <w:p>
      <w:pPr>
        <w:spacing w:after="140" w:before="280"/>
      </w:pPr>
      <w:r>
        <w:rPr>
          <w:b/>
          <w:bCs/>
          <w:color w:val="0F2A4A"/>
          <w:sz w:val="24"/>
          <w:szCs w:val="24"/>
        </w:rPr>
        <w:t xml:space="preserve">10. </w:t>
      </w:r>
      <w:r>
        <w:rPr>
          <w:b/>
          <w:bCs/>
          <w:color w:val="0F2A4A"/>
          <w:sz w:val="24"/>
          <w:szCs w:val="24"/>
        </w:rPr>
        <w:t xml:space="preserve">Changes to This Policy</w:t>
      </w:r>
    </w:p>
    <w:p>
      <w:pPr>
        <w:spacing w:after="120" w:line="300"/>
      </w:pPr>
      <w:r>
        <w:rPr>
          <w:sz w:val="22"/>
          <w:szCs w:val="22"/>
        </w:rPr>
        <w:t xml:space="preserve">We may update this Privacy Policy from time to time. We will post the updated Policy on graylockdigital.com with the new effective date. For material changes, we will provide additional notice (such as by email).</w:t>
      </w:r>
    </w:p>
    <w:p>
      <w:pPr>
        <w:spacing w:after="140" w:before="280"/>
      </w:pPr>
      <w:r>
        <w:rPr>
          <w:b/>
          <w:bCs/>
          <w:color w:val="0F2A4A"/>
          <w:sz w:val="24"/>
          <w:szCs w:val="24"/>
        </w:rPr>
        <w:t xml:space="preserve">11. </w:t>
      </w:r>
      <w:r>
        <w:rPr>
          <w:b/>
          <w:bCs/>
          <w:color w:val="0F2A4A"/>
          <w:sz w:val="24"/>
          <w:szCs w:val="24"/>
        </w:rPr>
        <w:t xml:space="preserve">Contact</w:t>
      </w:r>
    </w:p>
    <w:p>
      <w:pPr>
        <w:spacing w:after="120" w:line="300"/>
      </w:pPr>
      <w:r>
        <w:rPr>
          <w:sz w:val="22"/>
          <w:szCs w:val="22"/>
        </w:rPr>
        <w:t xml:space="preserve">If you have questions about this Privacy Policy or our privacy practices, contact us at:</w:t>
      </w:r>
    </w:p>
    <w:p>
      <w:r>
        <w:t xml:space="preserve"/>
      </w:r>
    </w:p>
    <w:p>
      <w:pPr>
        <w:spacing w:after="120" w:line="300"/>
      </w:pPr>
      <w:r>
        <w:t xml:space="preserve">Graylock Digital, LLC</w:t>
      </w:r>
    </w:p>
    <w:p>
      <w:pPr>
        <w:spacing w:after="120" w:line="300"/>
      </w:pPr>
      <w:r>
        <w:t xml:space="preserve">245 Gilbert Lake Drive</w:t>
      </w:r>
    </w:p>
    <w:p>
      <w:pPr>
        <w:spacing w:after="120" w:line="300"/>
      </w:pPr>
      <w:r>
        <w:t xml:space="preserve">Kalispell, Montana 59901</w:t>
      </w:r>
    </w:p>
    <w:p>
      <w:pPr>
        <w:spacing w:after="120" w:line="300"/>
      </w:pPr>
      <w:r>
        <w:t xml:space="preserve">Email: jared@graylockdigital.com / tim@graylockdigital.com</w:t>
      </w:r>
    </w:p>
    <w:p>
      <w:pPr>
        <w:pStyle w:val="Heading1"/>
        <w:pageBreakBefore/>
        <w:spacing w:after="240" w:before="0"/>
      </w:pPr>
      <w:r>
        <w:t xml:space="preserve">Document 3 — Acceptable Use Policy</w:t>
      </w:r>
    </w:p>
    <w:p>
      <w:pPr>
        <w:spacing w:after="120" w:before="120"/>
        <w:jc w:val="center"/>
      </w:pPr>
      <w:r>
        <w:rPr>
          <w:b/>
          <w:bCs/>
          <w:color w:val="0F2A4A"/>
          <w:sz w:val="28"/>
          <w:szCs w:val="28"/>
        </w:rPr>
        <w:t xml:space="preserve">GRAYLOCK DIGITAL, LLC</w:t>
      </w:r>
    </w:p>
    <w:p>
      <w:pPr>
        <w:spacing w:after="360"/>
        <w:jc w:val="center"/>
      </w:pPr>
      <w:r>
        <w:rPr>
          <w:b/>
          <w:bCs/>
          <w:color w:val="0F2A4A"/>
          <w:sz w:val="26"/>
          <w:szCs w:val="26"/>
        </w:rPr>
        <w:t xml:space="preserve">ACCEPTABLE USE POLICY</w:t>
      </w:r>
    </w:p>
    <w:p>
      <w:pPr>
        <w:spacing w:after="120" w:line="300"/>
      </w:pPr>
      <w:r>
        <w:rPr>
          <w:sz w:val="22"/>
          <w:szCs w:val="22"/>
        </w:rPr>
        <w:t xml:space="preserve">This Acceptable Use Policy ("AUP") describes how Customers may and may not use Graylock services, including the Websites we build and host. This AUP is part of the Master Services Agreement and is enforceable on the same terms.</w:t>
      </w:r>
    </w:p>
    <w:p>
      <w:pPr>
        <w:spacing w:after="140" w:before="280"/>
      </w:pPr>
      <w:r>
        <w:rPr>
          <w:b/>
          <w:bCs/>
          <w:color w:val="0F2A4A"/>
          <w:sz w:val="24"/>
          <w:szCs w:val="24"/>
        </w:rPr>
        <w:t xml:space="preserve">1. </w:t>
      </w:r>
      <w:r>
        <w:rPr>
          <w:b/>
          <w:bCs/>
          <w:color w:val="0F2A4A"/>
          <w:sz w:val="24"/>
          <w:szCs w:val="24"/>
        </w:rPr>
        <w:t xml:space="preserve">Prohibited Content and Activities</w:t>
      </w:r>
    </w:p>
    <w:p>
      <w:pPr>
        <w:spacing w:after="120" w:line="300"/>
      </w:pPr>
      <w:r>
        <w:rPr>
          <w:sz w:val="22"/>
          <w:szCs w:val="22"/>
        </w:rPr>
        <w:t xml:space="preserve">You may not use Graylock services to publish, host, distribute, or facilitate any of the following:</w:t>
      </w:r>
    </w:p>
    <w:p>
      <w:pPr>
        <w:spacing w:after="100" w:before="180"/>
      </w:pPr>
      <w:r>
        <w:rPr>
          <w:b/>
          <w:bCs/>
          <w:color w:val="0F2A4A"/>
          <w:sz w:val="22"/>
          <w:szCs w:val="22"/>
        </w:rPr>
        <w:t xml:space="preserve">1.1 </w:t>
      </w:r>
      <w:r>
        <w:rPr>
          <w:b/>
          <w:bCs/>
          <w:color w:val="0F2A4A"/>
          <w:sz w:val="22"/>
          <w:szCs w:val="22"/>
        </w:rPr>
        <w:t xml:space="preserve">Illegal Content</w:t>
      </w:r>
    </w:p>
    <w:p>
      <w:pPr>
        <w:pStyle w:val="ListParagraph"/>
        <w:numPr>
          <w:ilvl w:val="0"/>
          <w:numId w:val="2"/>
        </w:numPr>
        <w:spacing w:after="80" w:line="300"/>
      </w:pPr>
      <w:r>
        <w:t xml:space="preserve">Content that violates any applicable U.S. federal, state, or local law, or the law of any jurisdiction where the content is targeted;</w:t>
      </w:r>
    </w:p>
    <w:p>
      <w:pPr>
        <w:pStyle w:val="ListParagraph"/>
        <w:numPr>
          <w:ilvl w:val="0"/>
          <w:numId w:val="2"/>
        </w:numPr>
        <w:spacing w:after="80" w:line="300"/>
      </w:pPr>
      <w:r>
        <w:t xml:space="preserve">Content that infringes the intellectual property, privacy, publicity, or other rights of any third party;</w:t>
      </w:r>
    </w:p>
    <w:p>
      <w:pPr>
        <w:pStyle w:val="ListParagraph"/>
        <w:numPr>
          <w:ilvl w:val="0"/>
          <w:numId w:val="2"/>
        </w:numPr>
        <w:spacing w:after="80" w:line="300"/>
      </w:pPr>
      <w:r>
        <w:t xml:space="preserve">Content that constitutes child sexual abuse material, child sexualization, or content that endangers minors in any form.</w:t>
      </w:r>
    </w:p>
    <w:p>
      <w:pPr>
        <w:spacing w:after="100" w:before="180"/>
      </w:pPr>
      <w:r>
        <w:rPr>
          <w:b/>
          <w:bCs/>
          <w:color w:val="0F2A4A"/>
          <w:sz w:val="22"/>
          <w:szCs w:val="22"/>
        </w:rPr>
        <w:t xml:space="preserve">1.2 </w:t>
      </w:r>
      <w:r>
        <w:rPr>
          <w:b/>
          <w:bCs/>
          <w:color w:val="0F2A4A"/>
          <w:sz w:val="22"/>
          <w:szCs w:val="22"/>
        </w:rPr>
        <w:t xml:space="preserve">Harmful Content</w:t>
      </w:r>
    </w:p>
    <w:p>
      <w:pPr>
        <w:pStyle w:val="ListParagraph"/>
        <w:numPr>
          <w:ilvl w:val="0"/>
          <w:numId w:val="2"/>
        </w:numPr>
        <w:spacing w:after="80" w:line="300"/>
      </w:pPr>
      <w:r>
        <w:t xml:space="preserve">Content that promotes violence, terrorism, or unlawful harm to any person or group;</w:t>
      </w:r>
    </w:p>
    <w:p>
      <w:pPr>
        <w:pStyle w:val="ListParagraph"/>
        <w:numPr>
          <w:ilvl w:val="0"/>
          <w:numId w:val="2"/>
        </w:numPr>
        <w:spacing w:after="80" w:line="300"/>
      </w:pPr>
      <w:r>
        <w:t xml:space="preserve">Content that constitutes harassment, hate speech, defamation, or unlawful discrimination;</w:t>
      </w:r>
    </w:p>
    <w:p>
      <w:pPr>
        <w:pStyle w:val="ListParagraph"/>
        <w:numPr>
          <w:ilvl w:val="0"/>
          <w:numId w:val="2"/>
        </w:numPr>
        <w:spacing w:after="80" w:line="300"/>
      </w:pPr>
      <w:r>
        <w:t xml:space="preserve">Content that promotes self-harm, suicide, or eating disorders.</w:t>
      </w:r>
    </w:p>
    <w:p>
      <w:pPr>
        <w:spacing w:after="100" w:before="180"/>
      </w:pPr>
      <w:r>
        <w:rPr>
          <w:b/>
          <w:bCs/>
          <w:color w:val="0F2A4A"/>
          <w:sz w:val="22"/>
          <w:szCs w:val="22"/>
        </w:rPr>
        <w:t xml:space="preserve">1.3 </w:t>
      </w:r>
      <w:r>
        <w:rPr>
          <w:b/>
          <w:bCs/>
          <w:color w:val="0F2A4A"/>
          <w:sz w:val="22"/>
          <w:szCs w:val="22"/>
        </w:rPr>
        <w:t xml:space="preserve">Fraud and Deception</w:t>
      </w:r>
    </w:p>
    <w:p>
      <w:pPr>
        <w:pStyle w:val="ListParagraph"/>
        <w:numPr>
          <w:ilvl w:val="0"/>
          <w:numId w:val="2"/>
        </w:numPr>
        <w:spacing w:after="80" w:line="300"/>
      </w:pPr>
      <w:r>
        <w:t xml:space="preserve">Content that constitutes false, deceptive, or misleading advertising;</w:t>
      </w:r>
    </w:p>
    <w:p>
      <w:pPr>
        <w:pStyle w:val="ListParagraph"/>
        <w:numPr>
          <w:ilvl w:val="0"/>
          <w:numId w:val="2"/>
        </w:numPr>
        <w:spacing w:after="80" w:line="300"/>
      </w:pPr>
      <w:r>
        <w:t xml:space="preserve">Content used to defraud, scam, phish, or otherwise deceive consumers;</w:t>
      </w:r>
    </w:p>
    <w:p>
      <w:pPr>
        <w:pStyle w:val="ListParagraph"/>
        <w:numPr>
          <w:ilvl w:val="0"/>
          <w:numId w:val="2"/>
        </w:numPr>
        <w:spacing w:after="80" w:line="300"/>
      </w:pPr>
      <w:r>
        <w:t xml:space="preserve">Content that misrepresents your identity, credentials, licensure, or affiliation;</w:t>
      </w:r>
    </w:p>
    <w:p>
      <w:pPr>
        <w:pStyle w:val="ListParagraph"/>
        <w:numPr>
          <w:ilvl w:val="0"/>
          <w:numId w:val="2"/>
        </w:numPr>
        <w:spacing w:after="80" w:line="300"/>
      </w:pPr>
      <w:r>
        <w:t xml:space="preserve">Pyramid schemes, multi-level marketing schemes that operate as pyramid schemes, or similar deceptive business models.</w:t>
      </w:r>
    </w:p>
    <w:p>
      <w:pPr>
        <w:spacing w:after="100" w:before="180"/>
      </w:pPr>
      <w:r>
        <w:rPr>
          <w:b/>
          <w:bCs/>
          <w:color w:val="0F2A4A"/>
          <w:sz w:val="22"/>
          <w:szCs w:val="22"/>
        </w:rPr>
        <w:t xml:space="preserve">1.4 </w:t>
      </w:r>
      <w:r>
        <w:rPr>
          <w:b/>
          <w:bCs/>
          <w:color w:val="0F2A4A"/>
          <w:sz w:val="22"/>
          <w:szCs w:val="22"/>
        </w:rPr>
        <w:t xml:space="preserve">Regulated Industries Without Proper Authorization</w:t>
      </w:r>
    </w:p>
    <w:p>
      <w:pPr>
        <w:pStyle w:val="ListParagraph"/>
        <w:numPr>
          <w:ilvl w:val="0"/>
          <w:numId w:val="2"/>
        </w:numPr>
        <w:spacing w:after="80" w:line="300"/>
      </w:pPr>
      <w:r>
        <w:t xml:space="preserve">Practice of medicine, law, accounting, financial advisory, or other licensed professions without the proper licenses;</w:t>
      </w:r>
    </w:p>
    <w:p>
      <w:pPr>
        <w:pStyle w:val="ListParagraph"/>
        <w:numPr>
          <w:ilvl w:val="0"/>
          <w:numId w:val="2"/>
        </w:numPr>
        <w:spacing w:after="80" w:line="300"/>
      </w:pPr>
      <w:r>
        <w:t xml:space="preserve">Sale or distribution of controlled substances, firearms, or other regulated goods without compliance with applicable law;</w:t>
      </w:r>
    </w:p>
    <w:p>
      <w:pPr>
        <w:pStyle w:val="ListParagraph"/>
        <w:numPr>
          <w:ilvl w:val="0"/>
          <w:numId w:val="2"/>
        </w:numPr>
        <w:spacing w:after="80" w:line="300"/>
      </w:pPr>
      <w:r>
        <w:t xml:space="preserve">Gambling services not properly licensed in the relevant jurisdiction;</w:t>
      </w:r>
    </w:p>
    <w:p>
      <w:pPr>
        <w:pStyle w:val="ListParagraph"/>
        <w:numPr>
          <w:ilvl w:val="0"/>
          <w:numId w:val="2"/>
        </w:numPr>
        <w:spacing w:after="80" w:line="300"/>
      </w:pPr>
      <w:r>
        <w:t xml:space="preserve">Operation as a money services business, money transmitter, or similar regulated entity without proper authorization.</w:t>
      </w:r>
    </w:p>
    <w:p>
      <w:pPr>
        <w:spacing w:after="100" w:before="180"/>
      </w:pPr>
      <w:r>
        <w:rPr>
          <w:b/>
          <w:bCs/>
          <w:color w:val="0F2A4A"/>
          <w:sz w:val="22"/>
          <w:szCs w:val="22"/>
        </w:rPr>
        <w:t xml:space="preserve">1.5 </w:t>
      </w:r>
      <w:r>
        <w:rPr>
          <w:b/>
          <w:bCs/>
          <w:color w:val="0F2A4A"/>
          <w:sz w:val="22"/>
          <w:szCs w:val="22"/>
        </w:rPr>
        <w:t xml:space="preserve">Adult Content</w:t>
      </w:r>
    </w:p>
    <w:p>
      <w:pPr>
        <w:pStyle w:val="ListParagraph"/>
        <w:numPr>
          <w:ilvl w:val="0"/>
          <w:numId w:val="2"/>
        </w:numPr>
        <w:spacing w:after="80" w:line="300"/>
      </w:pPr>
      <w:r>
        <w:t xml:space="preserve">Sexually explicit content, pornography, or content primarily intended for sexual gratification;</w:t>
      </w:r>
    </w:p>
    <w:p>
      <w:pPr>
        <w:pStyle w:val="ListParagraph"/>
        <w:numPr>
          <w:ilvl w:val="0"/>
          <w:numId w:val="2"/>
        </w:numPr>
        <w:spacing w:after="80" w:line="300"/>
      </w:pPr>
      <w:r>
        <w:t xml:space="preserve">Adult dating, escort services, or similar services.</w:t>
      </w:r>
    </w:p>
    <w:p>
      <w:pPr>
        <w:spacing w:after="100" w:before="180"/>
      </w:pPr>
      <w:r>
        <w:rPr>
          <w:b/>
          <w:bCs/>
          <w:color w:val="0F2A4A"/>
          <w:sz w:val="22"/>
          <w:szCs w:val="22"/>
        </w:rPr>
        <w:t xml:space="preserve">1.6 </w:t>
      </w:r>
      <w:r>
        <w:rPr>
          <w:b/>
          <w:bCs/>
          <w:color w:val="0F2A4A"/>
          <w:sz w:val="22"/>
          <w:szCs w:val="22"/>
        </w:rPr>
        <w:t xml:space="preserve">Technical Misuse</w:t>
      </w:r>
    </w:p>
    <w:p>
      <w:pPr>
        <w:pStyle w:val="ListParagraph"/>
        <w:numPr>
          <w:ilvl w:val="0"/>
          <w:numId w:val="2"/>
        </w:numPr>
        <w:spacing w:after="80" w:line="300"/>
      </w:pPr>
      <w:r>
        <w:t xml:space="preserve">Distribution of malware, spyware, ransomware, or other malicious code;</w:t>
      </w:r>
    </w:p>
    <w:p>
      <w:pPr>
        <w:pStyle w:val="ListParagraph"/>
        <w:numPr>
          <w:ilvl w:val="0"/>
          <w:numId w:val="2"/>
        </w:numPr>
        <w:spacing w:after="80" w:line="300"/>
      </w:pPr>
      <w:r>
        <w:t xml:space="preserve">Phishing, social engineering, or credential harvesting;</w:t>
      </w:r>
    </w:p>
    <w:p>
      <w:pPr>
        <w:pStyle w:val="ListParagraph"/>
        <w:numPr>
          <w:ilvl w:val="0"/>
          <w:numId w:val="2"/>
        </w:numPr>
        <w:spacing w:after="80" w:line="300"/>
      </w:pPr>
      <w:r>
        <w:t xml:space="preserve">Unauthorized access to systems, networks, or data;</w:t>
      </w:r>
    </w:p>
    <w:p>
      <w:pPr>
        <w:pStyle w:val="ListParagraph"/>
        <w:numPr>
          <w:ilvl w:val="0"/>
          <w:numId w:val="2"/>
        </w:numPr>
        <w:spacing w:after="80" w:line="300"/>
      </w:pPr>
      <w:r>
        <w:t xml:space="preserve">Activities that disrupt, overload, or interfere with our services or third-party services;</w:t>
      </w:r>
    </w:p>
    <w:p>
      <w:pPr>
        <w:pStyle w:val="ListParagraph"/>
        <w:numPr>
          <w:ilvl w:val="0"/>
          <w:numId w:val="2"/>
        </w:numPr>
        <w:spacing w:after="80" w:line="300"/>
      </w:pPr>
      <w:r>
        <w:t xml:space="preserve">Spam, unsolicited commercial communications, or violations of CAN-SPAM, the TCPA, or similar laws;</w:t>
      </w:r>
    </w:p>
    <w:p>
      <w:pPr>
        <w:pStyle w:val="ListParagraph"/>
        <w:numPr>
          <w:ilvl w:val="0"/>
          <w:numId w:val="2"/>
        </w:numPr>
        <w:spacing w:after="80" w:line="300"/>
      </w:pPr>
      <w:r>
        <w:t xml:space="preserve">Reverse engineering, scraping, decompiling, or otherwise attempting to extract our source code, Graylock OS, or our proprietary methods.</w:t>
      </w:r>
    </w:p>
    <w:p>
      <w:pPr>
        <w:spacing w:after="140" w:before="280"/>
      </w:pPr>
      <w:r>
        <w:rPr>
          <w:b/>
          <w:bCs/>
          <w:color w:val="0F2A4A"/>
          <w:sz w:val="24"/>
          <w:szCs w:val="24"/>
        </w:rPr>
        <w:t xml:space="preserve">2. </w:t>
      </w:r>
      <w:r>
        <w:rPr>
          <w:b/>
          <w:bCs/>
          <w:color w:val="0F2A4A"/>
          <w:sz w:val="24"/>
          <w:szCs w:val="24"/>
        </w:rPr>
        <w:t xml:space="preserve">Compliance Responsibilities</w:t>
      </w:r>
    </w:p>
    <w:p>
      <w:pPr>
        <w:spacing w:after="120" w:line="300"/>
      </w:pPr>
      <w:r>
        <w:rPr>
          <w:sz w:val="22"/>
          <w:szCs w:val="22"/>
        </w:rPr>
        <w:t xml:space="preserve">You are responsible for ensuring that your use of Graylock services and your Website complies with all applicable laws, regulations, professional licensing requirements, and industry standards. We are not your compliance officer and do not monitor your business operations or content for legal compliance, except as expressly described in your Subscription.</w:t>
      </w:r>
    </w:p>
    <w:p>
      <w:pPr>
        <w:spacing w:after="140" w:before="280"/>
      </w:pPr>
      <w:r>
        <w:rPr>
          <w:b/>
          <w:bCs/>
          <w:color w:val="0F2A4A"/>
          <w:sz w:val="24"/>
          <w:szCs w:val="24"/>
        </w:rPr>
        <w:t xml:space="preserve">3. </w:t>
      </w:r>
      <w:r>
        <w:rPr>
          <w:b/>
          <w:bCs/>
          <w:color w:val="0F2A4A"/>
          <w:sz w:val="24"/>
          <w:szCs w:val="24"/>
        </w:rPr>
        <w:t xml:space="preserve">Reporting Violations</w:t>
      </w:r>
    </w:p>
    <w:p>
      <w:pPr>
        <w:spacing w:after="120" w:line="300"/>
      </w:pPr>
      <w:r>
        <w:rPr>
          <w:sz w:val="22"/>
          <w:szCs w:val="22"/>
        </w:rPr>
        <w:t xml:space="preserve">If you become aware of a violation of this AUP, contact us at jared@graylockdigital.com or tim@graylockdigital.com.</w:t>
      </w:r>
    </w:p>
    <w:p>
      <w:pPr>
        <w:spacing w:after="140" w:before="280"/>
      </w:pPr>
      <w:r>
        <w:rPr>
          <w:b/>
          <w:bCs/>
          <w:color w:val="0F2A4A"/>
          <w:sz w:val="24"/>
          <w:szCs w:val="24"/>
        </w:rPr>
        <w:t xml:space="preserve">4. </w:t>
      </w:r>
      <w:r>
        <w:rPr>
          <w:b/>
          <w:bCs/>
          <w:color w:val="0F2A4A"/>
          <w:sz w:val="24"/>
          <w:szCs w:val="24"/>
        </w:rPr>
        <w:t xml:space="preserve">Enforcement</w:t>
      </w:r>
    </w:p>
    <w:p>
      <w:pPr>
        <w:spacing w:after="120" w:line="300"/>
      </w:pPr>
      <w:r>
        <w:rPr>
          <w:sz w:val="22"/>
          <w:szCs w:val="22"/>
        </w:rPr>
        <w:t xml:space="preserve">If we determine, in our reasonable judgment, that you have violated this AUP, we may take any of the following actions, with or without notice:</w:t>
      </w:r>
    </w:p>
    <w:p>
      <w:pPr>
        <w:pStyle w:val="ListParagraph"/>
        <w:numPr>
          <w:ilvl w:val="0"/>
          <w:numId w:val="2"/>
        </w:numPr>
        <w:spacing w:after="80" w:line="300"/>
      </w:pPr>
      <w:r>
        <w:t xml:space="preserve">Require removal or modification of the offending Content;</w:t>
      </w:r>
    </w:p>
    <w:p>
      <w:pPr>
        <w:pStyle w:val="ListParagraph"/>
        <w:numPr>
          <w:ilvl w:val="0"/>
          <w:numId w:val="2"/>
        </w:numPr>
        <w:spacing w:after="80" w:line="300"/>
      </w:pPr>
      <w:r>
        <w:t xml:space="preserve">Suspend access to your Website or your Account;</w:t>
      </w:r>
    </w:p>
    <w:p>
      <w:pPr>
        <w:pStyle w:val="ListParagraph"/>
        <w:numPr>
          <w:ilvl w:val="0"/>
          <w:numId w:val="2"/>
        </w:numPr>
        <w:spacing w:after="80" w:line="300"/>
      </w:pPr>
      <w:r>
        <w:t xml:space="preserve">Terminate your Subscription under Section 14 of the Master Services Agreement;</w:t>
      </w:r>
    </w:p>
    <w:p>
      <w:pPr>
        <w:pStyle w:val="ListParagraph"/>
        <w:numPr>
          <w:ilvl w:val="0"/>
          <w:numId w:val="2"/>
        </w:numPr>
        <w:spacing w:after="80" w:line="300"/>
      </w:pPr>
      <w:r>
        <w:t xml:space="preserve">Cooperate with law enforcement;</w:t>
      </w:r>
    </w:p>
    <w:p>
      <w:pPr>
        <w:pStyle w:val="ListParagraph"/>
        <w:numPr>
          <w:ilvl w:val="0"/>
          <w:numId w:val="2"/>
        </w:numPr>
        <w:spacing w:after="80" w:line="300"/>
      </w:pPr>
      <w:r>
        <w:t xml:space="preserve">Seek other remedies available under law or equity.</w:t>
      </w:r>
    </w:p>
    <w:p>
      <w:pPr>
        <w:spacing w:after="120" w:line="300"/>
      </w:pPr>
      <w:r>
        <w:rPr>
          <w:sz w:val="22"/>
          <w:szCs w:val="22"/>
        </w:rPr>
        <w:t xml:space="preserve">We have no obligation to monitor your Website for AUP violations, but we reserve the right to do so at our discretion.</w:t>
      </w:r>
    </w:p>
    <w:p>
      <w:pPr>
        <w:pStyle w:val="Heading1"/>
        <w:pageBreakBefore/>
        <w:spacing w:after="240" w:before="0"/>
      </w:pPr>
      <w:r>
        <w:t xml:space="preserve">Document 4 — Checkout Summary</w:t>
      </w:r>
    </w:p>
    <w:p>
      <w:pPr>
        <w:spacing w:after="120" w:line="300"/>
      </w:pPr>
      <w:r>
        <w:t xml:space="preserve">This is the plain-English summary that displays at Stripe Checkout next to the agreement checkbox. It is not a substitute for the Master Services Agreement; it is a summary intended to surface the most important terms so customers cannot later claim they did not see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Display this content at checkout</w:t>
            </w:r>
          </w:p>
          <w:p>
            <w:pPr>
              <w:spacing w:line="280"/>
            </w:pPr>
            <w:r>
              <w:rPr>
                <w:sz w:val="22"/>
                <w:szCs w:val="22"/>
              </w:rPr>
              <w:t xml:space="preserve">Place the content below in a visible block above or beside the Stripe consent checkbox. The full MSA, Privacy Policy, and AUP must also be linked from this same screen and presented as URLs that the customer can click to read in full.</w:t>
            </w:r>
          </w:p>
        </w:tc>
      </w:tr>
    </w:tbl>
    <w:p>
      <w:r>
        <w:t xml:space="preserve"/>
      </w:r>
    </w:p>
    <w:p>
      <w:pPr>
        <w:spacing w:after="240" w:before="240"/>
        <w:jc w:val="center"/>
      </w:pPr>
      <w:r>
        <w:rPr>
          <w:b/>
          <w:bCs/>
          <w:color w:val="0F2A4A"/>
          <w:sz w:val="28"/>
          <w:szCs w:val="28"/>
        </w:rPr>
        <w:t xml:space="preserve">Before you complete your subscription</w:t>
      </w:r>
    </w:p>
    <w:p>
      <w:pPr>
        <w:spacing w:after="120" w:line="300"/>
      </w:pPr>
      <w:r>
        <w:t xml:space="preserve">By checking the box below and completing payment, you agree to the following:</w:t>
      </w:r>
    </w:p>
    <w:p>
      <w:r>
        <w:t xml:space="preserve"/>
      </w:r>
    </w:p>
    <w:p>
      <w:pPr>
        <w:spacing w:after="120" w:line="300"/>
      </w:pPr>
      <w:r>
        <w:rPr>
          <w:b/>
          <w:bCs/>
        </w:rPr>
        <w:t xml:space="preserve">You approve your Website. </w:t>
      </w:r>
      <w:r>
        <w:t xml:space="preserve">By starting your subscription, you confirm that you have reviewed your Website in full and approve all of its content — including any content created with the help of AI. You are responsible for the accuracy and legal compliance of everything on your Website.</w:t>
      </w:r>
    </w:p>
    <w:p>
      <w:pPr>
        <w:spacing w:after="120" w:line="300"/>
      </w:pPr>
      <w:r>
        <w:rPr>
          <w:b/>
          <w:bCs/>
        </w:rPr>
        <w:t xml:space="preserve">Your subscription term and price. </w:t>
      </w:r>
      <w:r>
        <w:t xml:space="preserve">Your monthly subscription fee is locked for 24 months from today. After 24 months, your subscription continues month to month, and we will give you at least 60 days' written notice before any price change.</w:t>
      </w:r>
    </w:p>
    <w:p>
      <w:pPr>
        <w:spacing w:after="120" w:line="300"/>
      </w:pPr>
      <w:r>
        <w:rPr>
          <w:b/>
          <w:bCs/>
        </w:rPr>
        <w:t xml:space="preserve">You can cancel anytime. </w:t>
      </w:r>
      <w:r>
        <w:t xml:space="preserve">You can cancel your subscription at any time through your client portal or by contacting us. There is no early-termination fee. When you cancel, your Website goes offline at the end of your current billing cycle. You can request a copy of your written content (in PDF) within 60 days of cancellation, and we will deliver it within 30 days.</w:t>
      </w:r>
    </w:p>
    <w:p>
      <w:pPr>
        <w:spacing w:after="120" w:line="300"/>
      </w:pPr>
      <w:r>
        <w:rPr>
          <w:b/>
          <w:bCs/>
        </w:rPr>
        <w:t xml:space="preserve">You own your domain. We own the code. </w:t>
      </w:r>
      <w:r>
        <w:t xml:space="preserve">Your domain name is yours and stays yours. The Website code, design system, photos and graphics we created, and Graylock OS are ours. If you want to take the code with you when you leave, you can purchase it for a Buyout Price as described in the Master Services Agreement.</w:t>
      </w:r>
    </w:p>
    <w:p>
      <w:pPr>
        <w:spacing w:after="120" w:line="300"/>
      </w:pPr>
      <w:r>
        <w:rPr>
          <w:b/>
          <w:bCs/>
        </w:rPr>
        <w:t xml:space="preserve">Your industry's compliance is your responsibility. </w:t>
      </w:r>
      <w:r>
        <w:t xml:space="preserve">We design and build with consideration of generally applicable advertising and privacy laws. But specific compliance with any law, regulation, professional licensing rule, or industry standard that applies to your business is your responsibility, working with your own attorney, compliance officer, or licensing board.</w:t>
      </w:r>
    </w:p>
    <w:p>
      <w:pPr>
        <w:spacing w:after="120" w:line="300"/>
      </w:pPr>
      <w:r>
        <w:rPr>
          <w:b/>
          <w:bCs/>
        </w:rPr>
        <w:t xml:space="preserve">Disputes go to mediation, then arbitration in Montana. </w:t>
      </w:r>
      <w:r>
        <w:t xml:space="preserve">If we have a dispute we cannot resolve through direct discussion, we agree to mediation first, and then to binding arbitration in Montana. You waive the right to participate in any class action against us.</w:t>
      </w:r>
    </w:p>
    <w:p>
      <w:pPr>
        <w:spacing w:after="120" w:line="300"/>
      </w:pPr>
      <w:r>
        <w:rPr>
          <w:b/>
          <w:bCs/>
        </w:rPr>
        <w:t xml:space="preserve">Our liability is limited. </w:t>
      </w:r>
      <w:r>
        <w:t xml:space="preserve">Our total liability under this agreement is capped at the amount you paid us in the 12 months before any claim arises.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The full agreement</w:t>
            </w:r>
          </w:p>
          <w:p>
            <w:pPr>
              <w:spacing w:line="280"/>
            </w:pPr>
            <w:r>
              <w:rPr>
                <w:sz w:val="22"/>
                <w:szCs w:val="22"/>
              </w:rPr>
              <w:t xml:space="preserve">This is a summary. The full Master Services Agreement, Privacy Policy, and Acceptable Use Policy govern your subscription. Please read them in full before agreeing.</w:t>
            </w:r>
          </w:p>
        </w:tc>
      </w:tr>
    </w:tbl>
    <w:p>
      <w:r>
        <w:t xml:space="preserve"/>
      </w:r>
    </w:p>
    <w:p>
      <w:pPr>
        <w:spacing w:after="120" w:line="300"/>
      </w:pPr>
      <w:r>
        <w:t xml:space="preserve">Required checkboxes (both must be checked to complete payment):</w:t>
      </w:r>
    </w:p>
    <w:p>
      <w:r>
        <w:t xml:space="preserve"/>
      </w:r>
    </w:p>
    <w:p>
      <w:pPr>
        <w:spacing w:after="120" w:line="300"/>
      </w:pPr>
      <w:r>
        <w:rPr>
          <w:b/>
          <w:bCs/>
          <w:sz w:val="22"/>
          <w:szCs w:val="22"/>
        </w:rPr>
        <w:t xml:space="preserve">☐ </w:t>
      </w:r>
      <w:r>
        <w:rPr>
          <w:b/>
          <w:bCs/>
        </w:rPr>
        <w:t xml:space="preserve">I have read and agree to the </w:t>
      </w:r>
      <w:r>
        <w:t xml:space="preserve">Master Services Agreement, Privacy Policy, and Acceptable Use Policy [each a clickable link].</w:t>
      </w:r>
    </w:p>
    <w:p>
      <w:r>
        <w:t xml:space="preserve"/>
      </w:r>
    </w:p>
    <w:p>
      <w:pPr>
        <w:spacing w:after="120" w:line="300"/>
      </w:pPr>
      <w:r>
        <w:rPr>
          <w:b/>
          <w:bCs/>
          <w:sz w:val="22"/>
          <w:szCs w:val="22"/>
        </w:rPr>
        <w:t xml:space="preserve">☐ </w:t>
      </w:r>
      <w:r>
        <w:rPr>
          <w:b/>
          <w:bCs/>
        </w:rPr>
        <w:t xml:space="preserve">I confirm </w:t>
      </w:r>
      <w:r>
        <w:t xml:space="preserve">I am the authorized representative of the business identified above and have authority to enter into this agreement on its behalf.</w:t>
      </w:r>
    </w:p>
    <w:p>
      <w:pPr>
        <w:pStyle w:val="Heading1"/>
        <w:pageBreakBefore/>
        <w:spacing w:after="240" w:before="0"/>
      </w:pPr>
      <w:r>
        <w:t xml:space="preserve">Document 5 — Stripe Configuration Guide</w:t>
      </w:r>
    </w:p>
    <w:p>
      <w:pPr>
        <w:spacing w:after="120" w:line="300"/>
      </w:pPr>
      <w:r>
        <w:t xml:space="preserve">This is a step-by-step guide for wiring up the click-through agreement at Stripe Checkout. Implementation is straightforward; the goal is to leave a clean evidence trail for every acceptance.</w:t>
      </w:r>
    </w:p>
    <w:p>
      <w:pPr>
        <w:pStyle w:val="Heading2"/>
        <w:spacing w:after="140" w:before="280"/>
      </w:pPr>
      <w:r>
        <w:t xml:space="preserve">5A. Native Stripe Checkout consent collection</w:t>
      </w:r>
    </w:p>
    <w:p>
      <w:pPr>
        <w:spacing w:after="120" w:line="300"/>
      </w:pPr>
      <w:r>
        <w:t xml:space="preserve">Stripe Checkout has built-in support for terms-of-service consent. When configuring a Checkout Session, set the following parameter:</w:t>
      </w:r>
    </w:p>
    <w:p>
      <w:r>
        <w:t xml:space="preserve"/>
      </w:r>
    </w:p>
    <w:p>
      <w:pPr>
        <w:spacing w:after="120" w:line="300"/>
      </w:pPr>
      <w:r>
        <w:t xml:space="preserve">consent_collection: { terms_of_service: 'required' }</w:t>
      </w:r>
    </w:p>
    <w:p>
      <w:r>
        <w:t xml:space="preserve"/>
      </w:r>
    </w:p>
    <w:p>
      <w:pPr>
        <w:spacing w:after="120" w:line="300"/>
      </w:pPr>
      <w:r>
        <w:t xml:space="preserve">With this setting:</w:t>
      </w:r>
    </w:p>
    <w:p>
      <w:pPr>
        <w:pStyle w:val="ListParagraph"/>
        <w:numPr>
          <w:ilvl w:val="0"/>
          <w:numId w:val="2"/>
        </w:numPr>
        <w:spacing w:after="80" w:line="300"/>
      </w:pPr>
      <w:r>
        <w:t xml:space="preserve">Stripe automatically displays a required terms-of-service checkbox at checkout.</w:t>
      </w:r>
    </w:p>
    <w:p>
      <w:pPr>
        <w:pStyle w:val="ListParagraph"/>
        <w:numPr>
          <w:ilvl w:val="0"/>
          <w:numId w:val="2"/>
        </w:numPr>
        <w:spacing w:after="80" w:line="300"/>
      </w:pPr>
      <w:r>
        <w:t xml:space="preserve">The checkbox is unchecked by default and the customer cannot complete payment until it is checked.</w:t>
      </w:r>
    </w:p>
    <w:p>
      <w:pPr>
        <w:pStyle w:val="ListParagraph"/>
        <w:numPr>
          <w:ilvl w:val="0"/>
          <w:numId w:val="2"/>
        </w:numPr>
        <w:spacing w:after="80" w:line="300"/>
      </w:pPr>
      <w:r>
        <w:t xml:space="preserve">Stripe records the acceptance in the Checkout Session object as `consent.terms_of_service: 'accepted'`.</w:t>
      </w:r>
    </w:p>
    <w:p>
      <w:pPr>
        <w:pStyle w:val="ListParagraph"/>
        <w:numPr>
          <w:ilvl w:val="0"/>
          <w:numId w:val="2"/>
        </w:numPr>
        <w:spacing w:after="80" w:line="300"/>
      </w:pPr>
      <w:r>
        <w:t xml:space="preserve">The acceptance event is timestamped and tied to the customer ID.</w:t>
      </w:r>
    </w:p>
    <w:p>
      <w:pPr>
        <w:spacing w:after="120" w:line="300"/>
      </w:pPr>
      <w:r>
        <w:t xml:space="preserve">You'll also configure your Stripe account's Terms of Service URL in the Stripe Dashboard under Settings → Public Details, pointing to graylockdigital.com/terms.</w:t>
      </w:r>
    </w:p>
    <w:p>
      <w:pPr>
        <w:pStyle w:val="Heading2"/>
        <w:spacing w:after="140" w:before="280"/>
      </w:pPr>
      <w:r>
        <w:t xml:space="preserve">5B. Custom field for authority confirmation</w:t>
      </w:r>
    </w:p>
    <w:p>
      <w:pPr>
        <w:spacing w:after="120" w:line="300"/>
      </w:pPr>
      <w:r>
        <w:t xml:space="preserve">Add a custom field to the Checkout Session to capture the authorized-representative confirmation. Configure as:</w:t>
      </w:r>
    </w:p>
    <w:p>
      <w:pPr>
        <w:pStyle w:val="ListParagraph"/>
        <w:numPr>
          <w:ilvl w:val="0"/>
          <w:numId w:val="2"/>
        </w:numPr>
        <w:spacing w:after="80" w:line="300"/>
      </w:pPr>
      <w:r>
        <w:t xml:space="preserve">Type: dropdown (single-option) or checkbox-style with an optional text field</w:t>
      </w:r>
    </w:p>
    <w:p>
      <w:pPr>
        <w:pStyle w:val="ListParagraph"/>
        <w:numPr>
          <w:ilvl w:val="0"/>
          <w:numId w:val="2"/>
        </w:numPr>
        <w:spacing w:after="80" w:line="300"/>
      </w:pPr>
      <w:r>
        <w:t xml:space="preserve">Label: "Authorized Representative Confirmation"</w:t>
      </w:r>
    </w:p>
    <w:p>
      <w:pPr>
        <w:pStyle w:val="ListParagraph"/>
        <w:numPr>
          <w:ilvl w:val="0"/>
          <w:numId w:val="2"/>
        </w:numPr>
        <w:spacing w:after="80" w:line="300"/>
      </w:pPr>
      <w:r>
        <w:t xml:space="preserve">Required: yes</w:t>
      </w:r>
    </w:p>
    <w:p>
      <w:pPr>
        <w:pStyle w:val="ListParagraph"/>
        <w:numPr>
          <w:ilvl w:val="0"/>
          <w:numId w:val="2"/>
        </w:numPr>
        <w:spacing w:after="80" w:line="300"/>
      </w:pPr>
      <w:r>
        <w:t xml:space="preserve">Options or value: "I confirm I am the authorized representative of the business and have authority to enter into this agreement."</w:t>
      </w:r>
    </w:p>
    <w:p>
      <w:pPr>
        <w:spacing w:after="120" w:line="300"/>
      </w:pPr>
      <w:r>
        <w:t xml:space="preserve">Stripe Checkout supports custom fields through the `custom_fields` parameter on the Checkout Session. If your sales flow requires more granular collection (full name, title, etc.), capture those as additional custom fields.</w:t>
      </w:r>
    </w:p>
    <w:p>
      <w:pPr>
        <w:pStyle w:val="Heading2"/>
        <w:spacing w:after="140" w:before="280"/>
      </w:pPr>
      <w:r>
        <w:t xml:space="preserve">5C. Webhook configuration to log acceptance</w:t>
      </w:r>
    </w:p>
    <w:p>
      <w:pPr>
        <w:spacing w:after="120" w:line="300"/>
      </w:pPr>
      <w:r>
        <w:t xml:space="preserve">Configure a Stripe webhook to capture the consent and metadata for your records. Listen for the `checkout.session.completed` event. When you receive that event, store the following in your own database (CRM, customer table, or wherever is authoritative):</w:t>
      </w:r>
    </w:p>
    <w:p>
      <w:pPr>
        <w:pStyle w:val="ListParagraph"/>
        <w:numPr>
          <w:ilvl w:val="0"/>
          <w:numId w:val="2"/>
        </w:numPr>
        <w:spacing w:after="80" w:line="300"/>
      </w:pPr>
      <w:r>
        <w:t xml:space="preserve">Customer ID (Stripe customer ID and your internal ID)</w:t>
      </w:r>
    </w:p>
    <w:p>
      <w:pPr>
        <w:pStyle w:val="ListParagraph"/>
        <w:numPr>
          <w:ilvl w:val="0"/>
          <w:numId w:val="2"/>
        </w:numPr>
        <w:spacing w:after="80" w:line="300"/>
      </w:pPr>
      <w:r>
        <w:t xml:space="preserve">Email address used at checkout</w:t>
      </w:r>
    </w:p>
    <w:p>
      <w:pPr>
        <w:pStyle w:val="ListParagraph"/>
        <w:numPr>
          <w:ilvl w:val="0"/>
          <w:numId w:val="2"/>
        </w:numPr>
        <w:spacing w:after="80" w:line="300"/>
      </w:pPr>
      <w:r>
        <w:t xml:space="preserve">Business name (collected at checkout)</w:t>
      </w:r>
    </w:p>
    <w:p>
      <w:pPr>
        <w:pStyle w:val="ListParagraph"/>
        <w:numPr>
          <w:ilvl w:val="0"/>
          <w:numId w:val="2"/>
        </w:numPr>
        <w:spacing w:after="80" w:line="300"/>
      </w:pPr>
      <w:r>
        <w:t xml:space="preserve">Acceptance timestamp (`created` field on the Session)</w:t>
      </w:r>
    </w:p>
    <w:p>
      <w:pPr>
        <w:pStyle w:val="ListParagraph"/>
        <w:numPr>
          <w:ilvl w:val="0"/>
          <w:numId w:val="2"/>
        </w:numPr>
        <w:spacing w:after="80" w:line="300"/>
      </w:pPr>
      <w:r>
        <w:t xml:space="preserve">IP address (Stripe provides this on the Session)</w:t>
      </w:r>
    </w:p>
    <w:p>
      <w:pPr>
        <w:pStyle w:val="ListParagraph"/>
        <w:numPr>
          <w:ilvl w:val="0"/>
          <w:numId w:val="2"/>
        </w:numPr>
        <w:spacing w:after="80" w:line="300"/>
      </w:pPr>
      <w:r>
        <w:t xml:space="preserve">Terms-of-service URL accepted (the URL you had configured at the time)</w:t>
      </w:r>
    </w:p>
    <w:p>
      <w:pPr>
        <w:pStyle w:val="ListParagraph"/>
        <w:numPr>
          <w:ilvl w:val="0"/>
          <w:numId w:val="2"/>
        </w:numPr>
        <w:spacing w:after="80" w:line="300"/>
      </w:pPr>
      <w:r>
        <w:t xml:space="preserve">Version of the Terms of Service in effect at the time (e.g., "v1.0 effective 2026-04-26")</w:t>
      </w:r>
    </w:p>
    <w:p>
      <w:pPr>
        <w:pStyle w:val="ListParagraph"/>
        <w:numPr>
          <w:ilvl w:val="0"/>
          <w:numId w:val="2"/>
        </w:numPr>
        <w:spacing w:after="80" w:line="300"/>
      </w:pPr>
      <w:r>
        <w:t xml:space="preserve">Custom field values (the authorized-representative confirmation)</w:t>
      </w:r>
    </w:p>
    <w:p>
      <w:pPr>
        <w:pStyle w:val="ListParagraph"/>
        <w:numPr>
          <w:ilvl w:val="0"/>
          <w:numId w:val="2"/>
        </w:numPr>
        <w:spacing w:after="80" w:line="300"/>
      </w:pPr>
      <w:r>
        <w:t xml:space="preserve">Subscription Tier and Subscription Start Date</w:t>
      </w:r>
    </w:p>
    <w:p>
      <w:pPr>
        <w:pStyle w:val="Heading2"/>
        <w:spacing w:after="140" w:before="280"/>
      </w:pPr>
      <w:r>
        <w:t xml:space="preserve">5D. Versioning your Terms of Service</w:t>
      </w:r>
    </w:p>
    <w:p>
      <w:pPr>
        <w:spacing w:after="120" w:line="300"/>
      </w:pPr>
      <w:r>
        <w:t xml:space="preserve">Every time you update your MSA, Privacy Policy, or AUP, increment the version number and date. Keep an archive of every previous version on graylockdigital.com (e.g., graylockdigital.com/terms/v1.0, graylockdigital.com/terms/v1.1, etc.) so that if a customer who agreed to v1.0 ever has a dispute, you can produce the exact document they agreed to.</w:t>
      </w:r>
    </w:p>
    <w:p>
      <w:pPr>
        <w:spacing w:after="120" w:line="300"/>
      </w:pPr>
      <w:r>
        <w:t xml:space="preserve">When making material changes (changes that affect customer obligations or rights), follow the notice procedure in Section 18.2 of the MSA — at least 30 days' email notice before the change takes effect, with the option for the customer to cancel if they do not accept the new terms.</w:t>
      </w:r>
    </w:p>
    <w:p>
      <w:pPr>
        <w:pStyle w:val="Heading2"/>
        <w:spacing w:after="140" w:before="280"/>
      </w:pPr>
      <w:r>
        <w:t xml:space="preserve">5E. Browse-wrap reinforcement</w:t>
      </w:r>
    </w:p>
    <w:p>
      <w:pPr>
        <w:spacing w:after="120" w:line="300"/>
      </w:pPr>
      <w:r>
        <w:t xml:space="preserve">In addition to the Stripe Checkout click-through, ensure that:</w:t>
      </w:r>
    </w:p>
    <w:p>
      <w:pPr>
        <w:pStyle w:val="ListParagraph"/>
        <w:numPr>
          <w:ilvl w:val="0"/>
          <w:numId w:val="2"/>
        </w:numPr>
        <w:spacing w:after="80" w:line="300"/>
      </w:pPr>
      <w:r>
        <w:t xml:space="preserve">Every page on graylockdigital.com has footer links to the MSA, Privacy Policy, and AUP.</w:t>
      </w:r>
    </w:p>
    <w:p>
      <w:pPr>
        <w:pStyle w:val="ListParagraph"/>
        <w:numPr>
          <w:ilvl w:val="0"/>
          <w:numId w:val="2"/>
        </w:numPr>
        <w:spacing w:after="80" w:line="300"/>
      </w:pPr>
      <w:r>
        <w:t xml:space="preserve">The welcome email sent to new customers reiterates the key terms and links to the full documents.</w:t>
      </w:r>
    </w:p>
    <w:p>
      <w:pPr>
        <w:pStyle w:val="ListParagraph"/>
        <w:numPr>
          <w:ilvl w:val="0"/>
          <w:numId w:val="2"/>
        </w:numPr>
        <w:spacing w:after="80" w:line="300"/>
      </w:pPr>
      <w:r>
        <w:t xml:space="preserve">The client portal displays a banner or notice when terms are updated, requiring acknowledgment for material changes.</w:t>
      </w:r>
    </w:p>
    <w:p>
      <w:pPr>
        <w:pStyle w:val="Heading2"/>
        <w:spacing w:after="140" w:before="280"/>
      </w:pPr>
      <w:r>
        <w:t xml:space="preserve">5F. Project kickoff acknowledgment (Build Phase)</w:t>
      </w:r>
    </w:p>
    <w:p>
      <w:pPr>
        <w:spacing w:after="120" w:line="300"/>
      </w:pPr>
      <w:r>
        <w:t xml:space="preserve">The Build Phase is governed by a separate Build Agreement (per Section 3.1 of the MSA). The Build Agreement should be presented and accepted at the time the customer pays the setup fee. The recommended structure is the same: Stripe Checkout consent collection plus a custom field acknowledging the build scope, with everything logged to your database. We have not drafted the Build Agreement here — that is your follow-up project once you have decided on the specifics of the build flow.</w:t>
      </w:r>
    </w:p>
    <w:p>
      <w:pPr>
        <w:pStyle w:val="Heading1"/>
        <w:pageBreakBefore/>
        <w:spacing w:after="240" w:before="0"/>
      </w:pPr>
      <w:r>
        <w:t xml:space="preserve">Document 6 — Implementation Checklist</w:t>
      </w:r>
    </w:p>
    <w:p>
      <w:pPr>
        <w:spacing w:after="120" w:line="300"/>
      </w:pPr>
      <w:r>
        <w:t xml:space="preserve">Sequence for getting these documents live and operational. Items marked with ★ should be completed before any customer is presented with the agreement.</w:t>
      </w:r>
    </w:p>
    <w:p>
      <w:pPr>
        <w:pStyle w:val="Heading2"/>
        <w:spacing w:after="140" w:before="280"/>
      </w:pPr>
      <w:r>
        <w:t xml:space="preserve">Phase 1 — Internal review</w:t>
      </w:r>
    </w:p>
    <w:p>
      <w:pPr>
        <w:pStyle w:val="ListParagraph"/>
        <w:numPr>
          <w:ilvl w:val="0"/>
          <w:numId w:val="3"/>
        </w:numPr>
        <w:spacing w:after="80" w:line="300"/>
      </w:pPr>
      <w:r>
        <w:t xml:space="preserve">★ Read through the MSA, Privacy Policy, AUP, and Checkout Summary from start to finish, with both Jared and Tim. Note any provisions that don't match your actual operations or that you want to change.</w:t>
      </w:r>
    </w:p>
    <w:p>
      <w:pPr>
        <w:pStyle w:val="ListParagraph"/>
        <w:numPr>
          <w:ilvl w:val="0"/>
          <w:numId w:val="3"/>
        </w:numPr>
        <w:spacing w:after="80" w:line="300"/>
      </w:pPr>
      <w:r>
        <w:t xml:space="preserve">★ Make any changes you want to make. Update version numbers.</w:t>
      </w:r>
    </w:p>
    <w:p>
      <w:pPr>
        <w:pStyle w:val="ListParagraph"/>
        <w:numPr>
          <w:ilvl w:val="0"/>
          <w:numId w:val="3"/>
        </w:numPr>
        <w:spacing w:after="80" w:line="300"/>
      </w:pPr>
      <w:r>
        <w:t xml:space="preserve">★ Confirm the legal entity name, address, and contact emails match exactly.</w:t>
      </w:r>
    </w:p>
    <w:p>
      <w:pPr>
        <w:pStyle w:val="ListParagraph"/>
        <w:numPr>
          <w:ilvl w:val="0"/>
          <w:numId w:val="3"/>
        </w:numPr>
        <w:spacing w:after="80" w:line="300"/>
      </w:pPr>
      <w:r>
        <w:t xml:space="preserve">★ Confirm that the pricing-page descriptions of each Tier match Section 2 of the MSA. If anything in the pricing page conflicts with the MSA (e.g., the "Hosting, SSL &amp; Daily Backups" line should clarify the 30-day backup retention), update the pricing page accordingly.</w:t>
      </w:r>
    </w:p>
    <w:p>
      <w:pPr>
        <w:pStyle w:val="Heading2"/>
        <w:spacing w:after="140" w:before="280"/>
      </w:pPr>
      <w:r>
        <w:t xml:space="preserve">Phase 2 — Attorney review</w:t>
      </w:r>
    </w:p>
    <w:p>
      <w:pPr>
        <w:pStyle w:val="ListParagraph"/>
        <w:numPr>
          <w:ilvl w:val="0"/>
          <w:numId w:val="3"/>
        </w:numPr>
        <w:spacing w:after="80" w:line="300"/>
      </w:pPr>
      <w:r>
        <w:t xml:space="preserve">★ Engage a Montana-licensed attorney for a 2- to 3-hour review. Provide all four documents (MSA, Privacy Policy, AUP, Checkout Summary).</w:t>
      </w:r>
    </w:p>
    <w:p>
      <w:pPr>
        <w:pStyle w:val="ListParagraph"/>
        <w:numPr>
          <w:ilvl w:val="0"/>
          <w:numId w:val="3"/>
        </w:numPr>
        <w:spacing w:after="80" w:line="300"/>
      </w:pPr>
      <w:r>
        <w:t xml:space="preserve">★ Specifically ask the attorney to focus on:</w:t>
      </w:r>
    </w:p>
    <w:p>
      <w:pPr>
        <w:pStyle w:val="ListParagraph"/>
        <w:numPr>
          <w:ilvl w:val="1"/>
          <w:numId w:val="2"/>
        </w:numPr>
        <w:spacing w:after="80" w:line="300"/>
      </w:pPr>
      <w:r>
        <w:t xml:space="preserve">Section 11 (Limitation of Liability) and Section 12 (Indemnification) of the MSA — these are the heart of your liability allocation;</w:t>
      </w:r>
    </w:p>
    <w:p>
      <w:pPr>
        <w:pStyle w:val="ListParagraph"/>
        <w:numPr>
          <w:ilvl w:val="1"/>
          <w:numId w:val="2"/>
        </w:numPr>
        <w:spacing w:after="80" w:line="300"/>
      </w:pPr>
      <w:r>
        <w:t xml:space="preserve">Section 15 (Dispute Resolution) — Montana enforceability of the mediation, arbitration, and class-action waiver provisions;</w:t>
      </w:r>
    </w:p>
    <w:p>
      <w:pPr>
        <w:pStyle w:val="ListParagraph"/>
        <w:numPr>
          <w:ilvl w:val="1"/>
          <w:numId w:val="2"/>
        </w:numPr>
        <w:spacing w:after="80" w:line="300"/>
      </w:pPr>
      <w:r>
        <w:t xml:space="preserve">Section 7 (Buyout Option) — confirming the buyout pricing structure is enforceable as a liquidated damages or buyout provision under Montana law;</w:t>
      </w:r>
    </w:p>
    <w:p>
      <w:pPr>
        <w:pStyle w:val="ListParagraph"/>
        <w:numPr>
          <w:ilvl w:val="1"/>
          <w:numId w:val="2"/>
        </w:numPr>
        <w:spacing w:after="80" w:line="300"/>
      </w:pPr>
      <w:r>
        <w:t xml:space="preserve">Section 4.6 (Failed Payments) — confirming the 30/90-day suspension and deletion sequence is enforceable;</w:t>
      </w:r>
    </w:p>
    <w:p>
      <w:pPr>
        <w:pStyle w:val="ListParagraph"/>
        <w:numPr>
          <w:ilvl w:val="1"/>
          <w:numId w:val="2"/>
        </w:numPr>
        <w:spacing w:after="80" w:line="300"/>
      </w:pPr>
      <w:r>
        <w:t xml:space="preserve">The Privacy Policy generally — confirming alignment with Montana's MCDPA (especially the post-October 2025 amendments) and other state privacy laws that apply to your customer base.</w:t>
      </w:r>
    </w:p>
    <w:p>
      <w:pPr>
        <w:pStyle w:val="ListParagraph"/>
        <w:numPr>
          <w:ilvl w:val="0"/>
          <w:numId w:val="3"/>
        </w:numPr>
        <w:spacing w:after="80" w:line="300"/>
      </w:pPr>
      <w:r>
        <w:t xml:space="preserve">★ Ask the attorney whether you need any state-specific addenda for customers in California, given CCPA/CPRA's particular requirements for Privacy Policies.</w:t>
      </w:r>
    </w:p>
    <w:p>
      <w:pPr>
        <w:pStyle w:val="ListParagraph"/>
        <w:numPr>
          <w:ilvl w:val="0"/>
          <w:numId w:val="3"/>
        </w:numPr>
        <w:spacing w:after="80" w:line="300"/>
      </w:pPr>
      <w:r>
        <w:t xml:space="preserve">★ Apply attorney edits and increment the version number to v1.1.</w:t>
      </w:r>
    </w:p>
    <w:p>
      <w:pPr>
        <w:pStyle w:val="Heading2"/>
        <w:spacing w:after="140" w:before="280"/>
      </w:pPr>
      <w:r>
        <w:t xml:space="preserve">Phase 3 — Publish</w:t>
      </w:r>
    </w:p>
    <w:p>
      <w:pPr>
        <w:pStyle w:val="ListParagraph"/>
        <w:numPr>
          <w:ilvl w:val="0"/>
          <w:numId w:val="3"/>
        </w:numPr>
        <w:spacing w:after="80" w:line="300"/>
      </w:pPr>
      <w:r>
        <w:t xml:space="preserve">Publish the MSA at graylockdigital.com/terms (or /msa).</w:t>
      </w:r>
    </w:p>
    <w:p>
      <w:pPr>
        <w:pStyle w:val="ListParagraph"/>
        <w:numPr>
          <w:ilvl w:val="0"/>
          <w:numId w:val="3"/>
        </w:numPr>
        <w:spacing w:after="80" w:line="300"/>
      </w:pPr>
      <w:r>
        <w:t xml:space="preserve">Publish the Privacy Policy at graylockdigital.com/privacy.</w:t>
      </w:r>
    </w:p>
    <w:p>
      <w:pPr>
        <w:pStyle w:val="ListParagraph"/>
        <w:numPr>
          <w:ilvl w:val="0"/>
          <w:numId w:val="3"/>
        </w:numPr>
        <w:spacing w:after="80" w:line="300"/>
      </w:pPr>
      <w:r>
        <w:t xml:space="preserve">Publish the AUP at graylockdigital.com/acceptable-use (or /aup).</w:t>
      </w:r>
    </w:p>
    <w:p>
      <w:pPr>
        <w:pStyle w:val="ListParagraph"/>
        <w:numPr>
          <w:ilvl w:val="0"/>
          <w:numId w:val="3"/>
        </w:numPr>
        <w:spacing w:after="80" w:line="300"/>
      </w:pPr>
      <w:r>
        <w:t xml:space="preserve">Add footer links to all three documents on every page of graylockdigital.com.</w:t>
      </w:r>
    </w:p>
    <w:p>
      <w:pPr>
        <w:pStyle w:val="ListParagraph"/>
        <w:numPr>
          <w:ilvl w:val="0"/>
          <w:numId w:val="3"/>
        </w:numPr>
        <w:spacing w:after="80" w:line="300"/>
      </w:pPr>
      <w:r>
        <w:t xml:space="preserve">Configure Stripe Checkout per Document 5 (consent collection, custom field, webhook).</w:t>
      </w:r>
    </w:p>
    <w:p>
      <w:pPr>
        <w:pStyle w:val="ListParagraph"/>
        <w:numPr>
          <w:ilvl w:val="0"/>
          <w:numId w:val="3"/>
        </w:numPr>
        <w:spacing w:after="80" w:line="300"/>
      </w:pPr>
      <w:r>
        <w:t xml:space="preserve">Set up the database table that logs every acceptance with the fields listed in Document 5.</w:t>
      </w:r>
    </w:p>
    <w:p>
      <w:pPr>
        <w:pStyle w:val="ListParagraph"/>
        <w:numPr>
          <w:ilvl w:val="0"/>
          <w:numId w:val="3"/>
        </w:numPr>
        <w:spacing w:after="80" w:line="300"/>
      </w:pPr>
      <w:r>
        <w:t xml:space="preserve">Update your welcome email template to reiterate the key terms and link to the published documents.</w:t>
      </w:r>
    </w:p>
    <w:p>
      <w:pPr>
        <w:pStyle w:val="Heading2"/>
        <w:spacing w:after="140" w:before="280"/>
      </w:pPr>
      <w:r>
        <w:t xml:space="preserve">Phase 4 — Operational follow-up</w:t>
      </w:r>
    </w:p>
    <w:p>
      <w:pPr>
        <w:pStyle w:val="ListParagraph"/>
        <w:numPr>
          <w:ilvl w:val="0"/>
          <w:numId w:val="3"/>
        </w:numPr>
        <w:spacing w:after="80" w:line="300"/>
      </w:pPr>
      <w:r>
        <w:t xml:space="preserve">Draft the separate Build Agreement that governs the Build Phase. The MSA references this in Section 3.1; you'll need a working draft before you can take new customers through the full flow.</w:t>
      </w:r>
    </w:p>
    <w:p>
      <w:pPr>
        <w:pStyle w:val="ListParagraph"/>
        <w:numPr>
          <w:ilvl w:val="0"/>
          <w:numId w:val="3"/>
        </w:numPr>
        <w:spacing w:after="80" w:line="300"/>
      </w:pPr>
      <w:r>
        <w:t xml:space="preserve">Set up your version archive — every published version of the MSA, Privacy Policy, and AUP retained at a stable URL, never deleted.</w:t>
      </w:r>
    </w:p>
    <w:p>
      <w:pPr>
        <w:pStyle w:val="ListParagraph"/>
        <w:numPr>
          <w:ilvl w:val="0"/>
          <w:numId w:val="3"/>
        </w:numPr>
        <w:spacing w:after="80" w:line="300"/>
      </w:pPr>
      <w:r>
        <w:t xml:space="preserve">Set up a quarterly review reminder. Privacy laws and accessibility rules change quickly. You and Tim should review these documents at least once per quarter for the first year, then annually.</w:t>
      </w:r>
    </w:p>
    <w:p>
      <w:pPr>
        <w:pStyle w:val="ListParagraph"/>
        <w:numPr>
          <w:ilvl w:val="0"/>
          <w:numId w:val="3"/>
        </w:numPr>
        <w:spacing w:after="80" w:line="300"/>
      </w:pPr>
      <w:r>
        <w:t xml:space="preserve">If you raise the Subscription fee for any tier in the future, document the 60-day notice procedure: who sends the email, what template is used, how it's logged.</w:t>
      </w:r>
    </w:p>
    <w:p>
      <w:pPr>
        <w:pStyle w:val="Heading2"/>
        <w:spacing w:after="140" w:before="280"/>
      </w:pPr>
      <w:r>
        <w:t xml:space="preserve">What is intentionally NOT in this package</w:t>
      </w:r>
    </w:p>
    <w:p>
      <w:pPr>
        <w:pStyle w:val="ListParagraph"/>
        <w:numPr>
          <w:ilvl w:val="0"/>
          <w:numId w:val="2"/>
        </w:numPr>
        <w:spacing w:after="80" w:line="300"/>
      </w:pPr>
      <w:r>
        <w:t xml:space="preserve">The Build Agreement. Per Section 3.1 of the MSA, the Build Phase is governed by a separate agreement. We did not draft it here because you said you would figure that out separately. When you're ready, the structure should mirror the MSA's click-through pattern but cover only the Build Phase.</w:t>
      </w:r>
    </w:p>
    <w:p>
      <w:pPr>
        <w:pStyle w:val="ListParagraph"/>
        <w:numPr>
          <w:ilvl w:val="0"/>
          <w:numId w:val="2"/>
        </w:numPr>
        <w:spacing w:after="80" w:line="300"/>
      </w:pPr>
      <w:r>
        <w:t xml:space="preserve">Statement of Work template for Custom Tier. Custom Tier engagements should each have a written SOW. We'd recommend drafting an SOW template once you have at least one or two Custom Tier customers and can see the patterns. The MSA's Section 2.5 anticipates this.</w:t>
      </w:r>
    </w:p>
    <w:p>
      <w:pPr>
        <w:pStyle w:val="ListParagraph"/>
        <w:numPr>
          <w:ilvl w:val="0"/>
          <w:numId w:val="2"/>
        </w:numPr>
        <w:spacing w:after="80" w:line="300"/>
      </w:pPr>
      <w:r>
        <w:t xml:space="preserve">Any DPA or BAA templates. You confirmed that your forms do not collect PHI and that you do not act as a HIPAA Business Associate. If a customer ever requests a Data Processing Agreement for state-privacy-law reasons, that's a separate document worth drafting at that point.</w:t>
      </w:r>
    </w:p>
    <w:p>
      <w:pPr>
        <w:pStyle w:val="ListParagraph"/>
        <w:numPr>
          <w:ilvl w:val="0"/>
          <w:numId w:val="2"/>
        </w:numPr>
        <w:spacing w:after="80" w:line="300"/>
      </w:pPr>
      <w:r>
        <w:t xml:space="preserve">Your Build Agreement, employment agreements, NDAs, or contractor agreements. All separate documents you'll want to address as Graylock grows.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Final note</w:t>
            </w:r>
          </w:p>
          <w:p>
            <w:pPr>
              <w:spacing w:line="280"/>
            </w:pPr>
            <w:r>
              <w:rPr>
                <w:sz w:val="22"/>
                <w:szCs w:val="22"/>
              </w:rPr>
              <w:t xml:space="preserve">These drafts are written to be defensible, but every state has its own quirks and every business has its own specifics. Two to three hours of attorney time before publication is far cheaper than the alternative.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Working draft v1.0 · Pending attorney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Graylock Digital — Customer Agreement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2A4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7A8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2A4A"/>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Graylock Digital — Customer Agreement Suite</dc:title>
  <dc:creator>Graylock Digital LLC</dc:creator>
  <dc:description>MSA, Privacy Policy, AUP, Checkout Summary, and Stripe configuration guide</dc:description>
  <cp:lastModifiedBy>Un-named</cp:lastModifiedBy>
  <cp:revision>1</cp:revision>
  <dcterms:created xsi:type="dcterms:W3CDTF">2026-04-26T18:18:23.613Z</dcterms:created>
  <dcterms:modified xsi:type="dcterms:W3CDTF">2026-04-26T18:18:23.614Z</dcterms:modified>
</cp:coreProperties>
</file>

<file path=docProps/custom.xml><?xml version="1.0" encoding="utf-8"?>
<Properties xmlns="http://schemas.openxmlformats.org/officeDocument/2006/custom-properties" xmlns:vt="http://schemas.openxmlformats.org/officeDocument/2006/docPropsVTypes"/>
</file>