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52D8" w14:textId="649848CC" w:rsidR="009B004B" w:rsidRDefault="009B004B" w:rsidP="009B004B">
      <w:pPr>
        <w:rPr>
          <w:b/>
          <w:color w:val="000000" w:themeColor="text1"/>
          <w:szCs w:val="21"/>
          <w:shd w:val="clear" w:color="auto" w:fill="FFFFFF"/>
        </w:rPr>
      </w:pPr>
      <w:r>
        <w:rPr>
          <w:b/>
          <w:color w:val="000000" w:themeColor="text1"/>
          <w:szCs w:val="21"/>
          <w:shd w:val="clear" w:color="auto" w:fill="FFFFFF"/>
        </w:rPr>
        <w:t>Technical Terms:</w:t>
      </w:r>
    </w:p>
    <w:p w14:paraId="2F8DC3D4" w14:textId="77777777" w:rsidR="0073241C" w:rsidRDefault="0073241C" w:rsidP="0073241C">
      <w:pPr>
        <w:pStyle w:val="ListParagraph"/>
        <w:numPr>
          <w:ilvl w:val="0"/>
          <w:numId w:val="5"/>
        </w:numPr>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Overview of Service</w:t>
      </w:r>
    </w:p>
    <w:tbl>
      <w:tblPr>
        <w:tblStyle w:val="TableGrid"/>
        <w:tblW w:w="5000" w:type="pct"/>
        <w:tblLook w:val="04A0" w:firstRow="1" w:lastRow="0" w:firstColumn="1" w:lastColumn="0" w:noHBand="0" w:noVBand="1"/>
      </w:tblPr>
      <w:tblGrid>
        <w:gridCol w:w="2313"/>
        <w:gridCol w:w="5983"/>
      </w:tblGrid>
      <w:tr w:rsidR="0073241C" w14:paraId="6DC74339" w14:textId="77777777" w:rsidTr="002678F2">
        <w:trPr>
          <w:trHeight w:val="244"/>
        </w:trPr>
        <w:tc>
          <w:tcPr>
            <w:tcW w:w="1394" w:type="pct"/>
          </w:tcPr>
          <w:p w14:paraId="395A11C3"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Species Name</w:t>
            </w:r>
          </w:p>
        </w:tc>
        <w:tc>
          <w:tcPr>
            <w:tcW w:w="3606" w:type="pct"/>
          </w:tcPr>
          <w:p w14:paraId="4F684260" w14:textId="50FAF9BC" w:rsidR="0073241C" w:rsidRPr="00990442" w:rsidRDefault="00FC7C41" w:rsidP="00EC7292">
            <w:pPr>
              <w:pStyle w:val="ListParagraph"/>
              <w:rPr>
                <w:rFonts w:ascii="Times New Roman" w:hAnsi="Times New Roman" w:cs="Times New Roman"/>
                <w:i/>
                <w:color w:val="000000" w:themeColor="text1"/>
                <w:sz w:val="21"/>
                <w:szCs w:val="21"/>
                <w:highlight w:val="yellow"/>
                <w:shd w:val="clear" w:color="auto" w:fill="FFFFFF"/>
              </w:rPr>
            </w:pPr>
            <w:r w:rsidRPr="00103162">
              <w:rPr>
                <w:rFonts w:ascii="Times New Roman" w:hAnsi="Times New Roman" w:cs="Times New Roman"/>
                <w:i/>
                <w:color w:val="FF0000"/>
                <w:sz w:val="21"/>
                <w:szCs w:val="21"/>
                <w:shd w:val="clear" w:color="auto" w:fill="FFFFFF"/>
              </w:rPr>
              <w:t>VAR_SPECIES</w:t>
            </w:r>
          </w:p>
        </w:tc>
      </w:tr>
      <w:tr w:rsidR="0073241C" w14:paraId="717076E8" w14:textId="77777777" w:rsidTr="002678F2">
        <w:trPr>
          <w:trHeight w:val="244"/>
        </w:trPr>
        <w:tc>
          <w:tcPr>
            <w:tcW w:w="1394" w:type="pct"/>
          </w:tcPr>
          <w:p w14:paraId="106AE68F"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Sample Type</w:t>
            </w:r>
          </w:p>
        </w:tc>
        <w:tc>
          <w:tcPr>
            <w:tcW w:w="3606" w:type="pct"/>
          </w:tcPr>
          <w:p w14:paraId="701BB15F" w14:textId="09477D86" w:rsidR="0073241C" w:rsidRPr="00990442" w:rsidRDefault="007C3DB6" w:rsidP="00EC7292">
            <w:pPr>
              <w:pStyle w:val="ListParagraph"/>
              <w:rPr>
                <w:rFonts w:ascii="Times New Roman" w:hAnsi="Times New Roman" w:cs="Times New Roman"/>
                <w:color w:val="000000" w:themeColor="text1"/>
                <w:sz w:val="21"/>
                <w:szCs w:val="21"/>
                <w:highlight w:val="yellow"/>
                <w:shd w:val="clear" w:color="auto" w:fill="FFFFFF"/>
              </w:rPr>
            </w:pPr>
            <w:r>
              <w:rPr>
                <w:rFonts w:ascii="Times New Roman" w:hAnsi="Times New Roman" w:cs="Times New Roman"/>
                <w:color w:val="000000" w:themeColor="text1"/>
                <w:sz w:val="21"/>
                <w:szCs w:val="21"/>
                <w:highlight w:val="yellow"/>
                <w:shd w:val="clear" w:color="auto" w:fill="FFFFFF"/>
              </w:rPr>
              <w:t>Enriched</w:t>
            </w:r>
            <w:r>
              <w:rPr>
                <w:rFonts w:ascii="Times New Roman" w:hAnsi="Times New Roman" w:cs="Times New Roman" w:hint="eastAsia"/>
                <w:color w:val="000000" w:themeColor="text1"/>
                <w:sz w:val="21"/>
                <w:szCs w:val="21"/>
                <w:highlight w:val="yellow"/>
                <w:shd w:val="clear" w:color="auto" w:fill="FFFFFF"/>
              </w:rPr>
              <w:t xml:space="preserve"> </w:t>
            </w:r>
            <w:r w:rsidR="00771AD0">
              <w:rPr>
                <w:rFonts w:ascii="Times New Roman" w:hAnsi="Times New Roman" w:cs="Times New Roman"/>
                <w:color w:val="000000" w:themeColor="text1"/>
                <w:sz w:val="21"/>
                <w:szCs w:val="21"/>
                <w:highlight w:val="yellow"/>
                <w:shd w:val="clear" w:color="auto" w:fill="FFFFFF"/>
              </w:rPr>
              <w:t>R</w:t>
            </w:r>
            <w:r w:rsidR="0073241C" w:rsidRPr="00990442">
              <w:rPr>
                <w:rFonts w:ascii="Times New Roman" w:hAnsi="Times New Roman" w:cs="Times New Roman"/>
                <w:color w:val="000000" w:themeColor="text1"/>
                <w:sz w:val="21"/>
                <w:szCs w:val="21"/>
                <w:highlight w:val="yellow"/>
                <w:shd w:val="clear" w:color="auto" w:fill="FFFFFF"/>
              </w:rPr>
              <w:t>NA Sample</w:t>
            </w:r>
            <w:r w:rsidR="00EE47D3">
              <w:rPr>
                <w:rFonts w:ascii="Times New Roman" w:hAnsi="Times New Roman" w:cs="Times New Roman"/>
                <w:color w:val="000000" w:themeColor="text1"/>
                <w:sz w:val="21"/>
                <w:szCs w:val="21"/>
                <w:highlight w:val="yellow"/>
                <w:shd w:val="clear" w:color="auto" w:fill="FFFFFF"/>
              </w:rPr>
              <w:t xml:space="preserve"> </w:t>
            </w:r>
          </w:p>
        </w:tc>
      </w:tr>
      <w:tr w:rsidR="0073241C" w14:paraId="52FC2127" w14:textId="77777777" w:rsidTr="002678F2">
        <w:trPr>
          <w:trHeight w:val="244"/>
        </w:trPr>
        <w:tc>
          <w:tcPr>
            <w:tcW w:w="1394" w:type="pct"/>
          </w:tcPr>
          <w:p w14:paraId="028E839E"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Sample</w:t>
            </w:r>
            <w:r>
              <w:rPr>
                <w:rFonts w:ascii="Times New Roman" w:hAnsi="Times New Roman" w:cs="Times New Roman"/>
                <w:color w:val="000000" w:themeColor="text1"/>
                <w:sz w:val="21"/>
                <w:szCs w:val="21"/>
                <w:shd w:val="clear" w:color="auto" w:fill="FFFFFF"/>
              </w:rPr>
              <w:t xml:space="preserve"> Number</w:t>
            </w:r>
          </w:p>
        </w:tc>
        <w:tc>
          <w:tcPr>
            <w:tcW w:w="3606" w:type="pct"/>
          </w:tcPr>
          <w:p w14:paraId="305BF614" w14:textId="58841644" w:rsidR="0073241C" w:rsidRPr="00990442" w:rsidRDefault="00FC7C41"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rPr>
              <w:t>SAM_NUM_1</w:t>
            </w:r>
          </w:p>
        </w:tc>
      </w:tr>
      <w:tr w:rsidR="0073241C" w14:paraId="4C23A8E7" w14:textId="77777777" w:rsidTr="002678F2">
        <w:trPr>
          <w:trHeight w:val="244"/>
        </w:trPr>
        <w:tc>
          <w:tcPr>
            <w:tcW w:w="1394" w:type="pct"/>
          </w:tcPr>
          <w:p w14:paraId="31B6D7E0"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 Type</w:t>
            </w:r>
          </w:p>
        </w:tc>
        <w:tc>
          <w:tcPr>
            <w:tcW w:w="3606" w:type="pct"/>
          </w:tcPr>
          <w:p w14:paraId="4E847FB2" w14:textId="05E2DACD" w:rsidR="0073241C" w:rsidRPr="00990442" w:rsidRDefault="00D53353" w:rsidP="00EC7292">
            <w:pPr>
              <w:pStyle w:val="ListParagraph"/>
              <w:rPr>
                <w:rFonts w:ascii="Times New Roman" w:hAnsi="Times New Roman" w:cs="Times New Roman"/>
                <w:color w:val="000000" w:themeColor="text1"/>
                <w:sz w:val="21"/>
                <w:szCs w:val="21"/>
                <w:highlight w:val="yellow"/>
                <w:shd w:val="clear" w:color="auto" w:fill="FFFFFF"/>
              </w:rPr>
            </w:pPr>
            <w:r>
              <w:rPr>
                <w:rFonts w:ascii="Times New Roman" w:hAnsi="Times New Roman" w:cs="Times New Roman"/>
                <w:color w:val="000000" w:themeColor="text1"/>
                <w:sz w:val="21"/>
                <w:szCs w:val="21"/>
                <w:shd w:val="clear" w:color="auto" w:fill="FFFFFF"/>
              </w:rPr>
              <w:t>RIP-Seq L</w:t>
            </w:r>
            <w:r>
              <w:rPr>
                <w:rFonts w:ascii="Times New Roman" w:hAnsi="Times New Roman" w:cs="Times New Roman" w:hint="eastAsia"/>
                <w:color w:val="000000" w:themeColor="text1"/>
                <w:sz w:val="21"/>
                <w:szCs w:val="21"/>
                <w:shd w:val="clear" w:color="auto" w:fill="FFFFFF"/>
              </w:rPr>
              <w:t>ibrary</w:t>
            </w:r>
          </w:p>
        </w:tc>
      </w:tr>
      <w:tr w:rsidR="00FC7C41" w14:paraId="1231ED45" w14:textId="77777777" w:rsidTr="002678F2">
        <w:trPr>
          <w:trHeight w:val="244"/>
        </w:trPr>
        <w:tc>
          <w:tcPr>
            <w:tcW w:w="1394" w:type="pct"/>
          </w:tcPr>
          <w:p w14:paraId="2B343C59" w14:textId="77777777" w:rsidR="00FC7C41" w:rsidRPr="00204C39" w:rsidRDefault="00FC7C41" w:rsidP="00FC7C41">
            <w:pPr>
              <w:pStyle w:val="ListParagraph"/>
              <w:rPr>
                <w:rFonts w:ascii="Times New Roman" w:hAnsi="Times New Roman" w:cs="Times New Roman"/>
                <w:color w:val="000000" w:themeColor="text1"/>
                <w:sz w:val="21"/>
                <w:szCs w:val="21"/>
                <w:highlight w:val="yellow"/>
                <w:shd w:val="clear" w:color="auto" w:fill="FFFFFF"/>
              </w:rPr>
            </w:pPr>
            <w:r w:rsidRPr="002678F2">
              <w:rPr>
                <w:rFonts w:ascii="Times New Roman" w:hAnsi="Times New Roman" w:cs="Times New Roman" w:hint="eastAsia"/>
                <w:color w:val="000000" w:themeColor="text1"/>
                <w:sz w:val="21"/>
                <w:szCs w:val="21"/>
                <w:shd w:val="clear" w:color="auto" w:fill="FFFFFF"/>
              </w:rPr>
              <w:t>Bioinformatics</w:t>
            </w:r>
          </w:p>
        </w:tc>
        <w:tc>
          <w:tcPr>
            <w:tcW w:w="3606" w:type="pct"/>
          </w:tcPr>
          <w:p w14:paraId="0DFBDBF5" w14:textId="7DBD2B5B" w:rsidR="00FC7C41" w:rsidRPr="00C30923" w:rsidRDefault="00FC7C41" w:rsidP="00FC7C41">
            <w:pPr>
              <w:pStyle w:val="ListParagraph"/>
              <w:rPr>
                <w:rFonts w:ascii="Times New Roman" w:hAnsi="Times New Roman" w:cs="Times New Roman"/>
                <w:color w:val="000000" w:themeColor="text1"/>
                <w:sz w:val="21"/>
                <w:szCs w:val="21"/>
                <w:highlight w:val="yellow"/>
                <w:shd w:val="clear" w:color="auto" w:fill="FFFFFF"/>
              </w:rPr>
            </w:pPr>
            <w:r w:rsidRPr="003B0FAD">
              <w:rPr>
                <w:rFonts w:ascii="Times New Roman" w:hAnsi="Times New Roman" w:cs="Times New Roman"/>
                <w:color w:val="FF0000"/>
                <w:sz w:val="21"/>
                <w:szCs w:val="21"/>
                <w:shd w:val="clear" w:color="auto" w:fill="FFFFFF"/>
              </w:rPr>
              <w:t>VAR_ALY</w:t>
            </w:r>
          </w:p>
        </w:tc>
      </w:tr>
      <w:tr w:rsidR="00FC7C41" w14:paraId="06D921F5" w14:textId="77777777" w:rsidTr="002678F2">
        <w:trPr>
          <w:trHeight w:val="244"/>
        </w:trPr>
        <w:tc>
          <w:tcPr>
            <w:tcW w:w="1394" w:type="pct"/>
          </w:tcPr>
          <w:p w14:paraId="20682A70" w14:textId="77777777" w:rsidR="00FC7C41" w:rsidRDefault="00FC7C41" w:rsidP="00FC7C41">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Turnaround Time</w:t>
            </w:r>
          </w:p>
        </w:tc>
        <w:tc>
          <w:tcPr>
            <w:tcW w:w="3606" w:type="pct"/>
          </w:tcPr>
          <w:p w14:paraId="5730D145" w14:textId="5F10B7F3" w:rsidR="00FC7C41" w:rsidRPr="00C30923" w:rsidRDefault="00FC7C41" w:rsidP="00FC7C41">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color w:val="000000" w:themeColor="text1"/>
                <w:sz w:val="21"/>
                <w:szCs w:val="21"/>
                <w:shd w:val="clear" w:color="auto" w:fill="FFFFFF"/>
              </w:rPr>
              <w:t>working</w:t>
            </w:r>
            <w:r w:rsidRPr="00593B21">
              <w:rPr>
                <w:rFonts w:ascii="Times New Roman" w:hAnsi="Times New Roman" w:cs="Times New Roman"/>
                <w:color w:val="000000" w:themeColor="text1"/>
                <w:sz w:val="21"/>
                <w:szCs w:val="21"/>
                <w:shd w:val="clear" w:color="auto" w:fill="FFFFFF"/>
              </w:rPr>
              <w:t xml:space="preserve"> </w:t>
            </w:r>
            <w:r w:rsidRPr="00B62897">
              <w:rPr>
                <w:rFonts w:ascii="Times New Roman" w:hAnsi="Times New Roman" w:cs="Times New Roman"/>
                <w:color w:val="000000" w:themeColor="text1"/>
                <w:sz w:val="21"/>
                <w:szCs w:val="21"/>
                <w:shd w:val="clear" w:color="auto" w:fill="FFFFFF"/>
              </w:rPr>
              <w:t xml:space="preserve">days starting after we receive the </w:t>
            </w:r>
            <w:r w:rsidRPr="00B62897">
              <w:rPr>
                <w:rFonts w:ascii="Times New Roman" w:eastAsia="FZYaoTi" w:hAnsi="Times New Roman" w:cs="Times New Roman"/>
                <w:color w:val="000000" w:themeColor="text1"/>
                <w:sz w:val="21"/>
                <w:szCs w:val="21"/>
                <w:shd w:val="clear" w:color="auto" w:fill="FFFFFF"/>
              </w:rPr>
              <w:t>library preparation confirmation from client</w:t>
            </w:r>
          </w:p>
        </w:tc>
      </w:tr>
    </w:tbl>
    <w:p w14:paraId="7060D9FC" w14:textId="77777777" w:rsidR="009B004B" w:rsidRPr="00990442" w:rsidRDefault="009B004B" w:rsidP="009B004B">
      <w:pPr>
        <w:pStyle w:val="ListParagraph"/>
        <w:numPr>
          <w:ilvl w:val="0"/>
          <w:numId w:val="5"/>
        </w:numPr>
        <w:rPr>
          <w:rFonts w:ascii="Times New Roman" w:hAnsi="Times New Roman" w:cs="Times New Roman"/>
          <w:color w:val="000000" w:themeColor="text1"/>
          <w:sz w:val="21"/>
          <w:szCs w:val="21"/>
          <w:shd w:val="clear" w:color="auto" w:fill="FFFFFF"/>
        </w:rPr>
      </w:pPr>
      <w:r w:rsidRPr="00990442">
        <w:rPr>
          <w:rFonts w:ascii="Times New Roman" w:hAnsi="Times New Roman" w:cs="Times New Roman"/>
          <w:color w:val="000000" w:themeColor="text1"/>
          <w:sz w:val="21"/>
          <w:szCs w:val="21"/>
          <w:shd w:val="clear" w:color="auto" w:fill="FFFFFF"/>
        </w:rPr>
        <w:t>Sample Requirements</w:t>
      </w:r>
    </w:p>
    <w:tbl>
      <w:tblPr>
        <w:tblStyle w:val="TableGrid"/>
        <w:tblW w:w="5000" w:type="pct"/>
        <w:jc w:val="center"/>
        <w:tblLayout w:type="fixed"/>
        <w:tblLook w:val="04A0" w:firstRow="1" w:lastRow="0" w:firstColumn="1" w:lastColumn="0" w:noHBand="0" w:noVBand="1"/>
      </w:tblPr>
      <w:tblGrid>
        <w:gridCol w:w="867"/>
        <w:gridCol w:w="1296"/>
        <w:gridCol w:w="952"/>
        <w:gridCol w:w="1133"/>
        <w:gridCol w:w="1278"/>
        <w:gridCol w:w="1273"/>
        <w:gridCol w:w="1497"/>
      </w:tblGrid>
      <w:tr w:rsidR="00716647" w:rsidRPr="002678F2" w14:paraId="5BEB999D" w14:textId="77777777" w:rsidTr="005D32F3">
        <w:trPr>
          <w:trHeight w:val="20"/>
          <w:jc w:val="center"/>
        </w:trPr>
        <w:tc>
          <w:tcPr>
            <w:tcW w:w="523" w:type="pct"/>
            <w:vAlign w:val="center"/>
          </w:tcPr>
          <w:p w14:paraId="4E9795C0" w14:textId="77777777" w:rsidR="009674C4" w:rsidRPr="002678F2" w:rsidRDefault="009674C4" w:rsidP="009B004B">
            <w:pPr>
              <w:spacing w:line="276" w:lineRule="auto"/>
              <w:jc w:val="center"/>
              <w:rPr>
                <w:sz w:val="18"/>
                <w:szCs w:val="18"/>
              </w:rPr>
            </w:pPr>
            <w:r w:rsidRPr="002678F2">
              <w:rPr>
                <w:rFonts w:hint="eastAsia"/>
                <w:sz w:val="18"/>
                <w:szCs w:val="18"/>
              </w:rPr>
              <w:t>S</w:t>
            </w:r>
            <w:r w:rsidRPr="002678F2">
              <w:rPr>
                <w:sz w:val="18"/>
                <w:szCs w:val="18"/>
              </w:rPr>
              <w:t>ample Type</w:t>
            </w:r>
          </w:p>
        </w:tc>
        <w:tc>
          <w:tcPr>
            <w:tcW w:w="781" w:type="pct"/>
            <w:vAlign w:val="center"/>
          </w:tcPr>
          <w:p w14:paraId="2858D4AC" w14:textId="77777777" w:rsidR="009674C4" w:rsidRPr="002678F2" w:rsidRDefault="009674C4" w:rsidP="009B004B">
            <w:pPr>
              <w:spacing w:line="276" w:lineRule="auto"/>
              <w:jc w:val="center"/>
              <w:rPr>
                <w:sz w:val="18"/>
                <w:szCs w:val="18"/>
              </w:rPr>
            </w:pPr>
            <w:r w:rsidRPr="002678F2">
              <w:rPr>
                <w:rFonts w:hint="eastAsia"/>
                <w:sz w:val="18"/>
                <w:szCs w:val="18"/>
              </w:rPr>
              <w:t>Remarks</w:t>
            </w:r>
          </w:p>
        </w:tc>
        <w:tc>
          <w:tcPr>
            <w:tcW w:w="574" w:type="pct"/>
            <w:vAlign w:val="center"/>
          </w:tcPr>
          <w:p w14:paraId="1F131922" w14:textId="64460C63" w:rsidR="009674C4" w:rsidRPr="002678F2" w:rsidRDefault="009674C4" w:rsidP="002678F2">
            <w:pPr>
              <w:spacing w:line="276" w:lineRule="auto"/>
              <w:jc w:val="center"/>
              <w:rPr>
                <w:sz w:val="18"/>
                <w:szCs w:val="18"/>
              </w:rPr>
            </w:pPr>
            <w:r w:rsidRPr="002678F2">
              <w:rPr>
                <w:rFonts w:hint="eastAsia"/>
                <w:sz w:val="18"/>
                <w:szCs w:val="18"/>
              </w:rPr>
              <w:t>Amount</w:t>
            </w:r>
          </w:p>
        </w:tc>
        <w:tc>
          <w:tcPr>
            <w:tcW w:w="683" w:type="pct"/>
          </w:tcPr>
          <w:p w14:paraId="530DE90D" w14:textId="5A13135D" w:rsidR="009674C4" w:rsidRPr="002678F2" w:rsidRDefault="009674C4" w:rsidP="009B004B">
            <w:pPr>
              <w:spacing w:line="276" w:lineRule="auto"/>
              <w:jc w:val="center"/>
              <w:rPr>
                <w:sz w:val="18"/>
                <w:szCs w:val="18"/>
              </w:rPr>
            </w:pPr>
            <w:r>
              <w:rPr>
                <w:sz w:val="18"/>
                <w:szCs w:val="18"/>
              </w:rPr>
              <w:t>RIN</w:t>
            </w:r>
          </w:p>
        </w:tc>
        <w:tc>
          <w:tcPr>
            <w:tcW w:w="770" w:type="pct"/>
          </w:tcPr>
          <w:p w14:paraId="33B5C366" w14:textId="1667BD5B" w:rsidR="009674C4" w:rsidRPr="002678F2" w:rsidRDefault="009674C4" w:rsidP="009B004B">
            <w:pPr>
              <w:spacing w:line="276" w:lineRule="auto"/>
              <w:jc w:val="center"/>
              <w:rPr>
                <w:sz w:val="18"/>
                <w:szCs w:val="18"/>
              </w:rPr>
            </w:pPr>
            <w:r>
              <w:rPr>
                <w:rFonts w:hint="eastAsia"/>
                <w:sz w:val="18"/>
                <w:szCs w:val="18"/>
              </w:rPr>
              <w:t>P</w:t>
            </w:r>
            <w:r>
              <w:rPr>
                <w:sz w:val="18"/>
                <w:szCs w:val="18"/>
              </w:rPr>
              <w:t>eaks</w:t>
            </w:r>
          </w:p>
        </w:tc>
        <w:tc>
          <w:tcPr>
            <w:tcW w:w="767" w:type="pct"/>
            <w:vAlign w:val="center"/>
          </w:tcPr>
          <w:p w14:paraId="3AB7ECF7" w14:textId="61F29E74" w:rsidR="009674C4" w:rsidRPr="002678F2" w:rsidRDefault="009674C4" w:rsidP="009B004B">
            <w:pPr>
              <w:spacing w:line="276" w:lineRule="auto"/>
              <w:jc w:val="center"/>
              <w:rPr>
                <w:sz w:val="18"/>
                <w:szCs w:val="18"/>
              </w:rPr>
            </w:pPr>
            <w:r w:rsidRPr="002678F2">
              <w:rPr>
                <w:rFonts w:hint="eastAsia"/>
                <w:sz w:val="18"/>
                <w:szCs w:val="18"/>
              </w:rPr>
              <w:t>Concentration</w:t>
            </w:r>
          </w:p>
        </w:tc>
        <w:tc>
          <w:tcPr>
            <w:tcW w:w="902" w:type="pct"/>
            <w:vAlign w:val="center"/>
          </w:tcPr>
          <w:p w14:paraId="3D0AA1BD" w14:textId="77777777" w:rsidR="009674C4" w:rsidRPr="002678F2" w:rsidRDefault="009674C4" w:rsidP="009B004B">
            <w:pPr>
              <w:spacing w:line="276" w:lineRule="auto"/>
              <w:jc w:val="center"/>
              <w:rPr>
                <w:sz w:val="18"/>
                <w:szCs w:val="18"/>
              </w:rPr>
            </w:pPr>
            <w:r w:rsidRPr="002678F2">
              <w:rPr>
                <w:rFonts w:hint="eastAsia"/>
                <w:sz w:val="18"/>
                <w:szCs w:val="18"/>
              </w:rPr>
              <w:t>P</w:t>
            </w:r>
            <w:r w:rsidRPr="002678F2">
              <w:rPr>
                <w:sz w:val="18"/>
                <w:szCs w:val="18"/>
              </w:rPr>
              <w:t>urity</w:t>
            </w:r>
          </w:p>
        </w:tc>
      </w:tr>
      <w:tr w:rsidR="005D32F3" w:rsidRPr="002678F2" w14:paraId="3B3C1873" w14:textId="77777777" w:rsidTr="005D32F3">
        <w:trPr>
          <w:trHeight w:val="20"/>
          <w:jc w:val="center"/>
        </w:trPr>
        <w:tc>
          <w:tcPr>
            <w:tcW w:w="523" w:type="pct"/>
            <w:vMerge w:val="restart"/>
            <w:vAlign w:val="center"/>
          </w:tcPr>
          <w:p w14:paraId="78710096" w14:textId="4F1C95BB" w:rsidR="009674C4" w:rsidRPr="002678F2" w:rsidRDefault="009674C4" w:rsidP="00266DAD">
            <w:pPr>
              <w:spacing w:line="276" w:lineRule="auto"/>
              <w:jc w:val="center"/>
              <w:rPr>
                <w:sz w:val="18"/>
                <w:szCs w:val="18"/>
              </w:rPr>
            </w:pPr>
            <w:r w:rsidRPr="002678F2">
              <w:rPr>
                <w:rFonts w:hint="eastAsia"/>
                <w:sz w:val="18"/>
                <w:szCs w:val="18"/>
              </w:rPr>
              <w:t>Enriched</w:t>
            </w:r>
            <w:r w:rsidRPr="002678F2">
              <w:rPr>
                <w:sz w:val="18"/>
                <w:szCs w:val="18"/>
              </w:rPr>
              <w:t xml:space="preserve"> </w:t>
            </w:r>
            <w:r>
              <w:rPr>
                <w:sz w:val="18"/>
                <w:szCs w:val="18"/>
              </w:rPr>
              <w:t>R</w:t>
            </w:r>
            <w:r w:rsidRPr="002678F2">
              <w:rPr>
                <w:rFonts w:hint="eastAsia"/>
                <w:sz w:val="18"/>
                <w:szCs w:val="18"/>
              </w:rPr>
              <w:t>NA Sample</w:t>
            </w:r>
          </w:p>
        </w:tc>
        <w:tc>
          <w:tcPr>
            <w:tcW w:w="781" w:type="pct"/>
            <w:vAlign w:val="center"/>
          </w:tcPr>
          <w:p w14:paraId="2230718E" w14:textId="77777777" w:rsidR="009674C4" w:rsidRPr="002678F2" w:rsidRDefault="009674C4" w:rsidP="00266DAD">
            <w:pPr>
              <w:spacing w:line="276" w:lineRule="auto"/>
              <w:jc w:val="center"/>
              <w:rPr>
                <w:sz w:val="18"/>
                <w:szCs w:val="18"/>
              </w:rPr>
            </w:pPr>
            <w:r w:rsidRPr="002678F2">
              <w:rPr>
                <w:rFonts w:hint="eastAsia"/>
                <w:sz w:val="18"/>
                <w:szCs w:val="18"/>
              </w:rPr>
              <w:t>Strongly Recommended</w:t>
            </w:r>
          </w:p>
        </w:tc>
        <w:tc>
          <w:tcPr>
            <w:tcW w:w="574" w:type="pct"/>
            <w:vAlign w:val="center"/>
          </w:tcPr>
          <w:p w14:paraId="37812030" w14:textId="1F6DE0D5" w:rsidR="009674C4" w:rsidRPr="002678F2" w:rsidRDefault="009674C4" w:rsidP="00266DAD">
            <w:pPr>
              <w:spacing w:line="276" w:lineRule="auto"/>
              <w:jc w:val="center"/>
              <w:rPr>
                <w:sz w:val="18"/>
                <w:szCs w:val="18"/>
              </w:rPr>
            </w:pPr>
            <w:r w:rsidRPr="002678F2">
              <w:rPr>
                <w:rFonts w:ascii="SimSun" w:hAnsi="SimSun" w:hint="eastAsia"/>
                <w:sz w:val="18"/>
                <w:szCs w:val="18"/>
              </w:rPr>
              <w:t>≥</w:t>
            </w:r>
            <w:r>
              <w:rPr>
                <w:rFonts w:hint="eastAsia"/>
                <w:sz w:val="18"/>
                <w:szCs w:val="18"/>
              </w:rPr>
              <w:t>1</w:t>
            </w:r>
            <w:r>
              <w:rPr>
                <w:sz w:val="18"/>
                <w:szCs w:val="18"/>
              </w:rPr>
              <w:t>5</w:t>
            </w:r>
            <w:r w:rsidRPr="002678F2">
              <w:rPr>
                <w:rFonts w:hint="eastAsia"/>
                <w:sz w:val="18"/>
                <w:szCs w:val="18"/>
              </w:rPr>
              <w:t xml:space="preserve">0 </w:t>
            </w:r>
            <w:r w:rsidRPr="002678F2">
              <w:rPr>
                <w:sz w:val="18"/>
                <w:szCs w:val="18"/>
              </w:rPr>
              <w:t>ng</w:t>
            </w:r>
          </w:p>
        </w:tc>
        <w:tc>
          <w:tcPr>
            <w:tcW w:w="683" w:type="pct"/>
            <w:vAlign w:val="center"/>
          </w:tcPr>
          <w:p w14:paraId="35C4B198" w14:textId="77777777" w:rsidR="009674C4" w:rsidRPr="000A2BD2" w:rsidRDefault="009674C4" w:rsidP="00266DAD">
            <w:pPr>
              <w:jc w:val="left"/>
              <w:rPr>
                <w:rFonts w:eastAsia="DengXian"/>
                <w:color w:val="000000"/>
                <w:kern w:val="0"/>
                <w:sz w:val="18"/>
                <w:szCs w:val="18"/>
                <w:highlight w:val="yellow"/>
              </w:rPr>
            </w:pPr>
            <w:r w:rsidRPr="000A2BD2">
              <w:rPr>
                <w:rFonts w:eastAsia="DengXian"/>
                <w:color w:val="000000"/>
                <w:kern w:val="0"/>
                <w:sz w:val="18"/>
                <w:szCs w:val="18"/>
                <w:highlight w:val="yellow"/>
              </w:rPr>
              <w:t>≥8 (</w:t>
            </w:r>
            <w:r w:rsidRPr="000A2BD2">
              <w:rPr>
                <w:rFonts w:eastAsia="DengXian" w:hint="eastAsia"/>
                <w:color w:val="000000"/>
                <w:kern w:val="0"/>
                <w:sz w:val="18"/>
                <w:szCs w:val="18"/>
                <w:highlight w:val="yellow"/>
              </w:rPr>
              <w:t>Animal</w:t>
            </w:r>
            <w:r w:rsidRPr="000A2BD2">
              <w:rPr>
                <w:rFonts w:eastAsia="DengXian"/>
                <w:color w:val="000000"/>
                <w:kern w:val="0"/>
                <w:sz w:val="18"/>
                <w:szCs w:val="18"/>
                <w:highlight w:val="yellow"/>
              </w:rPr>
              <w:t>)</w:t>
            </w:r>
          </w:p>
          <w:p w14:paraId="733738EE" w14:textId="55DDF2DA" w:rsidR="009674C4" w:rsidRPr="00771AD0" w:rsidRDefault="009674C4" w:rsidP="00266DAD">
            <w:pPr>
              <w:spacing w:line="276" w:lineRule="auto"/>
              <w:jc w:val="center"/>
              <w:rPr>
                <w:color w:val="FF0000"/>
                <w:sz w:val="18"/>
                <w:szCs w:val="18"/>
              </w:rPr>
            </w:pPr>
            <w:r w:rsidRPr="000A2BD2">
              <w:rPr>
                <w:rFonts w:eastAsia="DengXian"/>
                <w:color w:val="000000"/>
                <w:kern w:val="0"/>
                <w:sz w:val="18"/>
                <w:szCs w:val="18"/>
                <w:highlight w:val="yellow"/>
              </w:rPr>
              <w:t>≥7 (Plant</w:t>
            </w:r>
            <w:r>
              <w:rPr>
                <w:rFonts w:eastAsia="DengXian" w:hint="eastAsia"/>
                <w:color w:val="000000"/>
                <w:kern w:val="0"/>
                <w:sz w:val="18"/>
                <w:szCs w:val="18"/>
                <w:highlight w:val="yellow"/>
              </w:rPr>
              <w:t>,</w:t>
            </w:r>
            <w:r>
              <w:rPr>
                <w:rFonts w:eastAsia="DengXian"/>
                <w:color w:val="000000"/>
                <w:kern w:val="0"/>
                <w:sz w:val="18"/>
                <w:szCs w:val="18"/>
                <w:highlight w:val="yellow"/>
              </w:rPr>
              <w:t xml:space="preserve"> F</w:t>
            </w:r>
            <w:r>
              <w:rPr>
                <w:rFonts w:eastAsia="DengXian" w:hint="eastAsia"/>
                <w:color w:val="000000"/>
                <w:kern w:val="0"/>
                <w:sz w:val="18"/>
                <w:szCs w:val="18"/>
                <w:highlight w:val="yellow"/>
              </w:rPr>
              <w:t>ungi</w:t>
            </w:r>
            <w:r w:rsidRPr="000A2BD2">
              <w:rPr>
                <w:rFonts w:eastAsia="DengXian"/>
                <w:color w:val="000000"/>
                <w:kern w:val="0"/>
                <w:sz w:val="18"/>
                <w:szCs w:val="18"/>
                <w:highlight w:val="yellow"/>
              </w:rPr>
              <w:t>)</w:t>
            </w:r>
          </w:p>
        </w:tc>
        <w:tc>
          <w:tcPr>
            <w:tcW w:w="770" w:type="pct"/>
            <w:vMerge w:val="restart"/>
          </w:tcPr>
          <w:p w14:paraId="67F8852F" w14:textId="1A963768" w:rsidR="009674C4" w:rsidRPr="00771AD0" w:rsidRDefault="00716647" w:rsidP="00266DAD">
            <w:pPr>
              <w:spacing w:line="276" w:lineRule="auto"/>
              <w:jc w:val="center"/>
              <w:rPr>
                <w:color w:val="FF0000"/>
                <w:sz w:val="18"/>
                <w:szCs w:val="18"/>
              </w:rPr>
            </w:pPr>
            <w:r>
              <w:rPr>
                <w:color w:val="FF0000"/>
                <w:sz w:val="18"/>
                <w:szCs w:val="18"/>
              </w:rPr>
              <w:t>For unfragmented sample, t</w:t>
            </w:r>
            <w:r w:rsidR="009674C4">
              <w:rPr>
                <w:color w:val="FF0000"/>
                <w:sz w:val="18"/>
                <w:szCs w:val="18"/>
              </w:rPr>
              <w:t>he main peak should be higher that 1000bp</w:t>
            </w:r>
            <w:r w:rsidR="005D32F3">
              <w:rPr>
                <w:color w:val="FF0000"/>
                <w:sz w:val="18"/>
                <w:szCs w:val="18"/>
              </w:rPr>
              <w:t>.</w:t>
            </w:r>
          </w:p>
        </w:tc>
        <w:tc>
          <w:tcPr>
            <w:tcW w:w="767" w:type="pct"/>
            <w:vMerge w:val="restart"/>
            <w:vAlign w:val="center"/>
          </w:tcPr>
          <w:p w14:paraId="6FBCB5D7" w14:textId="25586444" w:rsidR="009674C4" w:rsidRPr="002678F2" w:rsidRDefault="009674C4" w:rsidP="00266DAD">
            <w:pPr>
              <w:spacing w:line="276" w:lineRule="auto"/>
              <w:jc w:val="center"/>
              <w:rPr>
                <w:sz w:val="18"/>
                <w:szCs w:val="18"/>
              </w:rPr>
            </w:pPr>
            <w:r w:rsidRPr="00771AD0">
              <w:rPr>
                <w:color w:val="FF0000"/>
                <w:sz w:val="18"/>
                <w:szCs w:val="18"/>
              </w:rPr>
              <w:t>≥</w:t>
            </w:r>
            <w:r w:rsidR="005D32F3">
              <w:rPr>
                <w:color w:val="FF0000"/>
                <w:sz w:val="18"/>
                <w:szCs w:val="18"/>
              </w:rPr>
              <w:t xml:space="preserve">5 </w:t>
            </w:r>
            <w:r w:rsidRPr="00771AD0">
              <w:rPr>
                <w:color w:val="FF0000"/>
                <w:sz w:val="18"/>
                <w:szCs w:val="18"/>
              </w:rPr>
              <w:t>ng/</w:t>
            </w:r>
            <w:r w:rsidRPr="00771AD0">
              <w:rPr>
                <w:color w:val="FF0000"/>
                <w:sz w:val="18"/>
                <w:szCs w:val="18"/>
                <w:shd w:val="clear" w:color="auto" w:fill="FFFFFF"/>
              </w:rPr>
              <w:t>μL</w:t>
            </w:r>
          </w:p>
        </w:tc>
        <w:tc>
          <w:tcPr>
            <w:tcW w:w="902" w:type="pct"/>
            <w:vMerge w:val="restart"/>
            <w:vAlign w:val="center"/>
          </w:tcPr>
          <w:p w14:paraId="73B89EEA" w14:textId="77777777" w:rsidR="009674C4" w:rsidRDefault="009674C4" w:rsidP="00266DAD">
            <w:pPr>
              <w:spacing w:line="276" w:lineRule="auto"/>
              <w:jc w:val="center"/>
              <w:rPr>
                <w:sz w:val="18"/>
                <w:szCs w:val="18"/>
              </w:rPr>
            </w:pPr>
            <w:r w:rsidRPr="00266DAD">
              <w:rPr>
                <w:sz w:val="18"/>
                <w:szCs w:val="18"/>
              </w:rPr>
              <w:t>OD260/280&gt;2.0</w:t>
            </w:r>
          </w:p>
          <w:p w14:paraId="452BC547" w14:textId="606A93E5" w:rsidR="009674C4" w:rsidRPr="002678F2" w:rsidRDefault="009674C4" w:rsidP="00266DAD">
            <w:pPr>
              <w:spacing w:line="276" w:lineRule="auto"/>
              <w:jc w:val="center"/>
              <w:rPr>
                <w:sz w:val="18"/>
                <w:szCs w:val="18"/>
              </w:rPr>
            </w:pPr>
            <w:r w:rsidRPr="002678F2">
              <w:rPr>
                <w:rFonts w:hint="eastAsia"/>
                <w:sz w:val="18"/>
                <w:szCs w:val="18"/>
              </w:rPr>
              <w:t xml:space="preserve">No </w:t>
            </w:r>
            <w:r w:rsidRPr="002678F2">
              <w:rPr>
                <w:sz w:val="18"/>
                <w:szCs w:val="18"/>
              </w:rPr>
              <w:t xml:space="preserve">degradation or </w:t>
            </w:r>
            <w:r>
              <w:rPr>
                <w:sz w:val="18"/>
                <w:szCs w:val="18"/>
              </w:rPr>
              <w:t>D</w:t>
            </w:r>
            <w:r w:rsidRPr="002678F2">
              <w:rPr>
                <w:sz w:val="18"/>
                <w:szCs w:val="18"/>
              </w:rPr>
              <w:t>NA</w:t>
            </w:r>
            <w:r w:rsidRPr="002678F2">
              <w:rPr>
                <w:rFonts w:hint="eastAsia"/>
                <w:sz w:val="18"/>
                <w:szCs w:val="18"/>
              </w:rPr>
              <w:t xml:space="preserve"> </w:t>
            </w:r>
            <w:r w:rsidRPr="002678F2">
              <w:rPr>
                <w:sz w:val="18"/>
                <w:szCs w:val="18"/>
              </w:rPr>
              <w:t>contamination</w:t>
            </w:r>
          </w:p>
        </w:tc>
      </w:tr>
      <w:tr w:rsidR="005D32F3" w:rsidRPr="00333610" w14:paraId="6E5C6A4C" w14:textId="77777777" w:rsidTr="005D32F3">
        <w:trPr>
          <w:trHeight w:val="20"/>
          <w:jc w:val="center"/>
        </w:trPr>
        <w:tc>
          <w:tcPr>
            <w:tcW w:w="523" w:type="pct"/>
            <w:vMerge/>
            <w:vAlign w:val="center"/>
          </w:tcPr>
          <w:p w14:paraId="0B82BD96" w14:textId="77777777" w:rsidR="009674C4" w:rsidRPr="002678F2" w:rsidRDefault="009674C4" w:rsidP="00266DAD">
            <w:pPr>
              <w:spacing w:line="276" w:lineRule="auto"/>
              <w:jc w:val="center"/>
              <w:rPr>
                <w:sz w:val="18"/>
                <w:szCs w:val="18"/>
              </w:rPr>
            </w:pPr>
          </w:p>
        </w:tc>
        <w:tc>
          <w:tcPr>
            <w:tcW w:w="781" w:type="pct"/>
            <w:vAlign w:val="center"/>
          </w:tcPr>
          <w:p w14:paraId="31AFD3BF" w14:textId="77777777" w:rsidR="009674C4" w:rsidRPr="002678F2" w:rsidRDefault="009674C4" w:rsidP="00266DAD">
            <w:pPr>
              <w:spacing w:line="276" w:lineRule="auto"/>
              <w:jc w:val="center"/>
              <w:rPr>
                <w:sz w:val="18"/>
                <w:szCs w:val="18"/>
              </w:rPr>
            </w:pPr>
            <w:r w:rsidRPr="002678F2">
              <w:rPr>
                <w:rFonts w:hint="eastAsia"/>
                <w:sz w:val="18"/>
                <w:szCs w:val="18"/>
              </w:rPr>
              <w:t>Required</w:t>
            </w:r>
          </w:p>
        </w:tc>
        <w:tc>
          <w:tcPr>
            <w:tcW w:w="574" w:type="pct"/>
            <w:vAlign w:val="center"/>
          </w:tcPr>
          <w:p w14:paraId="415B1F54" w14:textId="3C4631D4" w:rsidR="009674C4" w:rsidRPr="002678F2" w:rsidRDefault="009674C4" w:rsidP="00266DAD">
            <w:pPr>
              <w:spacing w:line="276" w:lineRule="auto"/>
              <w:jc w:val="center"/>
              <w:rPr>
                <w:sz w:val="18"/>
                <w:szCs w:val="18"/>
              </w:rPr>
            </w:pPr>
            <w:r w:rsidRPr="00771AD0">
              <w:rPr>
                <w:rFonts w:ascii="SimSun" w:hAnsi="SimSun" w:hint="eastAsia"/>
                <w:color w:val="FF0000"/>
                <w:sz w:val="18"/>
                <w:szCs w:val="18"/>
              </w:rPr>
              <w:t>≥</w:t>
            </w:r>
            <w:r>
              <w:rPr>
                <w:rFonts w:hint="eastAsia"/>
                <w:color w:val="FF0000"/>
                <w:sz w:val="18"/>
                <w:szCs w:val="18"/>
              </w:rPr>
              <w:t>1</w:t>
            </w:r>
            <w:r>
              <w:rPr>
                <w:color w:val="FF0000"/>
                <w:sz w:val="18"/>
                <w:szCs w:val="18"/>
              </w:rPr>
              <w:t>00</w:t>
            </w:r>
            <w:r w:rsidRPr="00771AD0">
              <w:rPr>
                <w:rFonts w:hint="eastAsia"/>
                <w:color w:val="FF0000"/>
                <w:sz w:val="18"/>
                <w:szCs w:val="18"/>
              </w:rPr>
              <w:t xml:space="preserve"> </w:t>
            </w:r>
            <w:r w:rsidRPr="00771AD0">
              <w:rPr>
                <w:color w:val="FF0000"/>
                <w:sz w:val="18"/>
                <w:szCs w:val="18"/>
              </w:rPr>
              <w:t>ng</w:t>
            </w:r>
          </w:p>
        </w:tc>
        <w:tc>
          <w:tcPr>
            <w:tcW w:w="683" w:type="pct"/>
            <w:vAlign w:val="center"/>
          </w:tcPr>
          <w:p w14:paraId="3EBA7ED8" w14:textId="77777777" w:rsidR="009674C4" w:rsidRPr="000A2BD2" w:rsidRDefault="009674C4" w:rsidP="00266DAD">
            <w:pPr>
              <w:jc w:val="left"/>
              <w:rPr>
                <w:rFonts w:eastAsia="DengXian"/>
                <w:color w:val="000000"/>
                <w:kern w:val="0"/>
                <w:sz w:val="18"/>
                <w:szCs w:val="18"/>
                <w:highlight w:val="yellow"/>
              </w:rPr>
            </w:pPr>
            <w:r w:rsidRPr="000A2BD2">
              <w:rPr>
                <w:rFonts w:eastAsia="DengXian"/>
                <w:color w:val="000000"/>
                <w:kern w:val="0"/>
                <w:sz w:val="18"/>
                <w:szCs w:val="18"/>
                <w:highlight w:val="yellow"/>
              </w:rPr>
              <w:t>≥8 (</w:t>
            </w:r>
            <w:r w:rsidRPr="000A2BD2">
              <w:rPr>
                <w:rFonts w:eastAsia="DengXian" w:hint="eastAsia"/>
                <w:color w:val="000000"/>
                <w:kern w:val="0"/>
                <w:sz w:val="18"/>
                <w:szCs w:val="18"/>
                <w:highlight w:val="yellow"/>
              </w:rPr>
              <w:t>Animal</w:t>
            </w:r>
            <w:r w:rsidRPr="000A2BD2">
              <w:rPr>
                <w:rFonts w:eastAsia="DengXian"/>
                <w:color w:val="000000"/>
                <w:kern w:val="0"/>
                <w:sz w:val="18"/>
                <w:szCs w:val="18"/>
                <w:highlight w:val="yellow"/>
              </w:rPr>
              <w:t>)</w:t>
            </w:r>
          </w:p>
          <w:p w14:paraId="375B8A29" w14:textId="13A102A8" w:rsidR="009674C4" w:rsidRPr="00333610" w:rsidRDefault="009674C4" w:rsidP="00266DAD">
            <w:pPr>
              <w:spacing w:line="276" w:lineRule="auto"/>
              <w:rPr>
                <w:sz w:val="18"/>
                <w:szCs w:val="18"/>
              </w:rPr>
            </w:pPr>
            <w:r w:rsidRPr="000A2BD2">
              <w:rPr>
                <w:rFonts w:eastAsia="DengXian"/>
                <w:color w:val="000000"/>
                <w:kern w:val="0"/>
                <w:sz w:val="18"/>
                <w:szCs w:val="18"/>
                <w:highlight w:val="yellow"/>
              </w:rPr>
              <w:t>≥7 (Plant</w:t>
            </w:r>
            <w:r>
              <w:rPr>
                <w:rFonts w:eastAsia="DengXian" w:hint="eastAsia"/>
                <w:color w:val="000000"/>
                <w:kern w:val="0"/>
                <w:sz w:val="18"/>
                <w:szCs w:val="18"/>
                <w:highlight w:val="yellow"/>
              </w:rPr>
              <w:t>,</w:t>
            </w:r>
            <w:r>
              <w:rPr>
                <w:rFonts w:eastAsia="DengXian"/>
                <w:color w:val="000000"/>
                <w:kern w:val="0"/>
                <w:sz w:val="18"/>
                <w:szCs w:val="18"/>
                <w:highlight w:val="yellow"/>
              </w:rPr>
              <w:t xml:space="preserve"> F</w:t>
            </w:r>
            <w:r>
              <w:rPr>
                <w:rFonts w:eastAsia="DengXian" w:hint="eastAsia"/>
                <w:color w:val="000000"/>
                <w:kern w:val="0"/>
                <w:sz w:val="18"/>
                <w:szCs w:val="18"/>
                <w:highlight w:val="yellow"/>
              </w:rPr>
              <w:t>ungi</w:t>
            </w:r>
            <w:r w:rsidRPr="000A2BD2">
              <w:rPr>
                <w:rFonts w:eastAsia="DengXian"/>
                <w:color w:val="000000"/>
                <w:kern w:val="0"/>
                <w:sz w:val="18"/>
                <w:szCs w:val="18"/>
                <w:highlight w:val="yellow"/>
              </w:rPr>
              <w:t>)</w:t>
            </w:r>
          </w:p>
        </w:tc>
        <w:tc>
          <w:tcPr>
            <w:tcW w:w="770" w:type="pct"/>
            <w:vMerge/>
          </w:tcPr>
          <w:p w14:paraId="3CE0C030" w14:textId="77777777" w:rsidR="009674C4" w:rsidRPr="00333610" w:rsidRDefault="009674C4" w:rsidP="00266DAD">
            <w:pPr>
              <w:spacing w:line="276" w:lineRule="auto"/>
              <w:rPr>
                <w:sz w:val="18"/>
                <w:szCs w:val="18"/>
              </w:rPr>
            </w:pPr>
          </w:p>
        </w:tc>
        <w:tc>
          <w:tcPr>
            <w:tcW w:w="767" w:type="pct"/>
            <w:vMerge/>
          </w:tcPr>
          <w:p w14:paraId="5FCDA44B" w14:textId="441A37F0" w:rsidR="009674C4" w:rsidRPr="00333610" w:rsidRDefault="009674C4" w:rsidP="00266DAD">
            <w:pPr>
              <w:spacing w:line="276" w:lineRule="auto"/>
              <w:rPr>
                <w:sz w:val="18"/>
                <w:szCs w:val="18"/>
              </w:rPr>
            </w:pPr>
          </w:p>
        </w:tc>
        <w:tc>
          <w:tcPr>
            <w:tcW w:w="902" w:type="pct"/>
            <w:vMerge/>
          </w:tcPr>
          <w:p w14:paraId="6F24B5B9" w14:textId="77777777" w:rsidR="009674C4" w:rsidRPr="00333610" w:rsidRDefault="009674C4" w:rsidP="00266DAD">
            <w:pPr>
              <w:spacing w:line="276" w:lineRule="auto"/>
              <w:rPr>
                <w:sz w:val="18"/>
                <w:szCs w:val="18"/>
              </w:rPr>
            </w:pPr>
          </w:p>
        </w:tc>
      </w:tr>
    </w:tbl>
    <w:p w14:paraId="53BC2BDE" w14:textId="77777777" w:rsidR="00036748" w:rsidRPr="00154F68" w:rsidRDefault="00036748" w:rsidP="00036748">
      <w:pPr>
        <w:rPr>
          <w:color w:val="000000" w:themeColor="text1"/>
          <w:szCs w:val="21"/>
          <w:shd w:val="clear" w:color="auto" w:fill="FFFFFF"/>
        </w:rPr>
      </w:pPr>
      <w:bookmarkStart w:id="0" w:name="_GoBack"/>
      <w:bookmarkEnd w:id="0"/>
    </w:p>
    <w:sectPr w:rsidR="00036748" w:rsidRPr="00154F68"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2BC69" w14:textId="77777777" w:rsidR="003D4B61" w:rsidRDefault="003D4B61" w:rsidP="00634D04">
      <w:r>
        <w:separator/>
      </w:r>
    </w:p>
  </w:endnote>
  <w:endnote w:type="continuationSeparator" w:id="0">
    <w:p w14:paraId="509E2080" w14:textId="77777777" w:rsidR="003D4B61" w:rsidRDefault="003D4B6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ACA07" w14:textId="77777777" w:rsidR="003D4B61" w:rsidRDefault="003D4B61" w:rsidP="00634D04">
      <w:r>
        <w:separator/>
      </w:r>
    </w:p>
  </w:footnote>
  <w:footnote w:type="continuationSeparator" w:id="0">
    <w:p w14:paraId="2E8E1E9E" w14:textId="77777777" w:rsidR="003D4B61" w:rsidRDefault="003D4B6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3D4B61"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54F68"/>
    <w:rsid w:val="00163665"/>
    <w:rsid w:val="00165C37"/>
    <w:rsid w:val="0019459E"/>
    <w:rsid w:val="001B333C"/>
    <w:rsid w:val="001D361C"/>
    <w:rsid w:val="001F2812"/>
    <w:rsid w:val="001F5A55"/>
    <w:rsid w:val="00202FBF"/>
    <w:rsid w:val="00210CA8"/>
    <w:rsid w:val="00234F11"/>
    <w:rsid w:val="002458E5"/>
    <w:rsid w:val="00253D76"/>
    <w:rsid w:val="002557FE"/>
    <w:rsid w:val="00260881"/>
    <w:rsid w:val="0026633A"/>
    <w:rsid w:val="00266A28"/>
    <w:rsid w:val="00266DAD"/>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1A21"/>
    <w:rsid w:val="003935FB"/>
    <w:rsid w:val="003A71DB"/>
    <w:rsid w:val="003B0C19"/>
    <w:rsid w:val="003C1C92"/>
    <w:rsid w:val="003C6638"/>
    <w:rsid w:val="003C6D40"/>
    <w:rsid w:val="003D4B61"/>
    <w:rsid w:val="003D66BE"/>
    <w:rsid w:val="003F20BC"/>
    <w:rsid w:val="003F6715"/>
    <w:rsid w:val="00404DA5"/>
    <w:rsid w:val="00413EBB"/>
    <w:rsid w:val="00423605"/>
    <w:rsid w:val="00423A1D"/>
    <w:rsid w:val="00434E7D"/>
    <w:rsid w:val="004731F9"/>
    <w:rsid w:val="00486795"/>
    <w:rsid w:val="004875D0"/>
    <w:rsid w:val="004D03A5"/>
    <w:rsid w:val="004D220E"/>
    <w:rsid w:val="004D50EA"/>
    <w:rsid w:val="004D63AE"/>
    <w:rsid w:val="004E44D1"/>
    <w:rsid w:val="004E6A1A"/>
    <w:rsid w:val="004F5FD7"/>
    <w:rsid w:val="005015DF"/>
    <w:rsid w:val="00510E2D"/>
    <w:rsid w:val="00536E15"/>
    <w:rsid w:val="00545FFB"/>
    <w:rsid w:val="005522D1"/>
    <w:rsid w:val="00567FB6"/>
    <w:rsid w:val="00575748"/>
    <w:rsid w:val="00580CD4"/>
    <w:rsid w:val="00592DFF"/>
    <w:rsid w:val="005A0F19"/>
    <w:rsid w:val="005B2DBE"/>
    <w:rsid w:val="005D0D19"/>
    <w:rsid w:val="005D1B2B"/>
    <w:rsid w:val="005D32F3"/>
    <w:rsid w:val="005D7C16"/>
    <w:rsid w:val="00614EC2"/>
    <w:rsid w:val="0061554B"/>
    <w:rsid w:val="00620E16"/>
    <w:rsid w:val="0062370A"/>
    <w:rsid w:val="00623EB7"/>
    <w:rsid w:val="00634D04"/>
    <w:rsid w:val="006541F9"/>
    <w:rsid w:val="00657A44"/>
    <w:rsid w:val="00663249"/>
    <w:rsid w:val="00665D07"/>
    <w:rsid w:val="00696814"/>
    <w:rsid w:val="006C69B5"/>
    <w:rsid w:val="006C799F"/>
    <w:rsid w:val="006D1B53"/>
    <w:rsid w:val="006D23CE"/>
    <w:rsid w:val="006D2A33"/>
    <w:rsid w:val="006D78CB"/>
    <w:rsid w:val="006E0593"/>
    <w:rsid w:val="006E07C0"/>
    <w:rsid w:val="006E3989"/>
    <w:rsid w:val="00710A92"/>
    <w:rsid w:val="00712162"/>
    <w:rsid w:val="00712ED1"/>
    <w:rsid w:val="00716647"/>
    <w:rsid w:val="00730C2D"/>
    <w:rsid w:val="0073241C"/>
    <w:rsid w:val="00745BBA"/>
    <w:rsid w:val="00755224"/>
    <w:rsid w:val="00757310"/>
    <w:rsid w:val="0075769A"/>
    <w:rsid w:val="00771AD0"/>
    <w:rsid w:val="007729FE"/>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1DC7"/>
    <w:rsid w:val="00853879"/>
    <w:rsid w:val="00874981"/>
    <w:rsid w:val="00885DF8"/>
    <w:rsid w:val="008958CA"/>
    <w:rsid w:val="008E3D9C"/>
    <w:rsid w:val="008E7876"/>
    <w:rsid w:val="008F1F9F"/>
    <w:rsid w:val="00941602"/>
    <w:rsid w:val="0094340E"/>
    <w:rsid w:val="009674C4"/>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352"/>
    <w:rsid w:val="00C11CEC"/>
    <w:rsid w:val="00C23E4E"/>
    <w:rsid w:val="00C31A1A"/>
    <w:rsid w:val="00C339FD"/>
    <w:rsid w:val="00C4736E"/>
    <w:rsid w:val="00C7123F"/>
    <w:rsid w:val="00C733F4"/>
    <w:rsid w:val="00C823E0"/>
    <w:rsid w:val="00C87073"/>
    <w:rsid w:val="00C92C8F"/>
    <w:rsid w:val="00C9385E"/>
    <w:rsid w:val="00CA0721"/>
    <w:rsid w:val="00CA543F"/>
    <w:rsid w:val="00CA6115"/>
    <w:rsid w:val="00CB6EBB"/>
    <w:rsid w:val="00CC358A"/>
    <w:rsid w:val="00CC4C58"/>
    <w:rsid w:val="00D125F9"/>
    <w:rsid w:val="00D14479"/>
    <w:rsid w:val="00D175E8"/>
    <w:rsid w:val="00D2447A"/>
    <w:rsid w:val="00D41539"/>
    <w:rsid w:val="00D52F12"/>
    <w:rsid w:val="00D53353"/>
    <w:rsid w:val="00D555A6"/>
    <w:rsid w:val="00D7754F"/>
    <w:rsid w:val="00DA05DF"/>
    <w:rsid w:val="00DA4426"/>
    <w:rsid w:val="00DC1EE9"/>
    <w:rsid w:val="00DC38EE"/>
    <w:rsid w:val="00DD03B6"/>
    <w:rsid w:val="00DD5EE7"/>
    <w:rsid w:val="00DF2A9D"/>
    <w:rsid w:val="00E06322"/>
    <w:rsid w:val="00E3292D"/>
    <w:rsid w:val="00E50F5B"/>
    <w:rsid w:val="00E533B8"/>
    <w:rsid w:val="00E55F7A"/>
    <w:rsid w:val="00E66EA6"/>
    <w:rsid w:val="00E66ED5"/>
    <w:rsid w:val="00E863AE"/>
    <w:rsid w:val="00E93D5E"/>
    <w:rsid w:val="00EA4351"/>
    <w:rsid w:val="00EA4714"/>
    <w:rsid w:val="00EA689B"/>
    <w:rsid w:val="00EA715B"/>
    <w:rsid w:val="00EB2D8F"/>
    <w:rsid w:val="00EB504E"/>
    <w:rsid w:val="00EC2BB4"/>
    <w:rsid w:val="00EC6C80"/>
    <w:rsid w:val="00EC761A"/>
    <w:rsid w:val="00EE47D3"/>
    <w:rsid w:val="00F07D0D"/>
    <w:rsid w:val="00F103F4"/>
    <w:rsid w:val="00F121F9"/>
    <w:rsid w:val="00F20F37"/>
    <w:rsid w:val="00F3252B"/>
    <w:rsid w:val="00F37C7A"/>
    <w:rsid w:val="00F429DC"/>
    <w:rsid w:val="00F628C2"/>
    <w:rsid w:val="00F80FA2"/>
    <w:rsid w:val="00FB29CD"/>
    <w:rsid w:val="00FC29F4"/>
    <w:rsid w:val="00FC7C41"/>
    <w:rsid w:val="00FC7E06"/>
    <w:rsid w:val="00FF0FD3"/>
    <w:rsid w:val="271DA171"/>
    <w:rsid w:val="780D8D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49057004">
      <w:bodyDiv w:val="1"/>
      <w:marLeft w:val="0"/>
      <w:marRight w:val="0"/>
      <w:marTop w:val="0"/>
      <w:marBottom w:val="0"/>
      <w:divBdr>
        <w:top w:val="none" w:sz="0" w:space="0" w:color="auto"/>
        <w:left w:val="none" w:sz="0" w:space="0" w:color="auto"/>
        <w:bottom w:val="none" w:sz="0" w:space="0" w:color="auto"/>
        <w:right w:val="none" w:sz="0" w:space="0" w:color="auto"/>
      </w:divBdr>
      <w:divsChild>
        <w:div w:id="375931528">
          <w:marLeft w:val="0"/>
          <w:marRight w:val="0"/>
          <w:marTop w:val="0"/>
          <w:marBottom w:val="0"/>
          <w:divBdr>
            <w:top w:val="none" w:sz="0" w:space="0" w:color="auto"/>
            <w:left w:val="none" w:sz="0" w:space="0" w:color="auto"/>
            <w:bottom w:val="none" w:sz="0" w:space="0" w:color="auto"/>
            <w:right w:val="none" w:sz="0" w:space="0" w:color="auto"/>
          </w:divBdr>
        </w:div>
      </w:divsChild>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EE6DA-9711-453E-B0EC-9D4CE360D7B9}">
  <ds:schemaRefs>
    <ds:schemaRef ds:uri="http://schemas.microsoft.com/sharepoint/v3/contenttype/forms"/>
  </ds:schemaRefs>
</ds:datastoreItem>
</file>

<file path=customXml/itemProps2.xml><?xml version="1.0" encoding="utf-8"?>
<ds:datastoreItem xmlns:ds="http://schemas.openxmlformats.org/officeDocument/2006/customXml" ds:itemID="{7C0CB992-7E70-402C-BF2E-2AC23036B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585C5-AEE0-435B-91BD-7AFC6C1315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AE9F3F-47B2-463E-804C-7972764E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13</cp:revision>
  <cp:lastPrinted>2014-11-11T06:20:00Z</cp:lastPrinted>
  <dcterms:created xsi:type="dcterms:W3CDTF">2019-07-19T02:17:00Z</dcterms:created>
  <dcterms:modified xsi:type="dcterms:W3CDTF">2020-01-30T07:11:00Z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