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F959" w14:textId="70B45F5B" w:rsidR="00F36227" w:rsidRDefault="00097727" w:rsidP="00F36227">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p w14:paraId="52BB163A" w14:textId="7710F266" w:rsidR="0078050F" w:rsidRPr="00602086" w:rsidRDefault="00126355" w:rsidP="00126355">
      <w:pPr>
        <w:rPr>
          <w:color w:val="000000" w:themeColor="text1"/>
          <w:szCs w:val="21"/>
          <w:shd w:val="clear" w:color="auto" w:fill="FFFFFF"/>
        </w:rPr>
      </w:pPr>
      <w:r w:rsidRPr="003B0C99">
        <w:rPr>
          <w:color w:val="000000" w:themeColor="text1"/>
          <w:szCs w:val="21"/>
          <w:highlight w:val="yellow"/>
          <w:shd w:val="clear" w:color="auto" w:fill="FFFFFF"/>
        </w:rPr>
        <w:t xml:space="preserve">1.1 </w:t>
      </w:r>
      <w:r w:rsidR="003B0C99" w:rsidRPr="003B0C99">
        <w:rPr>
          <w:color w:val="000000" w:themeColor="text1"/>
          <w:szCs w:val="21"/>
          <w:highlight w:val="yellow"/>
          <w:shd w:val="clear" w:color="auto" w:fill="FFFFFF"/>
        </w:rPr>
        <w:t>Data Quality Control</w:t>
      </w:r>
    </w:p>
    <w:p w14:paraId="4FD08703" w14:textId="77777777" w:rsidR="00126355" w:rsidRDefault="00126355" w:rsidP="0078050F">
      <w:pPr>
        <w:rPr>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78050F" w:rsidRPr="003A7AE1" w14:paraId="3F3FD20C" w14:textId="77777777" w:rsidTr="00602086">
        <w:trPr>
          <w:trHeight w:val="289"/>
          <w:jc w:val="center"/>
        </w:trPr>
        <w:tc>
          <w:tcPr>
            <w:tcW w:w="5000" w:type="pct"/>
            <w:shd w:val="clear" w:color="auto" w:fill="8CBF60"/>
            <w:hideMark/>
          </w:tcPr>
          <w:p w14:paraId="088DB405" w14:textId="42243F80" w:rsidR="0078050F" w:rsidRPr="003A7AE1" w:rsidRDefault="0078050F" w:rsidP="0078050F">
            <w:pPr>
              <w:jc w:val="center"/>
              <w:rPr>
                <w:b/>
                <w:szCs w:val="21"/>
              </w:rPr>
            </w:pPr>
            <w:r w:rsidRPr="00602086">
              <w:rPr>
                <w:b/>
                <w:szCs w:val="21"/>
                <w:highlight w:val="yellow"/>
              </w:rPr>
              <w:t>Data Quality Control</w:t>
            </w:r>
          </w:p>
        </w:tc>
      </w:tr>
      <w:tr w:rsidR="0078050F" w:rsidRPr="00C35259" w14:paraId="119B016B" w14:textId="77777777" w:rsidTr="00602086">
        <w:trPr>
          <w:trHeight w:val="289"/>
          <w:jc w:val="center"/>
        </w:trPr>
        <w:tc>
          <w:tcPr>
            <w:tcW w:w="5000" w:type="pct"/>
            <w:hideMark/>
          </w:tcPr>
          <w:p w14:paraId="0E69F2F9" w14:textId="03A4DE75" w:rsidR="0078050F" w:rsidRPr="00C35259" w:rsidRDefault="0078050F" w:rsidP="0078050F">
            <w:pPr>
              <w:jc w:val="left"/>
              <w:rPr>
                <w:szCs w:val="21"/>
              </w:rPr>
            </w:pPr>
            <w:r w:rsidRPr="00C35259">
              <w:rPr>
                <w:szCs w:val="21"/>
              </w:rPr>
              <w:t xml:space="preserve">Distribution of </w:t>
            </w:r>
            <w:r>
              <w:rPr>
                <w:szCs w:val="21"/>
              </w:rPr>
              <w:t>S</w:t>
            </w:r>
            <w:r w:rsidRPr="00C35259">
              <w:rPr>
                <w:szCs w:val="21"/>
              </w:rPr>
              <w:t>equencing Error Rate</w:t>
            </w:r>
          </w:p>
        </w:tc>
      </w:tr>
      <w:tr w:rsidR="0078050F" w:rsidRPr="00C35259" w14:paraId="39F75C19" w14:textId="77777777" w:rsidTr="00602086">
        <w:trPr>
          <w:trHeight w:val="289"/>
          <w:jc w:val="center"/>
        </w:trPr>
        <w:tc>
          <w:tcPr>
            <w:tcW w:w="5000" w:type="pct"/>
            <w:hideMark/>
          </w:tcPr>
          <w:p w14:paraId="029219E0" w14:textId="25AA69FE" w:rsidR="0078050F" w:rsidRPr="00C35259" w:rsidRDefault="0078050F" w:rsidP="0078050F">
            <w:pPr>
              <w:jc w:val="left"/>
              <w:rPr>
                <w:szCs w:val="21"/>
              </w:rPr>
            </w:pPr>
            <w:r w:rsidRPr="00C35259">
              <w:rPr>
                <w:szCs w:val="21"/>
              </w:rPr>
              <w:t>Distribution of A/T/G/C Base</w:t>
            </w:r>
            <w:r>
              <w:rPr>
                <w:szCs w:val="21"/>
              </w:rPr>
              <w:t xml:space="preserve"> Content</w:t>
            </w:r>
          </w:p>
        </w:tc>
      </w:tr>
      <w:tr w:rsidR="0078050F" w:rsidRPr="00C35259" w14:paraId="2E468AC3" w14:textId="77777777" w:rsidTr="00602086">
        <w:trPr>
          <w:trHeight w:val="289"/>
          <w:jc w:val="center"/>
        </w:trPr>
        <w:tc>
          <w:tcPr>
            <w:tcW w:w="5000" w:type="pct"/>
            <w:hideMark/>
          </w:tcPr>
          <w:p w14:paraId="61950DFD" w14:textId="15B0E96D" w:rsidR="0078050F" w:rsidRPr="00C35259" w:rsidRDefault="0078050F" w:rsidP="0078050F">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Pr="000A5D57">
              <w:rPr>
                <w:szCs w:val="21"/>
              </w:rPr>
              <w:t>nucleotides</w:t>
            </w:r>
            <w:r w:rsidR="00154E61">
              <w:rPr>
                <w:szCs w:val="21"/>
              </w:rPr>
              <w:t xml:space="preserve"> of </w:t>
            </w:r>
            <w:r w:rsidR="00154E61" w:rsidRPr="000A5D57">
              <w:rPr>
                <w:szCs w:val="21"/>
              </w:rPr>
              <w:t>low quality</w:t>
            </w:r>
          </w:p>
        </w:tc>
      </w:tr>
      <w:tr w:rsidR="0078050F" w:rsidRPr="00C35259" w14:paraId="15F5992E" w14:textId="77777777" w:rsidTr="00602086">
        <w:trPr>
          <w:trHeight w:val="289"/>
          <w:jc w:val="center"/>
        </w:trPr>
        <w:tc>
          <w:tcPr>
            <w:tcW w:w="5000" w:type="pct"/>
          </w:tcPr>
          <w:p w14:paraId="63462B3C" w14:textId="370F25C5" w:rsidR="0078050F" w:rsidRPr="00C35259" w:rsidRDefault="0078050F" w:rsidP="0078050F">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6A1EBD3C" w14:textId="2E1C7739" w:rsidR="0078050F" w:rsidRDefault="0078050F" w:rsidP="0078050F">
      <w:pPr>
        <w:rPr>
          <w:color w:val="000000" w:themeColor="text1"/>
          <w:szCs w:val="21"/>
          <w:shd w:val="clear" w:color="auto" w:fill="FFFFFF"/>
        </w:rPr>
      </w:pPr>
    </w:p>
    <w:p w14:paraId="15168FBD" w14:textId="773F031D" w:rsidR="004A4F3A" w:rsidRDefault="004A4F3A" w:rsidP="0078050F">
      <w:pPr>
        <w:rPr>
          <w:color w:val="000000" w:themeColor="text1"/>
          <w:szCs w:val="21"/>
          <w:shd w:val="clear" w:color="auto" w:fill="FFFFFF"/>
        </w:rPr>
      </w:pPr>
      <w:r>
        <w:rPr>
          <w:rFonts w:hint="eastAsia"/>
          <w:color w:val="000000" w:themeColor="text1"/>
          <w:szCs w:val="21"/>
          <w:shd w:val="clear" w:color="auto" w:fill="FFFFFF"/>
        </w:rPr>
        <w:t>1</w:t>
      </w:r>
      <w:r>
        <w:rPr>
          <w:color w:val="000000" w:themeColor="text1"/>
          <w:szCs w:val="21"/>
          <w:shd w:val="clear" w:color="auto" w:fill="FFFFFF"/>
        </w:rPr>
        <w:t xml:space="preserve">.2 </w:t>
      </w:r>
      <w:r w:rsidRPr="00E30999">
        <w:rPr>
          <w:color w:val="000000" w:themeColor="text1"/>
          <w:szCs w:val="21"/>
          <w:highlight w:val="yellow"/>
          <w:shd w:val="clear" w:color="auto" w:fill="FFFFFF"/>
        </w:rPr>
        <w:t>M</w:t>
      </w:r>
      <w:r w:rsidRPr="00E30999">
        <w:rPr>
          <w:rFonts w:hint="eastAsia"/>
          <w:color w:val="000000" w:themeColor="text1"/>
          <w:szCs w:val="21"/>
          <w:highlight w:val="yellow"/>
          <w:shd w:val="clear" w:color="auto" w:fill="FFFFFF"/>
        </w:rPr>
        <w:t>ap</w:t>
      </w:r>
      <w:r w:rsidRPr="00E30999">
        <w:rPr>
          <w:color w:val="000000" w:themeColor="text1"/>
          <w:szCs w:val="21"/>
          <w:highlight w:val="yellow"/>
          <w:shd w:val="clear" w:color="auto" w:fill="FFFFFF"/>
        </w:rPr>
        <w:t>ping Only Analysis</w:t>
      </w:r>
    </w:p>
    <w:p w14:paraId="47676D90" w14:textId="77777777" w:rsidR="004A4F3A" w:rsidRDefault="004A4F3A" w:rsidP="0078050F">
      <w:pPr>
        <w:rPr>
          <w:rFonts w:hint="eastAsia"/>
          <w:color w:val="000000" w:themeColor="text1"/>
          <w:szCs w:val="21"/>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126355" w:rsidRPr="003A7AE1" w14:paraId="123C5662" w14:textId="77777777" w:rsidTr="00602086">
        <w:trPr>
          <w:trHeight w:val="289"/>
          <w:jc w:val="center"/>
        </w:trPr>
        <w:tc>
          <w:tcPr>
            <w:tcW w:w="5000" w:type="pct"/>
            <w:shd w:val="clear" w:color="auto" w:fill="8CBF60"/>
            <w:hideMark/>
          </w:tcPr>
          <w:p w14:paraId="4A78AAC6" w14:textId="0C533F00" w:rsidR="00126355" w:rsidRPr="003A7AE1" w:rsidRDefault="00126355" w:rsidP="00636F80">
            <w:pPr>
              <w:jc w:val="center"/>
              <w:rPr>
                <w:b/>
                <w:szCs w:val="21"/>
              </w:rPr>
            </w:pPr>
            <w:r w:rsidRPr="00602086">
              <w:rPr>
                <w:b/>
                <w:szCs w:val="21"/>
                <w:highlight w:val="yellow"/>
              </w:rPr>
              <w:t>Only Mapping Analysis</w:t>
            </w:r>
          </w:p>
        </w:tc>
      </w:tr>
      <w:tr w:rsidR="00126355" w:rsidRPr="00C35259" w14:paraId="37C01902" w14:textId="77777777" w:rsidTr="00636F80">
        <w:trPr>
          <w:trHeight w:val="289"/>
          <w:jc w:val="center"/>
        </w:trPr>
        <w:tc>
          <w:tcPr>
            <w:tcW w:w="5000" w:type="pct"/>
            <w:hideMark/>
          </w:tcPr>
          <w:p w14:paraId="3BC60BD1" w14:textId="77777777" w:rsidR="00126355" w:rsidRPr="00C35259" w:rsidRDefault="00126355" w:rsidP="00636F80">
            <w:pPr>
              <w:jc w:val="left"/>
              <w:rPr>
                <w:szCs w:val="21"/>
              </w:rPr>
            </w:pPr>
            <w:r w:rsidRPr="00C35259">
              <w:rPr>
                <w:szCs w:val="21"/>
              </w:rPr>
              <w:t xml:space="preserve">Distribution of </w:t>
            </w:r>
            <w:r>
              <w:rPr>
                <w:szCs w:val="21"/>
              </w:rPr>
              <w:t>S</w:t>
            </w:r>
            <w:r w:rsidRPr="00C35259">
              <w:rPr>
                <w:szCs w:val="21"/>
              </w:rPr>
              <w:t>equencing Error Rate</w:t>
            </w:r>
          </w:p>
        </w:tc>
      </w:tr>
      <w:tr w:rsidR="00126355" w:rsidRPr="00C35259" w14:paraId="2054CCAE" w14:textId="77777777" w:rsidTr="00636F80">
        <w:trPr>
          <w:trHeight w:val="289"/>
          <w:jc w:val="center"/>
        </w:trPr>
        <w:tc>
          <w:tcPr>
            <w:tcW w:w="5000" w:type="pct"/>
            <w:hideMark/>
          </w:tcPr>
          <w:p w14:paraId="5F8C3186" w14:textId="77777777" w:rsidR="00126355" w:rsidRPr="00C35259" w:rsidRDefault="00126355" w:rsidP="00636F80">
            <w:pPr>
              <w:jc w:val="left"/>
              <w:rPr>
                <w:szCs w:val="21"/>
              </w:rPr>
            </w:pPr>
            <w:r w:rsidRPr="00C35259">
              <w:rPr>
                <w:szCs w:val="21"/>
              </w:rPr>
              <w:t>Distribution of A/T/G/C Base</w:t>
            </w:r>
            <w:r>
              <w:rPr>
                <w:szCs w:val="21"/>
              </w:rPr>
              <w:t xml:space="preserve"> Content</w:t>
            </w:r>
          </w:p>
        </w:tc>
      </w:tr>
      <w:tr w:rsidR="00126355" w:rsidRPr="00C35259" w14:paraId="6D04B242" w14:textId="77777777" w:rsidTr="00636F80">
        <w:trPr>
          <w:trHeight w:val="289"/>
          <w:jc w:val="center"/>
        </w:trPr>
        <w:tc>
          <w:tcPr>
            <w:tcW w:w="5000" w:type="pct"/>
            <w:hideMark/>
          </w:tcPr>
          <w:p w14:paraId="703CF15F" w14:textId="7CA6FD4B" w:rsidR="00126355" w:rsidRPr="00C35259" w:rsidRDefault="00126355" w:rsidP="00636F80">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r w:rsidR="00931F5C" w:rsidRPr="000A5D57">
              <w:rPr>
                <w:szCs w:val="21"/>
              </w:rPr>
              <w:t>nucleotides</w:t>
            </w:r>
            <w:r w:rsidR="00931F5C">
              <w:rPr>
                <w:szCs w:val="21"/>
              </w:rPr>
              <w:t xml:space="preserve"> of </w:t>
            </w:r>
            <w:r w:rsidR="00931F5C" w:rsidRPr="000A5D57">
              <w:rPr>
                <w:szCs w:val="21"/>
              </w:rPr>
              <w:t>low quality</w:t>
            </w:r>
          </w:p>
        </w:tc>
      </w:tr>
      <w:tr w:rsidR="00126355" w:rsidRPr="00C35259" w14:paraId="35FA5099" w14:textId="77777777" w:rsidTr="00636F80">
        <w:trPr>
          <w:trHeight w:val="289"/>
          <w:jc w:val="center"/>
        </w:trPr>
        <w:tc>
          <w:tcPr>
            <w:tcW w:w="5000" w:type="pct"/>
          </w:tcPr>
          <w:p w14:paraId="68378BC7" w14:textId="77777777" w:rsidR="00126355" w:rsidRPr="00C35259" w:rsidRDefault="00126355" w:rsidP="00636F80">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r w:rsidR="00126355" w:rsidRPr="00C35259" w14:paraId="240F367C" w14:textId="77777777" w:rsidTr="00636F80">
        <w:trPr>
          <w:trHeight w:val="289"/>
          <w:jc w:val="center"/>
        </w:trPr>
        <w:tc>
          <w:tcPr>
            <w:tcW w:w="5000" w:type="pct"/>
            <w:hideMark/>
          </w:tcPr>
          <w:p w14:paraId="2FECA1FD" w14:textId="75C407D7" w:rsidR="00126355" w:rsidRPr="00C35259" w:rsidRDefault="00126355" w:rsidP="00126355">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bl>
    <w:p w14:paraId="6D20E6E5" w14:textId="77777777" w:rsidR="00126355" w:rsidRDefault="00126355" w:rsidP="0078050F">
      <w:pPr>
        <w:rPr>
          <w:color w:val="000000" w:themeColor="text1"/>
          <w:szCs w:val="21"/>
          <w:highlight w:val="yellow"/>
          <w:shd w:val="clear" w:color="auto" w:fill="FFFFFF"/>
        </w:rPr>
      </w:pPr>
    </w:p>
    <w:p w14:paraId="494543D3" w14:textId="6404ECAC" w:rsidR="003935FB" w:rsidRPr="00F02104" w:rsidRDefault="006B77C5" w:rsidP="00FD5BE8">
      <w:pPr>
        <w:rPr>
          <w:szCs w:val="21"/>
        </w:rPr>
      </w:pPr>
      <w:bookmarkStart w:id="0" w:name="_GoBack"/>
      <w:bookmarkEnd w:id="0"/>
      <w:r w:rsidRPr="00F02104">
        <w:t>Note: there might be multiple Data Quality Control presented in the tables which does not mean repetition of quality control; regularly data quality control </w:t>
      </w:r>
      <w:proofErr w:type="gramStart"/>
      <w:r w:rsidRPr="00F02104">
        <w:t>is considered to be</w:t>
      </w:r>
      <w:proofErr w:type="gramEnd"/>
      <w:r w:rsidRPr="00F02104">
        <w:t> one-time required.</w:t>
      </w:r>
    </w:p>
    <w:sectPr w:rsidR="003935FB" w:rsidRPr="00F02104"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4CD8" w14:textId="77777777" w:rsidR="0002038A" w:rsidRDefault="0002038A" w:rsidP="00634D04">
      <w:r>
        <w:separator/>
      </w:r>
    </w:p>
  </w:endnote>
  <w:endnote w:type="continuationSeparator" w:id="0">
    <w:p w14:paraId="643460C9" w14:textId="77777777" w:rsidR="0002038A" w:rsidRDefault="0002038A"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A6B" w14:textId="77777777" w:rsidR="004457C0" w:rsidRPr="004457C0" w:rsidRDefault="004457C0" w:rsidP="004457C0">
    <w:pPr>
      <w:rPr>
        <w:b/>
        <w:color w:val="000000"/>
        <w:sz w:val="15"/>
        <w:szCs w:val="15"/>
        <w:shd w:val="clear" w:color="auto" w:fill="FFFFFF"/>
      </w:rPr>
    </w:pPr>
    <w:r w:rsidRPr="004457C0">
      <w:rPr>
        <w:b/>
        <w:color w:val="000000"/>
        <w:sz w:val="15"/>
        <w:szCs w:val="15"/>
        <w:shd w:val="clear" w:color="auto" w:fill="FFFFFF"/>
      </w:rPr>
      <w:t>NOVOGENE CORPORATION INC                                     8801 Folsom Blvd #290, Sacramento, CA 95826</w:t>
    </w:r>
  </w:p>
  <w:p w14:paraId="6D656005" w14:textId="77777777" w:rsidR="004B728B" w:rsidRDefault="004B72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6D9FD" w14:textId="77777777" w:rsidR="0002038A" w:rsidRDefault="0002038A" w:rsidP="00634D04">
      <w:r>
        <w:separator/>
      </w:r>
    </w:p>
  </w:footnote>
  <w:footnote w:type="continuationSeparator" w:id="0">
    <w:p w14:paraId="67083B74" w14:textId="77777777" w:rsidR="0002038A" w:rsidRDefault="0002038A"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4B728B" w:rsidRDefault="0002038A" w:rsidP="00AA0FEF">
    <w:pPr>
      <w:pStyle w:val="a3"/>
      <w:jc w:val="both"/>
    </w:pPr>
    <w:r>
      <w:rPr>
        <w:noProof/>
      </w:rPr>
      <w:pict w14:anchorId="69969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4B728B">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437D8C"/>
    <w:multiLevelType w:val="hybridMultilevel"/>
    <w:tmpl w:val="B66A7E50"/>
    <w:lvl w:ilvl="0" w:tplc="BC48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12C"/>
    <w:rsid w:val="00015FAF"/>
    <w:rsid w:val="0002038A"/>
    <w:rsid w:val="00021F61"/>
    <w:rsid w:val="0002343D"/>
    <w:rsid w:val="00026FF2"/>
    <w:rsid w:val="00044454"/>
    <w:rsid w:val="00053EAB"/>
    <w:rsid w:val="000558E1"/>
    <w:rsid w:val="000613FA"/>
    <w:rsid w:val="000633BA"/>
    <w:rsid w:val="00067BCE"/>
    <w:rsid w:val="00082B11"/>
    <w:rsid w:val="00091BFA"/>
    <w:rsid w:val="00092410"/>
    <w:rsid w:val="00097727"/>
    <w:rsid w:val="000A1E58"/>
    <w:rsid w:val="000A5D57"/>
    <w:rsid w:val="000C7708"/>
    <w:rsid w:val="000D1153"/>
    <w:rsid w:val="000D1866"/>
    <w:rsid w:val="00100A35"/>
    <w:rsid w:val="00102FB2"/>
    <w:rsid w:val="00111705"/>
    <w:rsid w:val="00113987"/>
    <w:rsid w:val="00126355"/>
    <w:rsid w:val="00126818"/>
    <w:rsid w:val="0013259F"/>
    <w:rsid w:val="00133A03"/>
    <w:rsid w:val="00143C47"/>
    <w:rsid w:val="00144B6C"/>
    <w:rsid w:val="00154E61"/>
    <w:rsid w:val="00160ABB"/>
    <w:rsid w:val="00162F1F"/>
    <w:rsid w:val="001725DA"/>
    <w:rsid w:val="0019459E"/>
    <w:rsid w:val="001A5D1A"/>
    <w:rsid w:val="001B333C"/>
    <w:rsid w:val="001B5AF4"/>
    <w:rsid w:val="001C18B4"/>
    <w:rsid w:val="001F2812"/>
    <w:rsid w:val="001F5A55"/>
    <w:rsid w:val="00202FBF"/>
    <w:rsid w:val="002063CC"/>
    <w:rsid w:val="002148A6"/>
    <w:rsid w:val="0023060F"/>
    <w:rsid w:val="00231210"/>
    <w:rsid w:val="00234F04"/>
    <w:rsid w:val="00234F11"/>
    <w:rsid w:val="00236698"/>
    <w:rsid w:val="002411C4"/>
    <w:rsid w:val="00244AE9"/>
    <w:rsid w:val="002458E5"/>
    <w:rsid w:val="0025167B"/>
    <w:rsid w:val="00254B91"/>
    <w:rsid w:val="00260881"/>
    <w:rsid w:val="002626AE"/>
    <w:rsid w:val="0026633A"/>
    <w:rsid w:val="002B564B"/>
    <w:rsid w:val="002B65C6"/>
    <w:rsid w:val="002C44B8"/>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0C99"/>
    <w:rsid w:val="003B5CA5"/>
    <w:rsid w:val="003C04AB"/>
    <w:rsid w:val="003C1B23"/>
    <w:rsid w:val="003C1C92"/>
    <w:rsid w:val="003C24B0"/>
    <w:rsid w:val="003C6638"/>
    <w:rsid w:val="003C6BFD"/>
    <w:rsid w:val="003C6D40"/>
    <w:rsid w:val="003D0462"/>
    <w:rsid w:val="003D4805"/>
    <w:rsid w:val="003D66BE"/>
    <w:rsid w:val="003E4621"/>
    <w:rsid w:val="003E7456"/>
    <w:rsid w:val="003F0ED1"/>
    <w:rsid w:val="003F20BC"/>
    <w:rsid w:val="00404DA5"/>
    <w:rsid w:val="004062FE"/>
    <w:rsid w:val="004123D7"/>
    <w:rsid w:val="00423A1D"/>
    <w:rsid w:val="00436E6B"/>
    <w:rsid w:val="004457C0"/>
    <w:rsid w:val="00454245"/>
    <w:rsid w:val="00454C28"/>
    <w:rsid w:val="004731F9"/>
    <w:rsid w:val="004809FA"/>
    <w:rsid w:val="00486795"/>
    <w:rsid w:val="004875D0"/>
    <w:rsid w:val="00487E4F"/>
    <w:rsid w:val="00495679"/>
    <w:rsid w:val="004A4F3A"/>
    <w:rsid w:val="004A5105"/>
    <w:rsid w:val="004B728B"/>
    <w:rsid w:val="004D03A5"/>
    <w:rsid w:val="004D220E"/>
    <w:rsid w:val="004D50EA"/>
    <w:rsid w:val="004F5FD7"/>
    <w:rsid w:val="005015DF"/>
    <w:rsid w:val="00510E2D"/>
    <w:rsid w:val="00515138"/>
    <w:rsid w:val="0052008D"/>
    <w:rsid w:val="00533322"/>
    <w:rsid w:val="00536E15"/>
    <w:rsid w:val="00537DBA"/>
    <w:rsid w:val="005522D1"/>
    <w:rsid w:val="005616BF"/>
    <w:rsid w:val="005630B2"/>
    <w:rsid w:val="00567FB6"/>
    <w:rsid w:val="00575748"/>
    <w:rsid w:val="00580CD4"/>
    <w:rsid w:val="00590588"/>
    <w:rsid w:val="005A127A"/>
    <w:rsid w:val="005B2DBE"/>
    <w:rsid w:val="005C795E"/>
    <w:rsid w:val="005D2FF5"/>
    <w:rsid w:val="005D7C16"/>
    <w:rsid w:val="005E455B"/>
    <w:rsid w:val="00602086"/>
    <w:rsid w:val="00603B08"/>
    <w:rsid w:val="00604B9D"/>
    <w:rsid w:val="0061554B"/>
    <w:rsid w:val="00626AED"/>
    <w:rsid w:val="00630C11"/>
    <w:rsid w:val="00634D04"/>
    <w:rsid w:val="00636F80"/>
    <w:rsid w:val="00636F9C"/>
    <w:rsid w:val="00647FA0"/>
    <w:rsid w:val="00656E6D"/>
    <w:rsid w:val="006614FE"/>
    <w:rsid w:val="00663249"/>
    <w:rsid w:val="00672F3C"/>
    <w:rsid w:val="00675F30"/>
    <w:rsid w:val="006764BB"/>
    <w:rsid w:val="0069478E"/>
    <w:rsid w:val="006A1B32"/>
    <w:rsid w:val="006A3814"/>
    <w:rsid w:val="006A7CF5"/>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27750"/>
    <w:rsid w:val="00730C2D"/>
    <w:rsid w:val="00736755"/>
    <w:rsid w:val="00755224"/>
    <w:rsid w:val="0075769A"/>
    <w:rsid w:val="00760B00"/>
    <w:rsid w:val="007802CC"/>
    <w:rsid w:val="0078050F"/>
    <w:rsid w:val="007814E1"/>
    <w:rsid w:val="00790BC4"/>
    <w:rsid w:val="0079796A"/>
    <w:rsid w:val="007A52FC"/>
    <w:rsid w:val="007A66FA"/>
    <w:rsid w:val="007C4685"/>
    <w:rsid w:val="007C4708"/>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E76D5"/>
    <w:rsid w:val="008F1F9F"/>
    <w:rsid w:val="008F5882"/>
    <w:rsid w:val="00905C59"/>
    <w:rsid w:val="009115EE"/>
    <w:rsid w:val="0091198D"/>
    <w:rsid w:val="009125D0"/>
    <w:rsid w:val="009222DA"/>
    <w:rsid w:val="00931F5C"/>
    <w:rsid w:val="00937058"/>
    <w:rsid w:val="00941602"/>
    <w:rsid w:val="00975845"/>
    <w:rsid w:val="0098669A"/>
    <w:rsid w:val="00995A72"/>
    <w:rsid w:val="009B15A3"/>
    <w:rsid w:val="009C3A40"/>
    <w:rsid w:val="009C4903"/>
    <w:rsid w:val="009C4A6F"/>
    <w:rsid w:val="009D0980"/>
    <w:rsid w:val="009D33F2"/>
    <w:rsid w:val="009D478F"/>
    <w:rsid w:val="009D4C5F"/>
    <w:rsid w:val="009D58BA"/>
    <w:rsid w:val="009E3DF5"/>
    <w:rsid w:val="009E68DA"/>
    <w:rsid w:val="00A13033"/>
    <w:rsid w:val="00A23FB3"/>
    <w:rsid w:val="00A26FD5"/>
    <w:rsid w:val="00A27ADF"/>
    <w:rsid w:val="00A329FD"/>
    <w:rsid w:val="00A34C9B"/>
    <w:rsid w:val="00A4303F"/>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C5687"/>
    <w:rsid w:val="00BE190D"/>
    <w:rsid w:val="00BF5C79"/>
    <w:rsid w:val="00BF6559"/>
    <w:rsid w:val="00BF7352"/>
    <w:rsid w:val="00C02B21"/>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C7730"/>
    <w:rsid w:val="00CD1CF2"/>
    <w:rsid w:val="00CF6DE2"/>
    <w:rsid w:val="00D0346C"/>
    <w:rsid w:val="00D0396F"/>
    <w:rsid w:val="00D10E39"/>
    <w:rsid w:val="00D123DA"/>
    <w:rsid w:val="00D175E8"/>
    <w:rsid w:val="00D23823"/>
    <w:rsid w:val="00D26805"/>
    <w:rsid w:val="00D41539"/>
    <w:rsid w:val="00D517C4"/>
    <w:rsid w:val="00D51954"/>
    <w:rsid w:val="00D52F12"/>
    <w:rsid w:val="00D555A6"/>
    <w:rsid w:val="00D700DC"/>
    <w:rsid w:val="00D8214E"/>
    <w:rsid w:val="00D9308C"/>
    <w:rsid w:val="00D953E7"/>
    <w:rsid w:val="00DA1AB2"/>
    <w:rsid w:val="00DA1F24"/>
    <w:rsid w:val="00DA4426"/>
    <w:rsid w:val="00DA6F4A"/>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2F1A"/>
    <w:rsid w:val="00EB36D5"/>
    <w:rsid w:val="00EC3DE7"/>
    <w:rsid w:val="00EC6C80"/>
    <w:rsid w:val="00ED05ED"/>
    <w:rsid w:val="00ED4B04"/>
    <w:rsid w:val="00ED65DB"/>
    <w:rsid w:val="00EE0E55"/>
    <w:rsid w:val="00F02104"/>
    <w:rsid w:val="00F050B1"/>
    <w:rsid w:val="00F07D0D"/>
    <w:rsid w:val="00F103F4"/>
    <w:rsid w:val="00F13E61"/>
    <w:rsid w:val="00F20694"/>
    <w:rsid w:val="00F36227"/>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 w:type="paragraph" w:customStyle="1" w:styleId="paragraph">
    <w:name w:val="paragraph"/>
    <w:basedOn w:val="a"/>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a0"/>
    <w:rsid w:val="006B224F"/>
  </w:style>
  <w:style w:type="character" w:customStyle="1" w:styleId="eop">
    <w:name w:val="eop"/>
    <w:basedOn w:val="a0"/>
    <w:rsid w:val="006B224F"/>
  </w:style>
  <w:style w:type="character" w:customStyle="1" w:styleId="spellingerror">
    <w:name w:val="spellingerror"/>
    <w:basedOn w:val="a0"/>
    <w:rsid w:val="006B224F"/>
  </w:style>
  <w:style w:type="character" w:customStyle="1" w:styleId="advancedproofingissue">
    <w:name w:val="advancedproofingissue"/>
    <w:basedOn w:val="a0"/>
    <w:rsid w:val="006B77C5"/>
  </w:style>
  <w:style w:type="table" w:styleId="3">
    <w:name w:val="Table Web 3"/>
    <w:basedOn w:val="a1"/>
    <w:uiPriority w:val="99"/>
    <w:rsid w:val="007814E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3">
    <w:name w:val="Table Theme"/>
    <w:basedOn w:val="a1"/>
    <w:uiPriority w:val="99"/>
    <w:rsid w:val="008E76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0453248">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3955B-9DFC-42B1-B0FD-9676F01E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61</cp:revision>
  <cp:lastPrinted>2018-11-15T00:19:00Z</cp:lastPrinted>
  <dcterms:created xsi:type="dcterms:W3CDTF">2018-12-07T18:54:00Z</dcterms:created>
  <dcterms:modified xsi:type="dcterms:W3CDTF">2020-04-03T08:17:00Z</dcterms:modified>
</cp:coreProperties>
</file>