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66ED1" w14:textId="0E665637" w:rsidR="009C1CFA" w:rsidRPr="005F71BD" w:rsidRDefault="005F71BD" w:rsidP="009C1CFA">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af0"/>
        <w:tblW w:w="5000" w:type="pct"/>
        <w:tblLook w:val="04A0" w:firstRow="1" w:lastRow="0" w:firstColumn="1" w:lastColumn="0" w:noHBand="0" w:noVBand="1"/>
      </w:tblPr>
      <w:tblGrid>
        <w:gridCol w:w="3539"/>
        <w:gridCol w:w="4757"/>
      </w:tblGrid>
      <w:tr w:rsidR="004C2993" w:rsidRPr="00CA64EB" w14:paraId="1EA027B4" w14:textId="77777777" w:rsidTr="00856B39">
        <w:trPr>
          <w:trHeight w:val="54"/>
        </w:trPr>
        <w:tc>
          <w:tcPr>
            <w:tcW w:w="5000" w:type="pct"/>
            <w:gridSpan w:val="2"/>
            <w:shd w:val="clear" w:color="auto" w:fill="8CBF60"/>
          </w:tcPr>
          <w:p w14:paraId="53D7F35D" w14:textId="77777777" w:rsidR="004C2993" w:rsidRPr="00CA64EB" w:rsidRDefault="004C2993" w:rsidP="00856B39">
            <w:pPr>
              <w:jc w:val="center"/>
              <w:rPr>
                <w:b/>
                <w:color w:val="000000"/>
                <w:szCs w:val="21"/>
              </w:rPr>
            </w:pPr>
            <w:r w:rsidRPr="00CC5E5E">
              <w:rPr>
                <w:b/>
                <w:i/>
                <w:iCs/>
                <w:szCs w:val="21"/>
              </w:rPr>
              <w:t>De novo</w:t>
            </w:r>
            <w:r>
              <w:rPr>
                <w:b/>
                <w:szCs w:val="21"/>
              </w:rPr>
              <w:t xml:space="preserve"> </w:t>
            </w:r>
            <w:r w:rsidRPr="00CA64EB">
              <w:rPr>
                <w:b/>
                <w:color w:val="000000"/>
                <w:szCs w:val="21"/>
              </w:rPr>
              <w:t xml:space="preserve">Standard </w:t>
            </w:r>
            <w:r w:rsidRPr="000A5D57">
              <w:rPr>
                <w:b/>
                <w:szCs w:val="21"/>
              </w:rPr>
              <w:t>Analysis</w:t>
            </w:r>
            <w:r w:rsidRPr="000A5D57">
              <w:rPr>
                <w:rFonts w:hint="eastAsia"/>
                <w:b/>
                <w:szCs w:val="21"/>
              </w:rPr>
              <w:t xml:space="preserve"> (</w:t>
            </w:r>
            <w:r w:rsidRPr="00CC5E5E">
              <w:rPr>
                <w:b/>
                <w:szCs w:val="21"/>
                <w:highlight w:val="yellow"/>
              </w:rPr>
              <w:t>Species with</w:t>
            </w:r>
            <w:r>
              <w:rPr>
                <w:b/>
                <w:szCs w:val="21"/>
                <w:highlight w:val="yellow"/>
              </w:rPr>
              <w:t>out</w:t>
            </w:r>
            <w:r w:rsidRPr="00CC5E5E">
              <w:rPr>
                <w:b/>
                <w:szCs w:val="21"/>
                <w:highlight w:val="yellow"/>
              </w:rPr>
              <w:t xml:space="preserve"> Reference</w:t>
            </w:r>
            <w:r>
              <w:rPr>
                <w:rFonts w:hint="eastAsia"/>
                <w:b/>
                <w:szCs w:val="21"/>
              </w:rPr>
              <w:t>)</w:t>
            </w:r>
          </w:p>
        </w:tc>
      </w:tr>
      <w:tr w:rsidR="004C2993" w:rsidRPr="009D478F" w14:paraId="41DF20D3" w14:textId="77777777" w:rsidTr="00856B39">
        <w:trPr>
          <w:trHeight w:val="320"/>
        </w:trPr>
        <w:tc>
          <w:tcPr>
            <w:tcW w:w="5000" w:type="pct"/>
            <w:gridSpan w:val="2"/>
          </w:tcPr>
          <w:p w14:paraId="011FF3F8" w14:textId="77777777" w:rsidR="004C2993" w:rsidRPr="009D478F" w:rsidRDefault="004C2993" w:rsidP="00856B39">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4C2993" w:rsidRPr="009D478F" w14:paraId="65356A70" w14:textId="77777777" w:rsidTr="00856B39">
        <w:trPr>
          <w:trHeight w:val="320"/>
        </w:trPr>
        <w:tc>
          <w:tcPr>
            <w:tcW w:w="5000" w:type="pct"/>
            <w:gridSpan w:val="2"/>
          </w:tcPr>
          <w:p w14:paraId="27FB0D2E" w14:textId="77777777" w:rsidR="004C2993" w:rsidRPr="009D478F" w:rsidRDefault="004C2993" w:rsidP="00856B39">
            <w:pPr>
              <w:jc w:val="left"/>
              <w:rPr>
                <w:szCs w:val="21"/>
              </w:rPr>
            </w:pPr>
            <w:r w:rsidRPr="00CC5E5E">
              <w:rPr>
                <w:i/>
                <w:iCs/>
                <w:szCs w:val="21"/>
              </w:rPr>
              <w:t>De novo</w:t>
            </w:r>
            <w:r w:rsidRPr="009D478F">
              <w:rPr>
                <w:szCs w:val="21"/>
              </w:rPr>
              <w:t xml:space="preserve"> Transcriptome Assembly</w:t>
            </w:r>
          </w:p>
        </w:tc>
      </w:tr>
      <w:tr w:rsidR="004C2993" w:rsidRPr="009D478F" w14:paraId="572320B7" w14:textId="77777777" w:rsidTr="00856B39">
        <w:trPr>
          <w:trHeight w:val="320"/>
        </w:trPr>
        <w:tc>
          <w:tcPr>
            <w:tcW w:w="5000" w:type="pct"/>
            <w:gridSpan w:val="2"/>
          </w:tcPr>
          <w:p w14:paraId="4D412487" w14:textId="77777777" w:rsidR="004C2993" w:rsidRPr="009D478F" w:rsidRDefault="004C2993" w:rsidP="00856B39">
            <w:pPr>
              <w:jc w:val="left"/>
              <w:rPr>
                <w:szCs w:val="21"/>
              </w:rPr>
            </w:pPr>
            <w:r w:rsidRPr="0078050F">
              <w:rPr>
                <w:szCs w:val="21"/>
              </w:rPr>
              <w:t xml:space="preserve">Gene </w:t>
            </w:r>
            <w:r>
              <w:rPr>
                <w:szCs w:val="21"/>
              </w:rPr>
              <w:t>Functional Annotation</w:t>
            </w:r>
          </w:p>
        </w:tc>
      </w:tr>
      <w:tr w:rsidR="004C2993" w:rsidRPr="009D478F" w14:paraId="2C416A3D" w14:textId="77777777" w:rsidTr="00856B39">
        <w:trPr>
          <w:trHeight w:val="320"/>
        </w:trPr>
        <w:tc>
          <w:tcPr>
            <w:tcW w:w="5000" w:type="pct"/>
            <w:gridSpan w:val="2"/>
          </w:tcPr>
          <w:p w14:paraId="79AAE5DE" w14:textId="77777777" w:rsidR="004C2993" w:rsidRDefault="004C2993" w:rsidP="00856B39">
            <w:pPr>
              <w:jc w:val="left"/>
              <w:rPr>
                <w:szCs w:val="21"/>
              </w:rPr>
            </w:pPr>
            <w:bookmarkStart w:id="0" w:name="_GoBack"/>
            <w:r w:rsidRPr="004C2993">
              <w:rPr>
                <w:szCs w:val="21"/>
              </w:rPr>
              <w:t>GO, COG, KEGG Classification</w:t>
            </w:r>
            <w:bookmarkEnd w:id="0"/>
          </w:p>
        </w:tc>
      </w:tr>
      <w:tr w:rsidR="004C2993" w:rsidRPr="009D478F" w14:paraId="543FE9FC" w14:textId="77777777" w:rsidTr="00856B39">
        <w:trPr>
          <w:trHeight w:val="320"/>
        </w:trPr>
        <w:tc>
          <w:tcPr>
            <w:tcW w:w="5000" w:type="pct"/>
            <w:gridSpan w:val="2"/>
          </w:tcPr>
          <w:p w14:paraId="649571E9" w14:textId="77777777" w:rsidR="004C2993" w:rsidRPr="009D478F" w:rsidRDefault="004C2993" w:rsidP="00856B39">
            <w:pPr>
              <w:jc w:val="left"/>
              <w:rPr>
                <w:szCs w:val="21"/>
              </w:rPr>
            </w:pPr>
            <w:r>
              <w:rPr>
                <w:szCs w:val="21"/>
              </w:rPr>
              <w:t>Coding Sequence (</w:t>
            </w:r>
            <w:r w:rsidRPr="00CC5E5E">
              <w:rPr>
                <w:b/>
                <w:bCs/>
                <w:szCs w:val="21"/>
              </w:rPr>
              <w:t>CDS</w:t>
            </w:r>
            <w:r>
              <w:rPr>
                <w:szCs w:val="21"/>
              </w:rPr>
              <w:t>)</w:t>
            </w:r>
            <w:r w:rsidRPr="00DA6F4A">
              <w:rPr>
                <w:szCs w:val="21"/>
              </w:rPr>
              <w:t xml:space="preserve"> Prediction</w:t>
            </w:r>
          </w:p>
        </w:tc>
      </w:tr>
      <w:tr w:rsidR="004C2993" w:rsidRPr="009D478F" w14:paraId="06C3A555" w14:textId="77777777" w:rsidTr="00856B39">
        <w:trPr>
          <w:trHeight w:val="320"/>
        </w:trPr>
        <w:tc>
          <w:tcPr>
            <w:tcW w:w="2133" w:type="pct"/>
            <w:vMerge w:val="restart"/>
            <w:vAlign w:val="center"/>
          </w:tcPr>
          <w:p w14:paraId="3300496E" w14:textId="77777777" w:rsidR="004C2993" w:rsidRDefault="004C2993" w:rsidP="00856B39">
            <w:pPr>
              <w:jc w:val="left"/>
              <w:rPr>
                <w:szCs w:val="21"/>
              </w:rPr>
            </w:pPr>
            <w:r w:rsidRPr="00CC5E5E">
              <w:rPr>
                <w:color w:val="000000" w:themeColor="text1"/>
                <w:szCs w:val="21"/>
              </w:rPr>
              <w:t>Structural Analysis</w:t>
            </w:r>
          </w:p>
        </w:tc>
        <w:tc>
          <w:tcPr>
            <w:tcW w:w="2867" w:type="pct"/>
          </w:tcPr>
          <w:p w14:paraId="2D0DD57B" w14:textId="77777777" w:rsidR="004C2993" w:rsidRDefault="004C2993" w:rsidP="00856B39">
            <w:pPr>
              <w:jc w:val="left"/>
              <w:rPr>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4C2993" w:rsidRPr="009D478F" w14:paraId="1D30AFDD" w14:textId="77777777" w:rsidTr="00856B39">
        <w:trPr>
          <w:trHeight w:val="320"/>
        </w:trPr>
        <w:tc>
          <w:tcPr>
            <w:tcW w:w="2133" w:type="pct"/>
            <w:vMerge/>
          </w:tcPr>
          <w:p w14:paraId="1AAA5299" w14:textId="77777777" w:rsidR="004C2993" w:rsidRDefault="004C2993" w:rsidP="00856B39">
            <w:pPr>
              <w:jc w:val="left"/>
              <w:rPr>
                <w:szCs w:val="21"/>
              </w:rPr>
            </w:pPr>
          </w:p>
        </w:tc>
        <w:tc>
          <w:tcPr>
            <w:tcW w:w="2867" w:type="pct"/>
          </w:tcPr>
          <w:p w14:paraId="132F6B36" w14:textId="77777777" w:rsidR="004C2993" w:rsidRDefault="004C2993" w:rsidP="00856B39">
            <w:pPr>
              <w:jc w:val="left"/>
              <w:rPr>
                <w:szCs w:val="21"/>
              </w:rPr>
            </w:pPr>
            <w:r w:rsidRPr="007C4708">
              <w:rPr>
                <w:color w:val="000000" w:themeColor="text1"/>
                <w:szCs w:val="21"/>
              </w:rPr>
              <w:t xml:space="preserve">Simple </w:t>
            </w:r>
            <w:r>
              <w:rPr>
                <w:color w:val="000000" w:themeColor="text1"/>
                <w:szCs w:val="21"/>
              </w:rPr>
              <w:t>S</w:t>
            </w:r>
            <w:r w:rsidRPr="007C4708">
              <w:rPr>
                <w:color w:val="000000" w:themeColor="text1"/>
                <w:szCs w:val="21"/>
              </w:rPr>
              <w:t xml:space="preserve">equence </w:t>
            </w:r>
            <w:r>
              <w:rPr>
                <w:color w:val="000000" w:themeColor="text1"/>
                <w:szCs w:val="21"/>
              </w:rPr>
              <w:t>R</w:t>
            </w:r>
            <w:r w:rsidRPr="007C4708">
              <w:rPr>
                <w:color w:val="000000" w:themeColor="text1"/>
                <w:szCs w:val="21"/>
              </w:rPr>
              <w:t>epeats (SSR)</w:t>
            </w:r>
            <w:r>
              <w:rPr>
                <w:color w:val="000000" w:themeColor="text1"/>
                <w:szCs w:val="21"/>
              </w:rPr>
              <w:t xml:space="preserve"> </w:t>
            </w:r>
            <w:r>
              <w:rPr>
                <w:rFonts w:hint="eastAsia"/>
                <w:color w:val="000000" w:themeColor="text1"/>
                <w:szCs w:val="21"/>
              </w:rPr>
              <w:t>Analysis</w:t>
            </w:r>
          </w:p>
        </w:tc>
      </w:tr>
      <w:tr w:rsidR="004C2993" w:rsidRPr="009D478F" w14:paraId="39B3AB4D" w14:textId="77777777" w:rsidTr="00856B39">
        <w:trPr>
          <w:trHeight w:val="320"/>
        </w:trPr>
        <w:tc>
          <w:tcPr>
            <w:tcW w:w="5000" w:type="pct"/>
            <w:gridSpan w:val="2"/>
          </w:tcPr>
          <w:p w14:paraId="6FD7826E" w14:textId="77777777" w:rsidR="004C2993" w:rsidRDefault="004C2993" w:rsidP="00856B39">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4C2993" w14:paraId="16E55B73" w14:textId="77777777" w:rsidTr="00856B39">
        <w:trPr>
          <w:trHeight w:val="166"/>
        </w:trPr>
        <w:tc>
          <w:tcPr>
            <w:tcW w:w="5000" w:type="pct"/>
            <w:gridSpan w:val="2"/>
          </w:tcPr>
          <w:p w14:paraId="3CBF6DD5" w14:textId="77777777" w:rsidR="004C2993" w:rsidRDefault="004C2993" w:rsidP="00856B39">
            <w:pPr>
              <w:jc w:val="left"/>
              <w:rPr>
                <w:color w:val="000000"/>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4C2993" w14:paraId="1A1590E4" w14:textId="77777777" w:rsidTr="00856B39">
        <w:trPr>
          <w:trHeight w:val="320"/>
        </w:trPr>
        <w:tc>
          <w:tcPr>
            <w:tcW w:w="5000" w:type="pct"/>
            <w:gridSpan w:val="2"/>
          </w:tcPr>
          <w:p w14:paraId="77F200CC" w14:textId="77777777" w:rsidR="004C2993" w:rsidRDefault="004C2993" w:rsidP="00856B39">
            <w:pPr>
              <w:jc w:val="left"/>
              <w:rPr>
                <w:color w:val="000000"/>
                <w:szCs w:val="21"/>
              </w:rPr>
            </w:pPr>
            <w:r w:rsidRPr="00CC5E5E">
              <w:rPr>
                <w:szCs w:val="21"/>
              </w:rPr>
              <w:t>Differential Expression Analysis (</w:t>
            </w:r>
            <w:r w:rsidRPr="00CC5E5E">
              <w:rPr>
                <w:b/>
                <w:bCs/>
                <w:szCs w:val="21"/>
                <w:highlight w:val="yellow"/>
              </w:rPr>
              <w:t>Only for Grouping with control samples</w:t>
            </w:r>
            <w:r w:rsidRPr="00CC5E5E">
              <w:rPr>
                <w:szCs w:val="21"/>
              </w:rPr>
              <w:t>)</w:t>
            </w:r>
          </w:p>
        </w:tc>
      </w:tr>
      <w:tr w:rsidR="004C2993" w:rsidRPr="00CC5E5E" w14:paraId="4C2DA34F" w14:textId="77777777" w:rsidTr="00856B39">
        <w:trPr>
          <w:trHeight w:val="320"/>
        </w:trPr>
        <w:tc>
          <w:tcPr>
            <w:tcW w:w="2133" w:type="pct"/>
            <w:vMerge w:val="restart"/>
            <w:vAlign w:val="center"/>
          </w:tcPr>
          <w:p w14:paraId="48643B31" w14:textId="77777777" w:rsidR="004C2993" w:rsidRDefault="004C2993" w:rsidP="00856B39">
            <w:pPr>
              <w:jc w:val="left"/>
              <w:rPr>
                <w:color w:val="000000"/>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b/>
                <w:bCs/>
                <w:szCs w:val="21"/>
                <w:highlight w:val="yellow"/>
              </w:rPr>
              <w:t>Only for Grouping with control samples</w:t>
            </w:r>
            <w:r w:rsidRPr="00CC5E5E">
              <w:rPr>
                <w:szCs w:val="21"/>
              </w:rPr>
              <w:t>)</w:t>
            </w:r>
          </w:p>
        </w:tc>
        <w:tc>
          <w:tcPr>
            <w:tcW w:w="2867" w:type="pct"/>
          </w:tcPr>
          <w:p w14:paraId="483FA1C3" w14:textId="77777777" w:rsidR="004C2993" w:rsidRDefault="004C2993" w:rsidP="00856B39">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4C2993" w:rsidRPr="00CC5E5E" w14:paraId="5FD50F1F" w14:textId="77777777" w:rsidTr="00856B39">
        <w:trPr>
          <w:trHeight w:val="320"/>
        </w:trPr>
        <w:tc>
          <w:tcPr>
            <w:tcW w:w="2133" w:type="pct"/>
            <w:vMerge/>
          </w:tcPr>
          <w:p w14:paraId="0DDEF601" w14:textId="77777777" w:rsidR="004C2993" w:rsidRPr="00CC5E5E" w:rsidRDefault="004C2993" w:rsidP="00856B39">
            <w:pPr>
              <w:jc w:val="left"/>
              <w:rPr>
                <w:szCs w:val="21"/>
                <w:highlight w:val="darkGray"/>
              </w:rPr>
            </w:pPr>
          </w:p>
        </w:tc>
        <w:tc>
          <w:tcPr>
            <w:tcW w:w="2867" w:type="pct"/>
          </w:tcPr>
          <w:p w14:paraId="3D9031D8" w14:textId="77777777" w:rsidR="004C2993" w:rsidRDefault="004C2993" w:rsidP="00856B39">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4C2993" w:rsidRPr="00CC5E5E" w14:paraId="65A618B4" w14:textId="77777777" w:rsidTr="00856B39">
        <w:trPr>
          <w:trHeight w:val="320"/>
        </w:trPr>
        <w:tc>
          <w:tcPr>
            <w:tcW w:w="2133" w:type="pct"/>
            <w:vMerge/>
          </w:tcPr>
          <w:p w14:paraId="0BB2086F" w14:textId="77777777" w:rsidR="004C2993" w:rsidRPr="00CC5E5E" w:rsidRDefault="004C2993" w:rsidP="00856B39">
            <w:pPr>
              <w:jc w:val="left"/>
              <w:rPr>
                <w:szCs w:val="21"/>
                <w:highlight w:val="darkGray"/>
              </w:rPr>
            </w:pPr>
          </w:p>
        </w:tc>
        <w:tc>
          <w:tcPr>
            <w:tcW w:w="2867" w:type="pct"/>
          </w:tcPr>
          <w:p w14:paraId="47FA3A94" w14:textId="77777777" w:rsidR="004C2993" w:rsidRPr="00727750" w:rsidRDefault="004C2993" w:rsidP="00856B39">
            <w:pPr>
              <w:jc w:val="left"/>
              <w:rPr>
                <w:szCs w:val="21"/>
              </w:rPr>
            </w:pPr>
            <w:r w:rsidRPr="00CC5E5E">
              <w:rPr>
                <w:rFonts w:hint="eastAsia"/>
                <w:szCs w:val="21"/>
                <w:lang w:val="fr-FR"/>
              </w:rPr>
              <w:t>P</w:t>
            </w:r>
            <w:r w:rsidRPr="00CC5E5E">
              <w:rPr>
                <w:szCs w:val="21"/>
                <w:lang w:val="fr-FR"/>
              </w:rPr>
              <w:t>rotein Protein Interaction Analysis</w:t>
            </w:r>
          </w:p>
        </w:tc>
      </w:tr>
    </w:tbl>
    <w:p w14:paraId="494543D3" w14:textId="77777777" w:rsidR="003935FB" w:rsidRPr="00FD5BE8" w:rsidRDefault="003935FB" w:rsidP="005E3D5F">
      <w:pPr>
        <w:rPr>
          <w:rFonts w:eastAsia="方正姚体"/>
          <w:color w:val="000000" w:themeColor="text1"/>
          <w:szCs w:val="21"/>
          <w:shd w:val="clear" w:color="auto" w:fill="FFFFFF"/>
        </w:rPr>
      </w:pPr>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83D83" w14:textId="77777777" w:rsidR="003A08A3" w:rsidRDefault="003A08A3" w:rsidP="00634D04">
      <w:r>
        <w:separator/>
      </w:r>
    </w:p>
  </w:endnote>
  <w:endnote w:type="continuationSeparator" w:id="0">
    <w:p w14:paraId="6933DC58" w14:textId="77777777" w:rsidR="003A08A3" w:rsidRDefault="003A08A3"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91153" w14:textId="77777777" w:rsidR="007B1F9F" w:rsidRPr="007B1F9F" w:rsidRDefault="007B1F9F" w:rsidP="007B1F9F">
    <w:pPr>
      <w:rPr>
        <w:b/>
        <w:color w:val="000000"/>
        <w:sz w:val="15"/>
        <w:szCs w:val="15"/>
        <w:shd w:val="clear" w:color="auto" w:fill="FFFFFF"/>
      </w:rPr>
    </w:pPr>
    <w:r w:rsidRPr="007B1F9F">
      <w:rPr>
        <w:b/>
        <w:color w:val="000000"/>
        <w:sz w:val="15"/>
        <w:szCs w:val="15"/>
        <w:shd w:val="clear" w:color="auto" w:fill="FFFFFF"/>
      </w:rPr>
      <w:t>NOVOGENE CORPORATION INC                                     8801 Folsom Blvd #290, Sacramento, CA 95826</w:t>
    </w:r>
  </w:p>
  <w:p w14:paraId="6D656005" w14:textId="77777777" w:rsidR="00AA48B1" w:rsidRPr="007B1F9F" w:rsidRDefault="00AA48B1" w:rsidP="007B1F9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847A8" w14:textId="77777777" w:rsidR="003A08A3" w:rsidRDefault="003A08A3" w:rsidP="00634D04">
      <w:r>
        <w:separator/>
      </w:r>
    </w:p>
  </w:footnote>
  <w:footnote w:type="continuationSeparator" w:id="0">
    <w:p w14:paraId="582C87F2" w14:textId="77777777" w:rsidR="003A08A3" w:rsidRDefault="003A08A3"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3A08A3"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E5A47"/>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A08A3"/>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679"/>
    <w:rsid w:val="004A5105"/>
    <w:rsid w:val="004C2993"/>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86898"/>
    <w:rsid w:val="005A127A"/>
    <w:rsid w:val="005B2DBE"/>
    <w:rsid w:val="005C795E"/>
    <w:rsid w:val="005D2FF5"/>
    <w:rsid w:val="005D7C16"/>
    <w:rsid w:val="005E3D5F"/>
    <w:rsid w:val="005E455B"/>
    <w:rsid w:val="005F71BD"/>
    <w:rsid w:val="00604B9D"/>
    <w:rsid w:val="0061554B"/>
    <w:rsid w:val="00626AED"/>
    <w:rsid w:val="00634D04"/>
    <w:rsid w:val="00636F9C"/>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384E"/>
    <w:rsid w:val="00714455"/>
    <w:rsid w:val="007176D3"/>
    <w:rsid w:val="00725390"/>
    <w:rsid w:val="00730C2D"/>
    <w:rsid w:val="00736755"/>
    <w:rsid w:val="00755224"/>
    <w:rsid w:val="0075769A"/>
    <w:rsid w:val="00760B00"/>
    <w:rsid w:val="007802CC"/>
    <w:rsid w:val="00790BC4"/>
    <w:rsid w:val="0079796A"/>
    <w:rsid w:val="007A52FC"/>
    <w:rsid w:val="007A66FA"/>
    <w:rsid w:val="007B1F9F"/>
    <w:rsid w:val="007C1336"/>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53A94"/>
    <w:rsid w:val="00975845"/>
    <w:rsid w:val="00995A72"/>
    <w:rsid w:val="009B15A3"/>
    <w:rsid w:val="009C1CFA"/>
    <w:rsid w:val="009C3A40"/>
    <w:rsid w:val="009C4903"/>
    <w:rsid w:val="009C4A6F"/>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57C9D"/>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20694"/>
    <w:rsid w:val="00F34542"/>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478961350">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44922200">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D50F5-A27F-4E33-AD66-3213125C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35</cp:revision>
  <cp:lastPrinted>2018-11-15T00:19:00Z</cp:lastPrinted>
  <dcterms:created xsi:type="dcterms:W3CDTF">2018-12-07T18:54:00Z</dcterms:created>
  <dcterms:modified xsi:type="dcterms:W3CDTF">2020-04-03T08:41:00Z</dcterms:modified>
</cp:coreProperties>
</file>