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5EB8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3AE236EF" w14:textId="77777777" w:rsidR="004D6B74" w:rsidRDefault="004D6B74" w:rsidP="00004913">
      <w:pPr>
        <w:rPr>
          <w:color w:val="FF0000"/>
          <w:kern w:val="0"/>
          <w:szCs w:val="21"/>
          <w:lang w:val="fr-FR"/>
        </w:rPr>
        <w:sectPr w:rsidR="004D6B74" w:rsidSect="00BA014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63186A" w14:textId="0BE06729" w:rsidR="009439BA" w:rsidRDefault="004D6B74" w:rsidP="00004913">
      <w:pPr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5DCF0F03" w14:textId="77777777" w:rsidR="008742FD" w:rsidRDefault="008742FD" w:rsidP="008742FD">
      <w:pPr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 xml:space="preserve">VAR_CLIENT_EMAIL </w:t>
      </w:r>
    </w:p>
    <w:p w14:paraId="1F7D7C9F" w14:textId="4751A77E" w:rsidR="004D6B74" w:rsidRDefault="004D6B74" w:rsidP="00004913">
      <w:pPr>
        <w:rPr>
          <w:color w:val="FF0000"/>
          <w:kern w:val="0"/>
          <w:szCs w:val="21"/>
        </w:rPr>
      </w:pPr>
      <w:bookmarkStart w:id="0" w:name="_GoBack"/>
      <w:bookmarkEnd w:id="0"/>
      <w:r w:rsidRPr="00F0778E">
        <w:rPr>
          <w:color w:val="FF0000"/>
          <w:kern w:val="0"/>
          <w:szCs w:val="21"/>
        </w:rPr>
        <w:t>VAR_CLIENT_SCHOOL</w:t>
      </w:r>
    </w:p>
    <w:p w14:paraId="229370BB" w14:textId="2319F26F" w:rsidR="004D6B74" w:rsidRDefault="004D6B74" w:rsidP="00004913">
      <w:pPr>
        <w:rPr>
          <w:color w:val="FF0000"/>
          <w:sz w:val="22"/>
          <w:szCs w:val="22"/>
          <w:shd w:val="clear" w:color="auto" w:fill="FFFFFF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17576C2B" w14:textId="1F87EB34" w:rsidR="004D6B74" w:rsidRPr="009439BA" w:rsidRDefault="004D6B74" w:rsidP="004D6B74">
      <w:pPr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8742FD">
        <w:rPr>
          <w:rFonts w:eastAsia="Microsoft YaHei"/>
          <w:noProof/>
          <w:color w:val="000000"/>
          <w:szCs w:val="21"/>
          <w:shd w:val="clear" w:color="auto" w:fill="FFFFFF"/>
        </w:rPr>
        <w:t>29 January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3E4F864F" w14:textId="77777777" w:rsidR="004D6B74" w:rsidRPr="00F0778E" w:rsidRDefault="004D6B74" w:rsidP="004D6B74">
      <w:pPr>
        <w:spacing w:line="276" w:lineRule="auto"/>
        <w:rPr>
          <w:szCs w:val="21"/>
        </w:rPr>
      </w:pPr>
      <w:r w:rsidRPr="00F0778E">
        <w:rPr>
          <w:szCs w:val="21"/>
        </w:rPr>
        <w:t>Validity: 30 days</w:t>
      </w:r>
    </w:p>
    <w:p w14:paraId="3A70EB9D" w14:textId="77777777" w:rsidR="004D6B74" w:rsidRDefault="004D6B74" w:rsidP="00004913">
      <w:pPr>
        <w:rPr>
          <w:szCs w:val="21"/>
        </w:rPr>
        <w:sectPr w:rsidR="004D6B74" w:rsidSect="004D6B7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7652E8" w14:textId="13623AA8" w:rsidR="004D6B74" w:rsidRDefault="004D6B74" w:rsidP="00004913">
      <w:pPr>
        <w:rPr>
          <w:szCs w:val="21"/>
        </w:rPr>
      </w:pPr>
    </w:p>
    <w:p w14:paraId="5A39BBE3" w14:textId="2FACA20E" w:rsidR="003053E6" w:rsidRPr="009439BA" w:rsidRDefault="000C7708" w:rsidP="009439BA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3260"/>
        <w:gridCol w:w="693"/>
        <w:gridCol w:w="955"/>
        <w:gridCol w:w="1128"/>
      </w:tblGrid>
      <w:tr w:rsidR="0014064C" w14:paraId="384DA380" w14:textId="77777777" w:rsidTr="00F02A28">
        <w:trPr>
          <w:trHeight w:val="1294"/>
          <w:jc w:val="center"/>
        </w:trPr>
        <w:tc>
          <w:tcPr>
            <w:tcW w:w="1984" w:type="dxa"/>
            <w:vAlign w:val="center"/>
          </w:tcPr>
          <w:p w14:paraId="3A9C41CD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7" w:type="dxa"/>
            <w:vAlign w:val="center"/>
          </w:tcPr>
          <w:p w14:paraId="32AFB29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3260" w:type="dxa"/>
            <w:vAlign w:val="center"/>
          </w:tcPr>
          <w:p w14:paraId="3C0FD7B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693" w:type="dxa"/>
            <w:vAlign w:val="center"/>
          </w:tcPr>
          <w:p w14:paraId="7CC3CE11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</w:tcPr>
          <w:p w14:paraId="5EC4A96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 Price</w:t>
            </w:r>
          </w:p>
          <w:p w14:paraId="674A6CE3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1128" w:type="dxa"/>
            <w:vAlign w:val="center"/>
          </w:tcPr>
          <w:p w14:paraId="3681AD78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Line Total</w:t>
            </w:r>
          </w:p>
          <w:p w14:paraId="4F642080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14064C" w:rsidRPr="004C6611" w14:paraId="7828F119" w14:textId="77777777" w:rsidTr="00F02A28">
        <w:trPr>
          <w:trHeight w:val="1051"/>
          <w:jc w:val="center"/>
        </w:trPr>
        <w:tc>
          <w:tcPr>
            <w:tcW w:w="1984" w:type="dxa"/>
            <w:vMerge w:val="restart"/>
            <w:vAlign w:val="center"/>
          </w:tcPr>
          <w:p w14:paraId="65C559CF" w14:textId="77777777" w:rsidR="0056389B" w:rsidRDefault="0056389B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2A3920FD">
              <w:rPr>
                <w:color w:val="000000" w:themeColor="text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</w:p>
          <w:p w14:paraId="29D2A8C9" w14:textId="108552C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samples</w:t>
            </w:r>
          </w:p>
          <w:p w14:paraId="5B523D29" w14:textId="18B8C51E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="00240B7F" w:rsidRPr="002D050C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25478385" w14:textId="4C35A38F" w:rsidR="0014064C" w:rsidRPr="0014064C" w:rsidRDefault="00697467" w:rsidP="00697467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Pac</w:t>
            </w:r>
            <w:r w:rsidR="00B066ED"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 xml:space="preserve">io </w:t>
            </w:r>
            <w:r w:rsidR="00B066ED">
              <w:rPr>
                <w:color w:val="000000"/>
                <w:szCs w:val="21"/>
              </w:rPr>
              <w:t>W</w:t>
            </w:r>
            <w:r w:rsidR="0014064C">
              <w:rPr>
                <w:color w:val="000000"/>
                <w:szCs w:val="21"/>
              </w:rPr>
              <w:t xml:space="preserve">hole </w:t>
            </w:r>
            <w:r w:rsidR="00B066ED">
              <w:rPr>
                <w:color w:val="000000"/>
                <w:szCs w:val="21"/>
              </w:rPr>
              <w:t>G</w:t>
            </w:r>
            <w:r w:rsidR="0014064C">
              <w:rPr>
                <w:rFonts w:hint="eastAsia"/>
                <w:color w:val="000000"/>
                <w:szCs w:val="21"/>
              </w:rPr>
              <w:t>enome</w:t>
            </w:r>
            <w:r w:rsidR="0014064C">
              <w:rPr>
                <w:color w:val="000000"/>
                <w:szCs w:val="21"/>
              </w:rPr>
              <w:t xml:space="preserve"> </w:t>
            </w:r>
            <w:r w:rsidR="00B066ED">
              <w:rPr>
                <w:color w:val="000000"/>
                <w:szCs w:val="21"/>
              </w:rPr>
              <w:t>S</w:t>
            </w:r>
            <w:r w:rsidR="0014064C">
              <w:rPr>
                <w:color w:val="000000"/>
                <w:szCs w:val="21"/>
              </w:rPr>
              <w:t>equencing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9841BE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E6CF28E" w14:textId="77777777" w:rsidR="0014064C" w:rsidRDefault="004C6611" w:rsidP="0014064C">
            <w:pPr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  <w:r w:rsidRPr="008D15DE">
              <w:rPr>
                <w:color w:val="000000"/>
                <w:kern w:val="0"/>
                <w:szCs w:val="21"/>
                <w:highlight w:val="yellow"/>
              </w:rPr>
              <w:t xml:space="preserve">HMW DNA extraction &amp; </w:t>
            </w:r>
            <w:r w:rsidR="002A1A74" w:rsidRPr="008D15DE">
              <w:rPr>
                <w:color w:val="000000"/>
                <w:kern w:val="0"/>
                <w:szCs w:val="21"/>
                <w:highlight w:val="yellow"/>
              </w:rPr>
              <w:t>PFGE QC</w:t>
            </w:r>
          </w:p>
          <w:p w14:paraId="3D7F2ADC" w14:textId="53353C22" w:rsidR="00C05450" w:rsidRDefault="00C05450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41C8F396" w14:textId="7F7B0CE5" w:rsidR="0014064C" w:rsidRDefault="0056389B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2A3920FD">
              <w:rPr>
                <w:color w:val="000000" w:themeColor="text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2A3D3E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0D0B940D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14064C" w14:paraId="37E46B70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0E27B00A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999B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18056" w14:textId="5BBA76B0" w:rsidR="0014064C" w:rsidRDefault="009D1791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SMRTbell </w:t>
            </w:r>
            <w:r>
              <w:rPr>
                <w:rFonts w:hint="eastAsia"/>
                <w:color w:val="000000"/>
                <w:kern w:val="0"/>
                <w:szCs w:val="21"/>
              </w:rPr>
              <w:t>DNA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 w:rsidR="00281D54">
              <w:rPr>
                <w:color w:val="000000"/>
                <w:kern w:val="0"/>
                <w:szCs w:val="21"/>
              </w:rPr>
              <w:t>Library preparation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64D36D20" w:rsidR="0014064C" w:rsidRDefault="0056389B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2A3920FD">
              <w:rPr>
                <w:color w:val="000000" w:themeColor="text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281D54" w14:paraId="1EFC1CA7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DEEC669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D5EC4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5C6C8" w14:textId="77777777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Sequencing </w:t>
            </w:r>
          </w:p>
          <w:p w14:paraId="431ACB4F" w14:textId="44AB311E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="008D15DE" w:rsidRPr="00102FB2">
              <w:rPr>
                <w:color w:val="FF0000"/>
                <w:szCs w:val="21"/>
              </w:rPr>
              <w:t>DATA_OUTPUT</w:t>
            </w:r>
            <w:r>
              <w:rPr>
                <w:color w:val="000000"/>
                <w:szCs w:val="21"/>
              </w:rPr>
              <w:t xml:space="preserve"> </w:t>
            </w:r>
            <w:r w:rsidRPr="00C86596">
              <w:rPr>
                <w:color w:val="000000"/>
                <w:szCs w:val="21"/>
                <w:highlight w:val="yellow"/>
              </w:rPr>
              <w:t>SMRT cells/sample)</w:t>
            </w:r>
            <w:r w:rsidR="00EA0860" w:rsidRPr="00C86596">
              <w:rPr>
                <w:color w:val="000000"/>
                <w:szCs w:val="21"/>
                <w:highlight w:val="yellow"/>
              </w:rPr>
              <w:t>/</w:t>
            </w:r>
            <w:r w:rsidR="00EA0860">
              <w:rPr>
                <w:color w:val="000000"/>
                <w:szCs w:val="21"/>
              </w:rPr>
              <w:t xml:space="preserve"> (</w:t>
            </w:r>
            <w:r w:rsidR="008D15DE" w:rsidRPr="00102FB2">
              <w:rPr>
                <w:color w:val="FF0000"/>
                <w:szCs w:val="21"/>
              </w:rPr>
              <w:t>DATA_OUTPUT</w:t>
            </w:r>
            <w:r w:rsidR="008D15DE">
              <w:rPr>
                <w:rFonts w:eastAsia="Times New Roman"/>
              </w:rPr>
              <w:t xml:space="preserve"> </w:t>
            </w:r>
            <w:r w:rsidR="00EA0860" w:rsidRPr="00C86596">
              <w:rPr>
                <w:color w:val="000000"/>
                <w:szCs w:val="21"/>
                <w:highlight w:val="yellow"/>
              </w:rPr>
              <w:t>G raw data/sample)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23AA4AF7" w:rsidR="00281D54" w:rsidRPr="00EA0860" w:rsidRDefault="0056389B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2A3920FD">
              <w:rPr>
                <w:color w:val="000000" w:themeColor="text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281D54" w:rsidRDefault="00281D54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F02A28" w14:paraId="00159F6B" w14:textId="77777777" w:rsidTr="00F02A28">
        <w:trPr>
          <w:trHeight w:val="758"/>
          <w:jc w:val="center"/>
        </w:trPr>
        <w:tc>
          <w:tcPr>
            <w:tcW w:w="1984" w:type="dxa"/>
            <w:vMerge/>
            <w:vAlign w:val="center"/>
          </w:tcPr>
          <w:p w14:paraId="1299C43A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8941E47" w14:textId="5F5BF693" w:rsidR="00F02A28" w:rsidRDefault="008D15DE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29240E9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14:paraId="56B20A0C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</w:tcPr>
          <w:p w14:paraId="03600357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14064C" w14:paraId="7D293600" w14:textId="77777777" w:rsidTr="00F02A28">
        <w:trPr>
          <w:trHeight w:val="315"/>
          <w:jc w:val="center"/>
        </w:trPr>
        <w:tc>
          <w:tcPr>
            <w:tcW w:w="1984" w:type="dxa"/>
            <w:vMerge/>
          </w:tcPr>
          <w:p w14:paraId="4DDBEF00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46FE0C09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776" w:type="dxa"/>
            <w:gridSpan w:val="3"/>
            <w:vAlign w:val="center"/>
          </w:tcPr>
          <w:p w14:paraId="217442D2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3461D779" w14:textId="77777777" w:rsidR="0014064C" w:rsidRPr="00EC4484" w:rsidRDefault="0014064C" w:rsidP="00E50F5B">
      <w:pPr>
        <w:spacing w:line="276" w:lineRule="auto"/>
        <w:rPr>
          <w:szCs w:val="21"/>
          <w:u w:val="single"/>
        </w:rPr>
      </w:pPr>
    </w:p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3ED6DEBA" w:rsidR="009D2DB0" w:rsidRPr="004D6B74" w:rsidRDefault="004D6B74" w:rsidP="004D6B74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1. </w:t>
      </w:r>
      <w:r w:rsidR="00D823DB" w:rsidRPr="004D6B74">
        <w:rPr>
          <w:rFonts w:hint="eastAsia"/>
          <w:color w:val="000000" w:themeColor="text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11C8FBE6" w14:textId="77777777" w:rsidTr="0070149C">
        <w:tc>
          <w:tcPr>
            <w:tcW w:w="2385" w:type="dxa"/>
          </w:tcPr>
          <w:p w14:paraId="552755A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77E26FF" w14:textId="272EDEEA" w:rsidR="009D2DB0" w:rsidRPr="00990442" w:rsidRDefault="00240B7F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0B684FF9" w14:textId="77777777" w:rsidTr="0070149C">
        <w:tc>
          <w:tcPr>
            <w:tcW w:w="2385" w:type="dxa"/>
          </w:tcPr>
          <w:p w14:paraId="43AEB50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6B439019" w14:textId="2DAF6134" w:rsidR="009D2DB0" w:rsidRPr="00990442" w:rsidRDefault="009D2DB0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DNA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ample</w:t>
            </w:r>
          </w:p>
        </w:tc>
      </w:tr>
      <w:tr w:rsidR="009F271D" w14:paraId="4CAA9A7E" w14:textId="77777777" w:rsidTr="0070149C">
        <w:tc>
          <w:tcPr>
            <w:tcW w:w="2385" w:type="dxa"/>
          </w:tcPr>
          <w:p w14:paraId="768D4DF9" w14:textId="7C9B7913" w:rsidR="009F271D" w:rsidRDefault="009F271D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262" w:type="dxa"/>
          </w:tcPr>
          <w:p w14:paraId="25F54025" w14:textId="1B68359A" w:rsidR="009F271D" w:rsidRPr="00990442" w:rsidRDefault="009F271D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10kb/20kb SMRTbell DNA Library</w:t>
            </w:r>
          </w:p>
        </w:tc>
      </w:tr>
      <w:tr w:rsidR="009D2DB0" w14:paraId="39DC5C56" w14:textId="77777777" w:rsidTr="0070149C">
        <w:tc>
          <w:tcPr>
            <w:tcW w:w="2385" w:type="dxa"/>
          </w:tcPr>
          <w:p w14:paraId="30BE6A26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92224D4" w14:textId="6F9BC9EB" w:rsidR="009D2DB0" w:rsidRPr="00990442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240B7F" w14:paraId="2C8A3BAF" w14:textId="77777777" w:rsidTr="0070149C">
        <w:tc>
          <w:tcPr>
            <w:tcW w:w="2385" w:type="dxa"/>
          </w:tcPr>
          <w:p w14:paraId="36E134E7" w14:textId="1B81B59F" w:rsidR="00240B7F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Output</w:t>
            </w:r>
          </w:p>
        </w:tc>
        <w:tc>
          <w:tcPr>
            <w:tcW w:w="6262" w:type="dxa"/>
          </w:tcPr>
          <w:p w14:paraId="78B756CF" w14:textId="461FA178" w:rsidR="00240B7F" w:rsidRPr="002D050C" w:rsidRDefault="00240B7F" w:rsidP="0070149C">
            <w:pPr>
              <w:pStyle w:val="ListParagraph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bookmarkStart w:id="1" w:name="OLE_LINK3"/>
            <w:bookmarkStart w:id="2" w:name="OLE_LINK4"/>
            <w:r w:rsidRPr="002D050C">
              <w:rPr>
                <w:color w:val="FF0000"/>
              </w:rPr>
              <w:t>DATA_OUTPUT</w:t>
            </w: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data/sample</w:t>
            </w:r>
            <w:bookmarkEnd w:id="1"/>
            <w:bookmarkEnd w:id="2"/>
          </w:p>
        </w:tc>
      </w:tr>
      <w:tr w:rsidR="00F02A28" w14:paraId="2806CAB7" w14:textId="77777777" w:rsidTr="0070149C">
        <w:tc>
          <w:tcPr>
            <w:tcW w:w="2385" w:type="dxa"/>
          </w:tcPr>
          <w:p w14:paraId="7A385CFF" w14:textId="77777777" w:rsidR="00F02A28" w:rsidRPr="00204C39" w:rsidRDefault="00F02A28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F02A2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E368877" w14:textId="6924DF24" w:rsidR="00F02A28" w:rsidRPr="00C30923" w:rsidRDefault="00240B7F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9D2DB0" w14:paraId="629149BD" w14:textId="77777777" w:rsidTr="0070149C">
        <w:tc>
          <w:tcPr>
            <w:tcW w:w="2385" w:type="dxa"/>
          </w:tcPr>
          <w:p w14:paraId="7094423A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F61B263" w14:textId="77CA90F8" w:rsidR="009D2DB0" w:rsidRPr="00C30923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1FC39945" w14:textId="180350C3" w:rsidR="004D6B74" w:rsidRDefault="004D6B74" w:rsidP="009D2DB0">
      <w:pPr>
        <w:rPr>
          <w:color w:val="000000" w:themeColor="text1"/>
          <w:szCs w:val="21"/>
          <w:shd w:val="clear" w:color="auto" w:fill="FFFFFF"/>
        </w:rPr>
      </w:pPr>
    </w:p>
    <w:p w14:paraId="350EE8BC" w14:textId="2FDA3787" w:rsidR="008A4071" w:rsidRDefault="004D6B74" w:rsidP="004D6B74">
      <w:pPr>
        <w:jc w:val="left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br w:type="page"/>
      </w:r>
    </w:p>
    <w:p w14:paraId="6E791C13" w14:textId="1FF831DE" w:rsidR="00BE2BD6" w:rsidRPr="004D6B74" w:rsidRDefault="004D6B74" w:rsidP="004D6B74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lastRenderedPageBreak/>
        <w:t xml:space="preserve">2. </w:t>
      </w:r>
      <w:r w:rsidR="00D823DB" w:rsidRPr="004D6B74">
        <w:rPr>
          <w:color w:val="000000" w:themeColor="text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296"/>
        <w:gridCol w:w="1097"/>
        <w:gridCol w:w="1379"/>
        <w:gridCol w:w="3559"/>
      </w:tblGrid>
      <w:tr w:rsidR="000955EC" w:rsidRPr="006303F8" w14:paraId="72F399B0" w14:textId="77777777" w:rsidTr="00BE6D89">
        <w:trPr>
          <w:trHeight w:val="300"/>
          <w:jc w:val="center"/>
        </w:trPr>
        <w:tc>
          <w:tcPr>
            <w:tcW w:w="58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EAA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3" w:name="OLE_LINK23"/>
            <w:bookmarkStart w:id="4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3F4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D7C70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83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378A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FC690C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955EC" w:rsidRPr="006303F8" w14:paraId="18FDA34C" w14:textId="77777777" w:rsidTr="00BE6D89">
        <w:trPr>
          <w:trHeight w:val="1045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78C4E939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HMW Genomic DNA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2965B0D3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≥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6303F8">
              <w:rPr>
                <w:sz w:val="18"/>
                <w:szCs w:val="18"/>
              </w:rPr>
              <w:t>μg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2D160F39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5" w:name="OLE_LINK7"/>
            <w:bookmarkStart w:id="6" w:name="OLE_LINK8"/>
            <w:r w:rsidRPr="00433D24">
              <w:rPr>
                <w:sz w:val="18"/>
                <w:szCs w:val="18"/>
              </w:rPr>
              <w:t>≥</w:t>
            </w:r>
            <w:r w:rsidRPr="00433D24">
              <w:rPr>
                <w:rFonts w:hint="eastAsia"/>
                <w:sz w:val="18"/>
                <w:szCs w:val="18"/>
              </w:rPr>
              <w:t>50</w:t>
            </w:r>
            <w:r w:rsidRPr="00433D24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bookmarkEnd w:id="5"/>
            <w:bookmarkEnd w:id="6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43AB51AC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33D24">
              <w:rPr>
                <w:color w:val="000000" w:themeColor="text1"/>
                <w:sz w:val="18"/>
                <w:szCs w:val="18"/>
              </w:rPr>
              <w:t>≥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433D24">
              <w:rPr>
                <w:color w:val="000000" w:themeColor="text1"/>
                <w:sz w:val="18"/>
                <w:szCs w:val="18"/>
              </w:rPr>
              <w:t xml:space="preserve">0 </w:t>
            </w:r>
            <w:r w:rsidRPr="00433D24">
              <w:rPr>
                <w:sz w:val="18"/>
                <w:szCs w:val="18"/>
              </w:rPr>
              <w:t>ng/</w:t>
            </w:r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528B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</w:p>
          <w:p w14:paraId="0BA17A95" w14:textId="35DB67F3" w:rsidR="000955EC" w:rsidRDefault="000955EC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OD260/280=1.8-2.0</w:t>
            </w:r>
          </w:p>
          <w:p w14:paraId="745497A8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Pr="006303F8">
              <w:rPr>
                <w:sz w:val="18"/>
                <w:szCs w:val="18"/>
              </w:rPr>
              <w:t>RNA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BC5F76" w:rsidRPr="006303F8" w14:paraId="3AD51761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344AD69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B</w:t>
            </w:r>
            <w:r w:rsidRPr="00BC5F76">
              <w:rPr>
                <w:sz w:val="18"/>
                <w:szCs w:val="18"/>
                <w:highlight w:val="yellow"/>
              </w:rPr>
              <w:t>acteria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BC1861B" w14:textId="476F565B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7AB2C18" w14:textId="5801B0FE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.2g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680408FD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--</w:t>
            </w:r>
          </w:p>
        </w:tc>
        <w:tc>
          <w:tcPr>
            <w:tcW w:w="2145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9E912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-</w:t>
            </w:r>
          </w:p>
        </w:tc>
      </w:tr>
      <w:tr w:rsidR="00BC5F76" w:rsidRPr="006303F8" w14:paraId="0D0D775C" w14:textId="77777777" w:rsidTr="00BE6D89">
        <w:trPr>
          <w:trHeight w:val="53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551BC78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</w:t>
            </w:r>
            <w:r w:rsidRPr="00BC5F76">
              <w:rPr>
                <w:sz w:val="18"/>
                <w:szCs w:val="18"/>
                <w:highlight w:val="yellow"/>
              </w:rPr>
              <w:t>ungus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3D538C2" w14:textId="101DCC2C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4E7163D0" w14:textId="2CEFE140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1g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33E67AC6" w14:textId="642ACB88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699379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C5F76" w:rsidRPr="006303F8" w14:paraId="595A74A7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1EEDCCA3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P</w:t>
            </w:r>
            <w:r w:rsidRPr="00BC5F76">
              <w:rPr>
                <w:sz w:val="18"/>
                <w:szCs w:val="18"/>
                <w:highlight w:val="yellow"/>
              </w:rPr>
              <w:t>lant</w:t>
            </w:r>
          </w:p>
          <w:p w14:paraId="55943395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BC5F76">
              <w:rPr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3EB9FC17" w14:textId="0441B70F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6E1A38A" w14:textId="0D1E24AF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2g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1BBD13F9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DCEAD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C5F76" w:rsidRPr="006303F8" w14:paraId="053417DD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390BCB75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A</w:t>
            </w:r>
            <w:r w:rsidRPr="00BC5F76">
              <w:rPr>
                <w:sz w:val="18"/>
                <w:szCs w:val="18"/>
                <w:highlight w:val="yellow"/>
              </w:rPr>
              <w:t>nimal</w:t>
            </w:r>
          </w:p>
          <w:p w14:paraId="4FD1CD2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BC5F76">
              <w:rPr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D68446E" w14:textId="350B3C4B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58F40293" w14:textId="3A4780F3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sz w:val="18"/>
                <w:szCs w:val="18"/>
                <w:highlight w:val="yellow"/>
              </w:rPr>
              <w:t>2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0E5A0448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 xml:space="preserve">Note: it is recommended at least 3g in case of 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insec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ts with o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rdinary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size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, such as beetles.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47A01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bookmarkEnd w:id="3"/>
      <w:bookmarkEnd w:id="4"/>
    </w:tbl>
    <w:p w14:paraId="6DFB9E20" w14:textId="77777777" w:rsidR="00925455" w:rsidRDefault="00925455" w:rsidP="00C30923">
      <w:pPr>
        <w:rPr>
          <w:color w:val="000000" w:themeColor="text1"/>
          <w:szCs w:val="21"/>
          <w:shd w:val="clear" w:color="auto" w:fill="FFFFFF"/>
        </w:rPr>
      </w:pPr>
    </w:p>
    <w:p w14:paraId="70DF9E56" w14:textId="77777777" w:rsidR="00CE68DC" w:rsidRDefault="00CE68DC" w:rsidP="00C30923">
      <w:pPr>
        <w:rPr>
          <w:color w:val="000000" w:themeColor="text1"/>
          <w:szCs w:val="21"/>
          <w:shd w:val="clear" w:color="auto" w:fill="FFFFFF"/>
        </w:rPr>
      </w:pPr>
    </w:p>
    <w:p w14:paraId="77328E5B" w14:textId="77777777" w:rsidR="00063B6C" w:rsidRDefault="00063B6C" w:rsidP="00063B6C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3BC47EC8" w14:textId="77777777" w:rsidR="00F02A28" w:rsidRDefault="00F02A28" w:rsidP="00F02A2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D6459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3B8DFC0D" w14:textId="77777777" w:rsidR="000547EE" w:rsidRDefault="000547EE" w:rsidP="000547E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r w:rsidR="00F02A2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C2012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690E66DA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534BD3B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BA605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7C4F91FA" w14:textId="58CF17C4" w:rsidR="00063B6C" w:rsidRDefault="00063B6C" w:rsidP="00C3092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</w:p>
    <w:p w14:paraId="1B214755" w14:textId="66BA50EF" w:rsidR="00BC5F76" w:rsidRPr="004D6B74" w:rsidRDefault="004D6B74" w:rsidP="004D6B74">
      <w:pPr>
        <w:jc w:val="left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br w:type="page"/>
      </w:r>
    </w:p>
    <w:p w14:paraId="474B8152" w14:textId="1C7D1B80" w:rsidR="00FD6E99" w:rsidRPr="004D6B74" w:rsidRDefault="004D6B74" w:rsidP="004D6B74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lastRenderedPageBreak/>
        <w:t xml:space="preserve">3. </w:t>
      </w:r>
      <w:r w:rsidR="00F02A28" w:rsidRPr="004D6B74">
        <w:rPr>
          <w:color w:val="000000" w:themeColor="text1"/>
          <w:szCs w:val="21"/>
          <w:shd w:val="clear" w:color="auto" w:fill="FFFFFF"/>
        </w:rPr>
        <w:t>Bioinformatics Analysis</w:t>
      </w:r>
    </w:p>
    <w:tbl>
      <w:tblPr>
        <w:tblStyle w:val="3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E0326E" w14:paraId="5E20D57C" w14:textId="77777777" w:rsidTr="00295F6C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4E2DC0F" w14:textId="463C5444" w:rsidR="00E0326E" w:rsidRPr="009D1791" w:rsidRDefault="00E0326E" w:rsidP="00295F6C">
            <w:pPr>
              <w:jc w:val="center"/>
              <w:rPr>
                <w:b/>
                <w:bCs/>
                <w:szCs w:val="21"/>
              </w:rPr>
            </w:pPr>
            <w:r w:rsidRPr="009D1791">
              <w:rPr>
                <w:rFonts w:hint="eastAsia"/>
                <w:b/>
                <w:bCs/>
                <w:szCs w:val="21"/>
                <w:highlight w:val="yellow"/>
              </w:rPr>
              <w:t>Data</w:t>
            </w:r>
            <w:r w:rsidRPr="009D1791">
              <w:rPr>
                <w:b/>
                <w:bCs/>
                <w:szCs w:val="21"/>
                <w:highlight w:val="yellow"/>
              </w:rPr>
              <w:t xml:space="preserve"> Quality Control</w:t>
            </w:r>
          </w:p>
        </w:tc>
      </w:tr>
      <w:tr w:rsidR="00E0326E" w14:paraId="2F636FBC" w14:textId="77777777" w:rsidTr="00E0182A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AACC11" w14:textId="61AFD40C" w:rsidR="00E0326E" w:rsidRPr="00D20DDE" w:rsidRDefault="00E0326E" w:rsidP="00E0326E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szCs w:val="21"/>
              </w:rPr>
              <w:t>Polymerase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Read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Statistics</w:t>
            </w:r>
          </w:p>
        </w:tc>
      </w:tr>
      <w:tr w:rsidR="00E0326E" w14:paraId="7BD1A8B0" w14:textId="77777777" w:rsidTr="00E0182A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C244AF" w14:textId="4B73CE80" w:rsidR="00E0326E" w:rsidRPr="001B5EC9" w:rsidRDefault="00E0326E" w:rsidP="00E0326E">
            <w:r>
              <w:rPr>
                <w:rFonts w:hint="eastAsia"/>
                <w:szCs w:val="21"/>
              </w:rPr>
              <w:t>Subreads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Statistics</w:t>
            </w:r>
          </w:p>
        </w:tc>
      </w:tr>
    </w:tbl>
    <w:p w14:paraId="4B4799C4" w14:textId="77777777" w:rsidR="00E0326E" w:rsidRPr="00E0326E" w:rsidRDefault="00E0326E" w:rsidP="00E0326E">
      <w:pPr>
        <w:rPr>
          <w:color w:val="000000" w:themeColor="text1"/>
          <w:szCs w:val="21"/>
          <w:shd w:val="clear" w:color="auto" w:fill="FFFFFF"/>
        </w:rPr>
      </w:pPr>
    </w:p>
    <w:p w14:paraId="44E871BC" w14:textId="77777777" w:rsidR="00FD6E99" w:rsidRPr="00FD6E99" w:rsidRDefault="00FD6E99" w:rsidP="00FD6E99">
      <w:pPr>
        <w:rPr>
          <w:color w:val="000000" w:themeColor="text1"/>
          <w:szCs w:val="21"/>
          <w:shd w:val="clear" w:color="auto" w:fill="FFFFFF"/>
        </w:rPr>
      </w:pPr>
    </w:p>
    <w:tbl>
      <w:tblPr>
        <w:tblStyle w:val="3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FD6E99" w14:paraId="4F980827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BB8025F" w14:textId="77777777" w:rsidR="00FD6E99" w:rsidRPr="009D1791" w:rsidRDefault="00FD6E99" w:rsidP="00E92223">
            <w:pPr>
              <w:jc w:val="center"/>
              <w:rPr>
                <w:b/>
                <w:bCs/>
                <w:szCs w:val="21"/>
              </w:rPr>
            </w:pPr>
            <w:r w:rsidRPr="009D1791">
              <w:rPr>
                <w:b/>
                <w:bCs/>
                <w:szCs w:val="21"/>
                <w:highlight w:val="yellow"/>
              </w:rPr>
              <w:t>Standard Analysis</w:t>
            </w:r>
          </w:p>
        </w:tc>
      </w:tr>
      <w:tr w:rsidR="00FD6E99" w14:paraId="065ABAA4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9434A" w14:textId="77777777" w:rsidR="00FD6E99" w:rsidRPr="00D20DDE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Data quality control</w:t>
            </w:r>
          </w:p>
        </w:tc>
      </w:tr>
      <w:tr w:rsidR="00FD6E99" w14:paraId="4C3B8F55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3E17A" w14:textId="77777777" w:rsidR="00FD6E99" w:rsidRPr="001B5EC9" w:rsidRDefault="00FD6E99" w:rsidP="00E92223">
            <w:r w:rsidRPr="00D20DDE">
              <w:rPr>
                <w:color w:val="000000" w:themeColor="text1"/>
                <w:szCs w:val="21"/>
              </w:rPr>
              <w:t>Sequence Alignment</w:t>
            </w:r>
          </w:p>
        </w:tc>
      </w:tr>
      <w:tr w:rsidR="00FD6E99" w14:paraId="09CE6CF0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64261" w14:textId="77777777" w:rsidR="00FD6E99" w:rsidRPr="005306A6" w:rsidRDefault="00FD6E99" w:rsidP="00E92223">
            <w:r>
              <w:t>Structural V</w:t>
            </w:r>
            <w:r w:rsidRPr="00D20DDE">
              <w:t>ariant (SV) detection</w:t>
            </w:r>
          </w:p>
        </w:tc>
      </w:tr>
      <w:tr w:rsidR="00FD6E99" w14:paraId="30FFC96D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EF637" w14:textId="77777777" w:rsidR="00FD6E99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Variation Annotation</w:t>
            </w:r>
          </w:p>
        </w:tc>
      </w:tr>
    </w:tbl>
    <w:p w14:paraId="61829076" w14:textId="77777777" w:rsidR="003935FB" w:rsidRPr="007A44B4" w:rsidRDefault="003935FB" w:rsidP="004D6B74">
      <w:pPr>
        <w:widowControl w:val="0"/>
        <w:spacing w:line="276" w:lineRule="auto"/>
        <w:ind w:rightChars="-94" w:right="-197"/>
        <w:jc w:val="left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RPr="007A44B4" w:rsidSect="004D6B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C8DCB" w14:textId="77777777" w:rsidR="002E715D" w:rsidRDefault="002E715D" w:rsidP="00634D04">
      <w:r>
        <w:separator/>
      </w:r>
    </w:p>
  </w:endnote>
  <w:endnote w:type="continuationSeparator" w:id="0">
    <w:p w14:paraId="570F39AA" w14:textId="77777777" w:rsidR="002E715D" w:rsidRDefault="002E715D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8A1B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97EA3" w14:textId="77777777" w:rsidR="002E715D" w:rsidRDefault="002E715D" w:rsidP="00634D04">
      <w:r>
        <w:separator/>
      </w:r>
    </w:p>
  </w:footnote>
  <w:footnote w:type="continuationSeparator" w:id="0">
    <w:p w14:paraId="2038B76B" w14:textId="77777777" w:rsidR="002E715D" w:rsidRDefault="002E715D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2E715D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2E715D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2E715D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166C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0B7F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2E715D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B1701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D670B"/>
    <w:rsid w:val="004D6B74"/>
    <w:rsid w:val="004F4BD8"/>
    <w:rsid w:val="004F5BAB"/>
    <w:rsid w:val="004F5FD7"/>
    <w:rsid w:val="005015DF"/>
    <w:rsid w:val="00504375"/>
    <w:rsid w:val="0050685A"/>
    <w:rsid w:val="00510E2D"/>
    <w:rsid w:val="005154EF"/>
    <w:rsid w:val="00531723"/>
    <w:rsid w:val="0053492F"/>
    <w:rsid w:val="00536E15"/>
    <w:rsid w:val="005522D1"/>
    <w:rsid w:val="00554E72"/>
    <w:rsid w:val="0056389B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742FD"/>
    <w:rsid w:val="00885DF8"/>
    <w:rsid w:val="008958CA"/>
    <w:rsid w:val="008A2C3E"/>
    <w:rsid w:val="008A4071"/>
    <w:rsid w:val="008B61DC"/>
    <w:rsid w:val="008B6978"/>
    <w:rsid w:val="008D15DE"/>
    <w:rsid w:val="008D5BED"/>
    <w:rsid w:val="008E010A"/>
    <w:rsid w:val="008F1F9F"/>
    <w:rsid w:val="009023D3"/>
    <w:rsid w:val="00904BA7"/>
    <w:rsid w:val="00915AD6"/>
    <w:rsid w:val="00925455"/>
    <w:rsid w:val="00941602"/>
    <w:rsid w:val="009418BA"/>
    <w:rsid w:val="009439BA"/>
    <w:rsid w:val="00980CAF"/>
    <w:rsid w:val="00990442"/>
    <w:rsid w:val="00990FBA"/>
    <w:rsid w:val="00993942"/>
    <w:rsid w:val="009A0F22"/>
    <w:rsid w:val="009B0666"/>
    <w:rsid w:val="009B15A3"/>
    <w:rsid w:val="009C3957"/>
    <w:rsid w:val="009C3A40"/>
    <w:rsid w:val="009D0980"/>
    <w:rsid w:val="009D0C06"/>
    <w:rsid w:val="009D1791"/>
    <w:rsid w:val="009D2DB0"/>
    <w:rsid w:val="009D58BA"/>
    <w:rsid w:val="009E08FE"/>
    <w:rsid w:val="009E11A3"/>
    <w:rsid w:val="009E3DF5"/>
    <w:rsid w:val="009E4BEE"/>
    <w:rsid w:val="009F271D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66ED"/>
    <w:rsid w:val="00B12690"/>
    <w:rsid w:val="00B25832"/>
    <w:rsid w:val="00B30726"/>
    <w:rsid w:val="00B32849"/>
    <w:rsid w:val="00B40233"/>
    <w:rsid w:val="00B47393"/>
    <w:rsid w:val="00B53687"/>
    <w:rsid w:val="00B53DCF"/>
    <w:rsid w:val="00B53E2E"/>
    <w:rsid w:val="00B62547"/>
    <w:rsid w:val="00B84D24"/>
    <w:rsid w:val="00BA014E"/>
    <w:rsid w:val="00BA4305"/>
    <w:rsid w:val="00BA4A55"/>
    <w:rsid w:val="00BA605F"/>
    <w:rsid w:val="00BC5F76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466DF"/>
    <w:rsid w:val="00C6660C"/>
    <w:rsid w:val="00C8406B"/>
    <w:rsid w:val="00C86596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0355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326E"/>
    <w:rsid w:val="00E05DB4"/>
    <w:rsid w:val="00E06322"/>
    <w:rsid w:val="00E22CFD"/>
    <w:rsid w:val="00E27A25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EF7248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6005D-F76F-4717-91F7-BCE80D182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0E806C-0653-433B-933F-DAD4ACF8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8</cp:revision>
  <cp:lastPrinted>2015-09-02T07:17:00Z</cp:lastPrinted>
  <dcterms:created xsi:type="dcterms:W3CDTF">2019-11-14T06:32:00Z</dcterms:created>
  <dcterms:modified xsi:type="dcterms:W3CDTF">2020-01-30T07:25:00Z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