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FF959" w14:textId="70B45F5B" w:rsidR="00F36227" w:rsidRDefault="00097727" w:rsidP="00F36227">
      <w:pPr>
        <w:pStyle w:val="ListParagraph"/>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Bioinformatics Analysis</w:t>
      </w:r>
    </w:p>
    <w:tbl>
      <w:tblPr>
        <w:tblStyle w:val="TableGrid"/>
        <w:tblW w:w="8295" w:type="dxa"/>
        <w:tblLook w:val="04A0" w:firstRow="1" w:lastRow="0" w:firstColumn="1" w:lastColumn="0" w:noHBand="0" w:noVBand="1"/>
      </w:tblPr>
      <w:tblGrid>
        <w:gridCol w:w="8295"/>
      </w:tblGrid>
      <w:tr w:rsidR="00126355" w:rsidRPr="006B224F" w14:paraId="16D3EDD7" w14:textId="77777777" w:rsidTr="00126355">
        <w:trPr>
          <w:trHeight w:val="270"/>
        </w:trPr>
        <w:tc>
          <w:tcPr>
            <w:tcW w:w="8295" w:type="dxa"/>
            <w:shd w:val="clear" w:color="auto" w:fill="8CBF60"/>
            <w:hideMark/>
          </w:tcPr>
          <w:p w14:paraId="7C926259" w14:textId="58BCD4A7"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 xml:space="preserve">vanced </w:t>
            </w:r>
            <w:r w:rsidRPr="006B224F">
              <w:rPr>
                <w:rFonts w:eastAsia="Times New Roman"/>
                <w:b/>
                <w:bCs/>
                <w:kern w:val="0"/>
                <w:szCs w:val="21"/>
                <w:shd w:val="clear" w:color="auto" w:fill="FFFF00"/>
              </w:rPr>
              <w:t xml:space="preserve">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A)</w:t>
            </w:r>
            <w:r w:rsidRPr="006B224F">
              <w:rPr>
                <w:rFonts w:eastAsia="Times New Roman"/>
                <w:kern w:val="0"/>
                <w:szCs w:val="21"/>
              </w:rPr>
              <w:t> </w:t>
            </w:r>
          </w:p>
        </w:tc>
      </w:tr>
      <w:tr w:rsidR="00126355" w:rsidRPr="006B224F" w14:paraId="5C24893F" w14:textId="77777777" w:rsidTr="00126355">
        <w:trPr>
          <w:trHeight w:val="270"/>
        </w:trPr>
        <w:tc>
          <w:tcPr>
            <w:tcW w:w="8295" w:type="dxa"/>
            <w:hideMark/>
          </w:tcPr>
          <w:p w14:paraId="5B580E2C" w14:textId="446F4BBD"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369D1E6F" w14:textId="77777777" w:rsidTr="00126355">
        <w:trPr>
          <w:trHeight w:val="270"/>
        </w:trPr>
        <w:tc>
          <w:tcPr>
            <w:tcW w:w="8295" w:type="dxa"/>
            <w:hideMark/>
          </w:tcPr>
          <w:p w14:paraId="4293AE93" w14:textId="06A73474" w:rsidR="00126355" w:rsidRPr="006B224F" w:rsidRDefault="00126355" w:rsidP="00636F80">
            <w:pPr>
              <w:textAlignment w:val="baseline"/>
              <w:rPr>
                <w:rFonts w:eastAsia="Times New Roman"/>
                <w:kern w:val="0"/>
                <w:sz w:val="24"/>
                <w:szCs w:val="24"/>
              </w:rPr>
            </w:pPr>
            <w:r w:rsidRPr="006B224F">
              <w:rPr>
                <w:rFonts w:eastAsia="Times New Roman"/>
                <w:kern w:val="0"/>
                <w:szCs w:val="21"/>
              </w:rPr>
              <w:t>Mapping PDX Reads and Control Reads to </w:t>
            </w:r>
            <w:r w:rsidRPr="006B224F">
              <w:rPr>
                <w:rFonts w:eastAsia="Times New Roman"/>
                <w:b/>
                <w:bCs/>
                <w:kern w:val="0"/>
                <w:szCs w:val="21"/>
              </w:rPr>
              <w:t>Human</w:t>
            </w:r>
            <w:r w:rsidRPr="006B224F">
              <w:rPr>
                <w:rFonts w:eastAsia="Times New Roman"/>
                <w:kern w:val="0"/>
                <w:szCs w:val="21"/>
              </w:rPr>
              <w:t> Reference Genome </w:t>
            </w:r>
            <w:r>
              <w:rPr>
                <w:rFonts w:eastAsia="Times New Roman"/>
                <w:kern w:val="0"/>
                <w:szCs w:val="21"/>
              </w:rPr>
              <w:t>Separately</w:t>
            </w:r>
          </w:p>
        </w:tc>
      </w:tr>
      <w:tr w:rsidR="00126355" w:rsidRPr="006B224F" w14:paraId="18FE480F" w14:textId="77777777" w:rsidTr="00126355">
        <w:trPr>
          <w:trHeight w:val="270"/>
        </w:trPr>
        <w:tc>
          <w:tcPr>
            <w:tcW w:w="8295" w:type="dxa"/>
            <w:hideMark/>
          </w:tcPr>
          <w:p w14:paraId="44A56AC8" w14:textId="77777777" w:rsidR="00126355" w:rsidRPr="006B224F" w:rsidRDefault="00126355" w:rsidP="00636F80">
            <w:pPr>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r w:rsidR="00126355" w:rsidRPr="006B224F" w14:paraId="3DFEFDBD" w14:textId="77777777" w:rsidTr="00126355">
        <w:trPr>
          <w:trHeight w:val="46"/>
        </w:trPr>
        <w:tc>
          <w:tcPr>
            <w:tcW w:w="8295" w:type="dxa"/>
            <w:hideMark/>
          </w:tcPr>
          <w:p w14:paraId="6E1F3346" w14:textId="77777777" w:rsidR="00126355" w:rsidRPr="006B224F" w:rsidRDefault="00126355" w:rsidP="00636F80">
            <w:pPr>
              <w:textAlignment w:val="baseline"/>
              <w:rPr>
                <w:rFonts w:eastAsia="Times New Roman"/>
                <w:kern w:val="0"/>
                <w:sz w:val="24"/>
                <w:szCs w:val="24"/>
              </w:rPr>
            </w:pPr>
            <w:r w:rsidRPr="006B224F">
              <w:rPr>
                <w:rFonts w:eastAsia="Times New Roman"/>
                <w:b/>
                <w:bCs/>
                <w:kern w:val="0"/>
                <w:szCs w:val="21"/>
              </w:rPr>
              <w:t>Filter A</w:t>
            </w:r>
            <w:r w:rsidRPr="006B224F">
              <w:rPr>
                <w:rFonts w:eastAsia="Times New Roman"/>
                <w:kern w:val="0"/>
                <w:szCs w:val="21"/>
              </w:rPr>
              <w:t>: Removal of Differential Expression and/or Variation of Control </w:t>
            </w:r>
          </w:p>
        </w:tc>
      </w:tr>
    </w:tbl>
    <w:p w14:paraId="4CCE8E2D" w14:textId="2B3120A0" w:rsidR="00126355" w:rsidRPr="00126355" w:rsidRDefault="00126355" w:rsidP="0078050F">
      <w:pPr>
        <w:rPr>
          <w:color w:val="000000" w:themeColor="text1"/>
          <w:szCs w:val="21"/>
          <w:shd w:val="clear" w:color="auto" w:fill="FFFFFF"/>
        </w:rPr>
      </w:pPr>
    </w:p>
    <w:tbl>
      <w:tblPr>
        <w:tblStyle w:val="TableGrid"/>
        <w:tblW w:w="8295" w:type="dxa"/>
        <w:tblLook w:val="04A0" w:firstRow="1" w:lastRow="0" w:firstColumn="1" w:lastColumn="0" w:noHBand="0" w:noVBand="1"/>
      </w:tblPr>
      <w:tblGrid>
        <w:gridCol w:w="8295"/>
      </w:tblGrid>
      <w:tr w:rsidR="00126355" w:rsidRPr="006B224F" w14:paraId="3793C3A9" w14:textId="77777777" w:rsidTr="00126355">
        <w:trPr>
          <w:trHeight w:val="270"/>
        </w:trPr>
        <w:tc>
          <w:tcPr>
            <w:tcW w:w="8295" w:type="dxa"/>
            <w:shd w:val="clear" w:color="auto" w:fill="8CBF60"/>
            <w:hideMark/>
          </w:tcPr>
          <w:p w14:paraId="7B5CF0EE" w14:textId="661730C1"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B)</w:t>
            </w:r>
            <w:r w:rsidRPr="006B224F">
              <w:rPr>
                <w:rFonts w:eastAsia="Times New Roman"/>
                <w:kern w:val="0"/>
                <w:szCs w:val="21"/>
              </w:rPr>
              <w:t> </w:t>
            </w:r>
          </w:p>
        </w:tc>
      </w:tr>
      <w:tr w:rsidR="00126355" w:rsidRPr="006B224F" w14:paraId="59BFC1EA" w14:textId="77777777" w:rsidTr="00126355">
        <w:trPr>
          <w:trHeight w:val="270"/>
        </w:trPr>
        <w:tc>
          <w:tcPr>
            <w:tcW w:w="8295" w:type="dxa"/>
            <w:hideMark/>
          </w:tcPr>
          <w:p w14:paraId="3AC60522" w14:textId="77088735"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335D136E" w14:textId="77777777" w:rsidTr="00126355">
        <w:trPr>
          <w:trHeight w:val="270"/>
        </w:trPr>
        <w:tc>
          <w:tcPr>
            <w:tcW w:w="8295" w:type="dxa"/>
            <w:hideMark/>
          </w:tcPr>
          <w:p w14:paraId="5CBC001C" w14:textId="7A6F2570" w:rsidR="00126355" w:rsidRPr="006B224F" w:rsidRDefault="00126355" w:rsidP="00636F80">
            <w:pPr>
              <w:textAlignment w:val="baseline"/>
              <w:rPr>
                <w:rFonts w:eastAsia="Times New Roman"/>
                <w:kern w:val="0"/>
                <w:sz w:val="24"/>
                <w:szCs w:val="24"/>
              </w:rPr>
            </w:pPr>
            <w:r w:rsidRPr="006B224F">
              <w:rPr>
                <w:rFonts w:eastAsia="Times New Roman"/>
                <w:kern w:val="0"/>
                <w:szCs w:val="21"/>
              </w:rPr>
              <w:t>Mapping PDX Reads</w:t>
            </w:r>
            <w:r>
              <w:rPr>
                <w:rFonts w:eastAsia="Times New Roman"/>
                <w:kern w:val="0"/>
                <w:szCs w:val="21"/>
              </w:rPr>
              <w:t xml:space="preserve"> </w:t>
            </w:r>
            <w:r w:rsidRPr="006B224F">
              <w:rPr>
                <w:rFonts w:eastAsia="Times New Roman"/>
                <w:kern w:val="0"/>
                <w:szCs w:val="21"/>
              </w:rPr>
              <w:t>to </w:t>
            </w:r>
            <w:r w:rsidRPr="006B224F">
              <w:rPr>
                <w:rFonts w:eastAsia="Times New Roman"/>
                <w:b/>
                <w:bCs/>
                <w:kern w:val="0"/>
                <w:szCs w:val="21"/>
              </w:rPr>
              <w:t>Mouse</w:t>
            </w:r>
            <w:r w:rsidRPr="006B224F">
              <w:rPr>
                <w:rFonts w:eastAsia="Times New Roman"/>
                <w:kern w:val="0"/>
                <w:szCs w:val="21"/>
              </w:rPr>
              <w:t> Reference Genome </w:t>
            </w:r>
          </w:p>
        </w:tc>
      </w:tr>
      <w:tr w:rsidR="00126355" w:rsidRPr="006B224F" w14:paraId="06392569" w14:textId="77777777" w:rsidTr="00126355">
        <w:trPr>
          <w:trHeight w:val="270"/>
        </w:trPr>
        <w:tc>
          <w:tcPr>
            <w:tcW w:w="8295" w:type="dxa"/>
            <w:hideMark/>
          </w:tcPr>
          <w:p w14:paraId="14BF33F6" w14:textId="77777777" w:rsidR="00126355" w:rsidRPr="006B224F" w:rsidRDefault="00126355" w:rsidP="00636F80">
            <w:pPr>
              <w:jc w:val="left"/>
              <w:textAlignment w:val="baseline"/>
              <w:rPr>
                <w:rFonts w:eastAsia="Times New Roman"/>
                <w:kern w:val="0"/>
                <w:sz w:val="24"/>
                <w:szCs w:val="24"/>
              </w:rPr>
            </w:pPr>
            <w:r w:rsidRPr="006B224F">
              <w:rPr>
                <w:rFonts w:eastAsia="Times New Roman"/>
                <w:b/>
                <w:bCs/>
                <w:color w:val="000000"/>
                <w:kern w:val="0"/>
                <w:szCs w:val="21"/>
              </w:rPr>
              <w:t>Filter B:</w:t>
            </w:r>
            <w:r w:rsidRPr="006B224F">
              <w:rPr>
                <w:rFonts w:eastAsia="Times New Roman"/>
                <w:color w:val="000000"/>
                <w:kern w:val="0"/>
                <w:szCs w:val="21"/>
              </w:rPr>
              <w:t> Removal of Mouse Reads</w:t>
            </w:r>
            <w:r w:rsidRPr="006B224F">
              <w:rPr>
                <w:rFonts w:eastAsia="Times New Roman"/>
                <w:kern w:val="0"/>
                <w:szCs w:val="21"/>
              </w:rPr>
              <w:t> </w:t>
            </w:r>
          </w:p>
        </w:tc>
      </w:tr>
      <w:tr w:rsidR="00126355" w:rsidRPr="006B224F" w14:paraId="59339BAD" w14:textId="77777777" w:rsidTr="00126355">
        <w:trPr>
          <w:trHeight w:val="270"/>
        </w:trPr>
        <w:tc>
          <w:tcPr>
            <w:tcW w:w="8295" w:type="dxa"/>
            <w:hideMark/>
          </w:tcPr>
          <w:p w14:paraId="595CD3BB" w14:textId="77777777" w:rsidR="00126355" w:rsidRPr="006B224F" w:rsidRDefault="00126355" w:rsidP="00636F80">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Human</w:t>
            </w:r>
            <w:r w:rsidRPr="006B224F">
              <w:rPr>
                <w:rFonts w:eastAsia="Times New Roman"/>
                <w:color w:val="000000"/>
                <w:kern w:val="0"/>
                <w:szCs w:val="21"/>
              </w:rPr>
              <w:t> Reference Genome</w:t>
            </w:r>
            <w:r w:rsidRPr="006B224F">
              <w:rPr>
                <w:rFonts w:eastAsia="Times New Roman"/>
                <w:kern w:val="0"/>
                <w:szCs w:val="21"/>
              </w:rPr>
              <w:t> </w:t>
            </w:r>
          </w:p>
        </w:tc>
      </w:tr>
      <w:tr w:rsidR="00126355" w:rsidRPr="006B224F" w14:paraId="0440F3D5" w14:textId="77777777" w:rsidTr="00126355">
        <w:trPr>
          <w:trHeight w:val="46"/>
        </w:trPr>
        <w:tc>
          <w:tcPr>
            <w:tcW w:w="8295" w:type="dxa"/>
            <w:hideMark/>
          </w:tcPr>
          <w:p w14:paraId="2BE82785" w14:textId="77777777" w:rsidR="00126355" w:rsidRPr="006B224F" w:rsidRDefault="00126355" w:rsidP="00636F80">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Analysis</w:t>
            </w:r>
            <w:r w:rsidRPr="006B224F">
              <w:rPr>
                <w:rFonts w:eastAsia="Times New Roman"/>
                <w:kern w:val="0"/>
                <w:szCs w:val="21"/>
              </w:rPr>
              <w:t> </w:t>
            </w:r>
          </w:p>
        </w:tc>
      </w:tr>
    </w:tbl>
    <w:p w14:paraId="16BD7085" w14:textId="1356BE28" w:rsidR="00126355" w:rsidRDefault="00126355" w:rsidP="0078050F">
      <w:pPr>
        <w:rPr>
          <w:color w:val="000000" w:themeColor="text1"/>
          <w:szCs w:val="21"/>
          <w:shd w:val="clear" w:color="auto" w:fill="FFFFFF"/>
        </w:rPr>
      </w:pPr>
    </w:p>
    <w:tbl>
      <w:tblPr>
        <w:tblStyle w:val="TableGrid"/>
        <w:tblW w:w="8295" w:type="dxa"/>
        <w:tblLook w:val="04A0" w:firstRow="1" w:lastRow="0" w:firstColumn="1" w:lastColumn="0" w:noHBand="0" w:noVBand="1"/>
      </w:tblPr>
      <w:tblGrid>
        <w:gridCol w:w="8295"/>
      </w:tblGrid>
      <w:tr w:rsidR="00126355" w:rsidRPr="006B224F" w14:paraId="4FFC4E60" w14:textId="77777777" w:rsidTr="00126355">
        <w:trPr>
          <w:trHeight w:val="270"/>
        </w:trPr>
        <w:tc>
          <w:tcPr>
            <w:tcW w:w="8295" w:type="dxa"/>
            <w:shd w:val="clear" w:color="auto" w:fill="8CBF60"/>
            <w:hideMark/>
          </w:tcPr>
          <w:p w14:paraId="344B8363" w14:textId="3B00B2E8" w:rsidR="00126355" w:rsidRPr="006B224F" w:rsidRDefault="00126355" w:rsidP="00636F80">
            <w:pPr>
              <w:jc w:val="center"/>
              <w:textAlignment w:val="baseline"/>
              <w:rPr>
                <w:rFonts w:eastAsia="Times New Roman"/>
                <w:kern w:val="0"/>
                <w:sz w:val="24"/>
                <w:szCs w:val="24"/>
              </w:rPr>
            </w:pPr>
            <w:r>
              <w:rPr>
                <w:rFonts w:eastAsia="Times New Roman" w:hint="eastAsia"/>
                <w:b/>
                <w:bCs/>
                <w:kern w:val="0"/>
                <w:szCs w:val="21"/>
                <w:shd w:val="clear" w:color="auto" w:fill="FFFF00"/>
              </w:rPr>
              <w:t>Ad</w:t>
            </w:r>
            <w:r>
              <w:rPr>
                <w:rFonts w:eastAsia="Times New Roman"/>
                <w:b/>
                <w:bCs/>
                <w:kern w:val="0"/>
                <w:szCs w:val="21"/>
                <w:shd w:val="clear" w:color="auto" w:fill="FFFF00"/>
              </w:rPr>
              <w:t>vanced</w:t>
            </w:r>
            <w:r w:rsidRPr="006B224F">
              <w:rPr>
                <w:rFonts w:eastAsia="Times New Roman"/>
                <w:b/>
                <w:bCs/>
                <w:kern w:val="0"/>
                <w:szCs w:val="21"/>
                <w:shd w:val="clear" w:color="auto" w:fill="FFFF00"/>
              </w:rPr>
              <w:t xml:space="preserve"> PDX </w:t>
            </w:r>
            <w:r>
              <w:rPr>
                <w:rFonts w:eastAsia="Times New Roman"/>
                <w:b/>
                <w:bCs/>
                <w:kern w:val="0"/>
                <w:szCs w:val="21"/>
                <w:shd w:val="clear" w:color="auto" w:fill="FFFF00"/>
              </w:rPr>
              <w:t xml:space="preserve">Filter </w:t>
            </w:r>
            <w:r w:rsidRPr="006B224F">
              <w:rPr>
                <w:rFonts w:eastAsia="Times New Roman"/>
                <w:b/>
                <w:bCs/>
                <w:kern w:val="0"/>
                <w:szCs w:val="21"/>
                <w:shd w:val="clear" w:color="auto" w:fill="FFFF00"/>
              </w:rPr>
              <w:t>Analysis (Workflow C)</w:t>
            </w:r>
            <w:r w:rsidRPr="006B224F">
              <w:rPr>
                <w:rFonts w:eastAsia="Times New Roman"/>
                <w:kern w:val="0"/>
                <w:szCs w:val="21"/>
              </w:rPr>
              <w:t> </w:t>
            </w:r>
          </w:p>
        </w:tc>
      </w:tr>
      <w:tr w:rsidR="00126355" w:rsidRPr="006B224F" w14:paraId="421A79DF" w14:textId="77777777" w:rsidTr="00126355">
        <w:trPr>
          <w:trHeight w:val="270"/>
        </w:trPr>
        <w:tc>
          <w:tcPr>
            <w:tcW w:w="8295" w:type="dxa"/>
            <w:hideMark/>
          </w:tcPr>
          <w:p w14:paraId="1D578874" w14:textId="19C72680" w:rsidR="00126355" w:rsidRPr="006B224F" w:rsidRDefault="00126355" w:rsidP="00126355">
            <w:pPr>
              <w:textAlignment w:val="baseline"/>
              <w:rPr>
                <w:rFonts w:eastAsia="Times New Roman"/>
                <w:kern w:val="0"/>
                <w:sz w:val="24"/>
                <w:szCs w:val="24"/>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126355" w:rsidRPr="006B224F" w14:paraId="47D55E3D" w14:textId="77777777" w:rsidTr="00126355">
        <w:trPr>
          <w:trHeight w:val="270"/>
        </w:trPr>
        <w:tc>
          <w:tcPr>
            <w:tcW w:w="8295" w:type="dxa"/>
            <w:hideMark/>
          </w:tcPr>
          <w:p w14:paraId="1F27758D" w14:textId="77777777" w:rsidR="00126355" w:rsidRPr="006B224F" w:rsidRDefault="00126355" w:rsidP="00636F80">
            <w:pPr>
              <w:jc w:val="left"/>
              <w:textAlignment w:val="baseline"/>
              <w:rPr>
                <w:rFonts w:eastAsia="Times New Roman"/>
                <w:kern w:val="0"/>
                <w:sz w:val="24"/>
                <w:szCs w:val="24"/>
              </w:rPr>
            </w:pPr>
            <w:r w:rsidRPr="006B224F">
              <w:rPr>
                <w:rFonts w:eastAsia="Times New Roman"/>
                <w:color w:val="000000"/>
                <w:kern w:val="0"/>
                <w:szCs w:val="21"/>
              </w:rPr>
              <w:t>Mapping Reads to </w:t>
            </w:r>
            <w:r w:rsidRPr="006B224F">
              <w:rPr>
                <w:rFonts w:eastAsia="Times New Roman"/>
                <w:b/>
                <w:bCs/>
                <w:color w:val="000000"/>
                <w:kern w:val="0"/>
                <w:szCs w:val="21"/>
              </w:rPr>
              <w:t>Combine</w:t>
            </w:r>
            <w:r w:rsidRPr="006B224F">
              <w:rPr>
                <w:rFonts w:eastAsia="Times New Roman"/>
                <w:color w:val="000000"/>
                <w:kern w:val="0"/>
                <w:szCs w:val="21"/>
              </w:rPr>
              <w:t>d Reference Genome</w:t>
            </w:r>
            <w:r w:rsidRPr="006B224F">
              <w:rPr>
                <w:rFonts w:eastAsia="Times New Roman"/>
                <w:kern w:val="0"/>
                <w:szCs w:val="21"/>
              </w:rPr>
              <w:t> </w:t>
            </w:r>
          </w:p>
        </w:tc>
      </w:tr>
      <w:tr w:rsidR="00126355" w:rsidRPr="006B224F" w14:paraId="478224F4" w14:textId="77777777" w:rsidTr="00126355">
        <w:trPr>
          <w:trHeight w:val="175"/>
        </w:trPr>
        <w:tc>
          <w:tcPr>
            <w:tcW w:w="8295" w:type="dxa"/>
            <w:hideMark/>
          </w:tcPr>
          <w:p w14:paraId="5F8D36F4" w14:textId="77777777" w:rsidR="00126355" w:rsidRPr="006B224F" w:rsidRDefault="00126355" w:rsidP="00636F80">
            <w:pPr>
              <w:jc w:val="left"/>
              <w:textAlignment w:val="baseline"/>
              <w:rPr>
                <w:rFonts w:eastAsia="Times New Roman"/>
                <w:kern w:val="0"/>
                <w:sz w:val="24"/>
                <w:szCs w:val="24"/>
              </w:rPr>
            </w:pPr>
            <w:r w:rsidRPr="006B224F">
              <w:rPr>
                <w:rFonts w:eastAsia="Times New Roman"/>
                <w:b/>
                <w:bCs/>
                <w:kern w:val="0"/>
                <w:szCs w:val="21"/>
              </w:rPr>
              <w:t>Filter C</w:t>
            </w:r>
            <w:r w:rsidRPr="006B224F">
              <w:rPr>
                <w:rFonts w:eastAsia="Times New Roman"/>
                <w:kern w:val="0"/>
                <w:szCs w:val="21"/>
              </w:rPr>
              <w:t>: Picking up </w:t>
            </w:r>
            <w:r w:rsidRPr="006B224F">
              <w:rPr>
                <w:rFonts w:eastAsia="Times New Roman"/>
                <w:b/>
                <w:bCs/>
                <w:kern w:val="0"/>
                <w:szCs w:val="21"/>
              </w:rPr>
              <w:t>Human</w:t>
            </w:r>
            <w:r w:rsidRPr="006B224F">
              <w:rPr>
                <w:rFonts w:eastAsia="Times New Roman"/>
                <w:kern w:val="0"/>
                <w:szCs w:val="21"/>
              </w:rPr>
              <w:t> Mapped Reads </w:t>
            </w:r>
          </w:p>
        </w:tc>
      </w:tr>
      <w:tr w:rsidR="00126355" w:rsidRPr="006B224F" w14:paraId="667A32E6" w14:textId="77777777" w:rsidTr="00126355">
        <w:trPr>
          <w:trHeight w:val="46"/>
        </w:trPr>
        <w:tc>
          <w:tcPr>
            <w:tcW w:w="8295" w:type="dxa"/>
            <w:hideMark/>
          </w:tcPr>
          <w:p w14:paraId="66D07736" w14:textId="77777777" w:rsidR="00126355" w:rsidRPr="006B224F" w:rsidRDefault="00126355" w:rsidP="00636F80">
            <w:pPr>
              <w:jc w:val="left"/>
              <w:textAlignment w:val="baseline"/>
              <w:rPr>
                <w:rFonts w:eastAsia="Times New Roman"/>
                <w:kern w:val="0"/>
                <w:sz w:val="24"/>
                <w:szCs w:val="24"/>
              </w:rPr>
            </w:pPr>
            <w:r w:rsidRPr="006B224F">
              <w:rPr>
                <w:rFonts w:eastAsia="Times New Roman"/>
                <w:kern w:val="0"/>
                <w:szCs w:val="21"/>
                <w:shd w:val="clear" w:color="auto" w:fill="FFFF00"/>
              </w:rPr>
              <w:t xml:space="preserve">Human </w:t>
            </w:r>
            <w:r w:rsidRPr="00602086">
              <w:rPr>
                <w:rFonts w:eastAsia="Times New Roman"/>
                <w:b/>
                <w:bCs/>
                <w:kern w:val="0"/>
                <w:szCs w:val="21"/>
                <w:shd w:val="clear" w:color="auto" w:fill="FFFF00"/>
              </w:rPr>
              <w:t>Standard</w:t>
            </w:r>
            <w:r w:rsidRPr="006B224F">
              <w:rPr>
                <w:rFonts w:eastAsia="Times New Roman"/>
                <w:kern w:val="0"/>
                <w:szCs w:val="21"/>
                <w:shd w:val="clear" w:color="auto" w:fill="FFFF00"/>
              </w:rPr>
              <w:t xml:space="preserve"> Analysis/Human </w:t>
            </w:r>
            <w:r w:rsidRPr="00602086">
              <w:rPr>
                <w:rFonts w:eastAsia="Times New Roman"/>
                <w:b/>
                <w:bCs/>
                <w:kern w:val="0"/>
                <w:szCs w:val="21"/>
                <w:shd w:val="clear" w:color="auto" w:fill="FFFF00"/>
              </w:rPr>
              <w:t>Quantification</w:t>
            </w:r>
            <w:r w:rsidRPr="006B224F">
              <w:rPr>
                <w:rFonts w:eastAsia="Times New Roman"/>
                <w:kern w:val="0"/>
                <w:szCs w:val="21"/>
                <w:shd w:val="clear" w:color="auto" w:fill="FFFF00"/>
              </w:rPr>
              <w:t xml:space="preserve"> Analysis</w:t>
            </w:r>
            <w:r w:rsidRPr="006B224F">
              <w:rPr>
                <w:rFonts w:eastAsia="Times New Roman"/>
                <w:kern w:val="0"/>
                <w:szCs w:val="21"/>
              </w:rPr>
              <w:t> </w:t>
            </w:r>
          </w:p>
        </w:tc>
      </w:tr>
    </w:tbl>
    <w:p w14:paraId="3D85F009" w14:textId="77777777" w:rsidR="000D6D6D" w:rsidRDefault="000D6D6D" w:rsidP="00111705">
      <w:pPr>
        <w:rPr>
          <w:color w:val="000000" w:themeColor="text1"/>
          <w:szCs w:val="21"/>
          <w:highlight w:val="yellow"/>
          <w:shd w:val="clear" w:color="auto" w:fill="FFFFFF"/>
          <w:lang w:val="fr-FR"/>
        </w:rPr>
      </w:pPr>
    </w:p>
    <w:tbl>
      <w:tblPr>
        <w:tblStyle w:val="TableGrid"/>
        <w:tblW w:w="5000" w:type="pct"/>
        <w:tblLook w:val="04A0" w:firstRow="1" w:lastRow="0" w:firstColumn="1" w:lastColumn="0" w:noHBand="0" w:noVBand="1"/>
      </w:tblPr>
      <w:tblGrid>
        <w:gridCol w:w="2972"/>
        <w:gridCol w:w="5324"/>
      </w:tblGrid>
      <w:tr w:rsidR="00126355" w:rsidRPr="00CA64EB" w14:paraId="2BE97ECA" w14:textId="77777777" w:rsidTr="00636F80">
        <w:trPr>
          <w:trHeight w:val="54"/>
        </w:trPr>
        <w:tc>
          <w:tcPr>
            <w:tcW w:w="5000" w:type="pct"/>
            <w:gridSpan w:val="2"/>
            <w:shd w:val="clear" w:color="auto" w:fill="8CBF60"/>
          </w:tcPr>
          <w:p w14:paraId="0E81FD92" w14:textId="33C10819" w:rsidR="00126355" w:rsidRPr="00CA64EB" w:rsidRDefault="00126355" w:rsidP="00636F80">
            <w:pPr>
              <w:jc w:val="center"/>
              <w:rPr>
                <w:b/>
                <w:color w:val="000000"/>
                <w:szCs w:val="21"/>
              </w:rPr>
            </w:pPr>
            <w:r w:rsidRPr="00CA64EB">
              <w:rPr>
                <w:b/>
                <w:color w:val="000000"/>
                <w:szCs w:val="21"/>
              </w:rPr>
              <w:t xml:space="preserve">Standard </w:t>
            </w:r>
            <w:r w:rsidR="00C02B21" w:rsidRPr="000A5D57">
              <w:rPr>
                <w:b/>
                <w:szCs w:val="21"/>
              </w:rPr>
              <w:t>Analysis</w:t>
            </w:r>
            <w:r w:rsidR="00C02B21" w:rsidRPr="000A5D57">
              <w:rPr>
                <w:rFonts w:hint="eastAsia"/>
                <w:b/>
                <w:szCs w:val="21"/>
              </w:rPr>
              <w:t xml:space="preserve"> (</w:t>
            </w:r>
            <w:r w:rsidR="00C02B21" w:rsidRPr="000A5D57">
              <w:rPr>
                <w:b/>
                <w:szCs w:val="21"/>
                <w:highlight w:val="yellow"/>
              </w:rPr>
              <w:t>human/</w:t>
            </w:r>
            <w:proofErr w:type="gramStart"/>
            <w:r w:rsidR="00C02B21" w:rsidRPr="000A5D57">
              <w:rPr>
                <w:b/>
                <w:szCs w:val="21"/>
                <w:highlight w:val="yellow"/>
              </w:rPr>
              <w:t>mouse[</w:t>
            </w:r>
            <w:proofErr w:type="gramEnd"/>
            <w:r w:rsidR="00C02B21" w:rsidRPr="000A5D57">
              <w:rPr>
                <w:b/>
                <w:szCs w:val="21"/>
                <w:highlight w:val="yellow"/>
              </w:rPr>
              <w:t xml:space="preserve">Medical </w:t>
            </w:r>
            <w:r w:rsidR="00C02B21" w:rsidRPr="000A5D57">
              <w:rPr>
                <w:rFonts w:hint="eastAsia"/>
                <w:b/>
                <w:szCs w:val="21"/>
                <w:highlight w:val="yellow"/>
              </w:rPr>
              <w:t>Species]</w:t>
            </w:r>
            <w:r w:rsidR="00C02B21">
              <w:rPr>
                <w:rFonts w:hint="eastAsia"/>
                <w:b/>
                <w:szCs w:val="21"/>
              </w:rPr>
              <w:t>)</w:t>
            </w:r>
          </w:p>
        </w:tc>
      </w:tr>
      <w:tr w:rsidR="006A7CF5" w:rsidRPr="009D478F" w14:paraId="247382BD" w14:textId="77777777" w:rsidTr="00636F80">
        <w:trPr>
          <w:trHeight w:val="320"/>
        </w:trPr>
        <w:tc>
          <w:tcPr>
            <w:tcW w:w="5000" w:type="pct"/>
            <w:gridSpan w:val="2"/>
          </w:tcPr>
          <w:p w14:paraId="7C27F874" w14:textId="2EA19B41" w:rsidR="006A7CF5" w:rsidRPr="009D478F" w:rsidRDefault="006A7CF5" w:rsidP="00602086">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6A7CF5" w:rsidRPr="009D478F" w14:paraId="744BC797" w14:textId="77777777" w:rsidTr="00636F80">
        <w:trPr>
          <w:trHeight w:val="320"/>
        </w:trPr>
        <w:tc>
          <w:tcPr>
            <w:tcW w:w="5000" w:type="pct"/>
            <w:gridSpan w:val="2"/>
          </w:tcPr>
          <w:p w14:paraId="7E6B453A" w14:textId="0503A954" w:rsidR="006A7CF5" w:rsidRPr="009D478F" w:rsidRDefault="006A7CF5" w:rsidP="00602086">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6A7CF5" w:rsidRPr="009D478F" w14:paraId="7984E1E3" w14:textId="77777777" w:rsidTr="00636F80">
        <w:trPr>
          <w:trHeight w:val="320"/>
        </w:trPr>
        <w:tc>
          <w:tcPr>
            <w:tcW w:w="5000" w:type="pct"/>
            <w:gridSpan w:val="2"/>
          </w:tcPr>
          <w:p w14:paraId="1A34E012" w14:textId="73542E6D" w:rsidR="006A7CF5" w:rsidRPr="009D478F" w:rsidRDefault="006A7CF5" w:rsidP="00602086">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6A7CF5" w14:paraId="3DFB95A8" w14:textId="77777777" w:rsidTr="00636F80">
        <w:trPr>
          <w:trHeight w:val="166"/>
        </w:trPr>
        <w:tc>
          <w:tcPr>
            <w:tcW w:w="5000" w:type="pct"/>
            <w:gridSpan w:val="2"/>
          </w:tcPr>
          <w:p w14:paraId="37B1E06D" w14:textId="50357A9F" w:rsidR="006A7CF5" w:rsidRDefault="006A7CF5" w:rsidP="00602086">
            <w:pPr>
              <w:jc w:val="left"/>
              <w:rPr>
                <w:color w:val="000000"/>
                <w:szCs w:val="21"/>
              </w:rPr>
            </w:pPr>
            <w:r w:rsidRPr="00602086">
              <w:rPr>
                <w:szCs w:val="21"/>
              </w:rPr>
              <w:t xml:space="preserve">Correlation Analysis Between Groups </w:t>
            </w:r>
            <w:r w:rsidRPr="00602086">
              <w:rPr>
                <w:szCs w:val="21"/>
                <w:highlight w:val="yellow"/>
              </w:rPr>
              <w:t>(</w:t>
            </w:r>
            <w:r w:rsidRPr="00602086">
              <w:rPr>
                <w:b/>
                <w:bCs/>
                <w:szCs w:val="21"/>
                <w:highlight w:val="yellow"/>
              </w:rPr>
              <w:t>Only for Samples with biological replicates</w:t>
            </w:r>
            <w:r w:rsidRPr="00602086">
              <w:rPr>
                <w:szCs w:val="21"/>
                <w:highlight w:val="yellow"/>
              </w:rPr>
              <w:t>)</w:t>
            </w:r>
          </w:p>
        </w:tc>
      </w:tr>
      <w:tr w:rsidR="006A7CF5" w14:paraId="2EA230BD" w14:textId="77777777" w:rsidTr="00636F80">
        <w:trPr>
          <w:trHeight w:val="320"/>
        </w:trPr>
        <w:tc>
          <w:tcPr>
            <w:tcW w:w="5000" w:type="pct"/>
            <w:gridSpan w:val="2"/>
          </w:tcPr>
          <w:p w14:paraId="77A9229F" w14:textId="65643AE8" w:rsidR="006A7CF5" w:rsidRDefault="006A7CF5" w:rsidP="00602086">
            <w:pPr>
              <w:jc w:val="left"/>
              <w:rPr>
                <w:color w:val="000000"/>
                <w:szCs w:val="21"/>
              </w:rPr>
            </w:pPr>
            <w:r w:rsidRPr="00602086">
              <w:rPr>
                <w:szCs w:val="21"/>
              </w:rPr>
              <w:t>Differential Expression Analysis (</w:t>
            </w:r>
            <w:r w:rsidRPr="00602086">
              <w:rPr>
                <w:b/>
                <w:bCs/>
                <w:szCs w:val="21"/>
                <w:highlight w:val="yellow"/>
              </w:rPr>
              <w:t>Only for Grouping with control samples</w:t>
            </w:r>
            <w:r w:rsidRPr="00602086">
              <w:rPr>
                <w:szCs w:val="21"/>
              </w:rPr>
              <w:t>)</w:t>
            </w:r>
          </w:p>
        </w:tc>
      </w:tr>
      <w:tr w:rsidR="006A7CF5" w:rsidRPr="006A7CF5" w14:paraId="3D904CC3" w14:textId="77777777" w:rsidTr="00602086">
        <w:trPr>
          <w:trHeight w:val="320"/>
        </w:trPr>
        <w:tc>
          <w:tcPr>
            <w:tcW w:w="1791" w:type="pct"/>
            <w:vMerge w:val="restart"/>
            <w:vAlign w:val="center"/>
          </w:tcPr>
          <w:p w14:paraId="55A7C75C" w14:textId="77777777" w:rsidR="006A7CF5" w:rsidRDefault="006A7CF5" w:rsidP="00602086">
            <w:pPr>
              <w:jc w:val="left"/>
              <w:rPr>
                <w:color w:val="000000"/>
                <w:szCs w:val="21"/>
              </w:rPr>
            </w:pPr>
            <w:r w:rsidRPr="00602086">
              <w:rPr>
                <w:szCs w:val="21"/>
              </w:rPr>
              <w:t xml:space="preserve">Functional Analysis of </w:t>
            </w:r>
            <w:r w:rsidRPr="00602086">
              <w:rPr>
                <w:b/>
                <w:bCs/>
                <w:szCs w:val="21"/>
                <w:u w:val="single"/>
              </w:rPr>
              <w:t>Differentially Expressed Genes</w:t>
            </w:r>
            <w:r w:rsidRPr="00602086">
              <w:rPr>
                <w:szCs w:val="21"/>
                <w:u w:val="single"/>
              </w:rPr>
              <w:t xml:space="preserve"> (DEGs)</w:t>
            </w:r>
            <w:r w:rsidRPr="00602086">
              <w:rPr>
                <w:szCs w:val="21"/>
              </w:rPr>
              <w:t xml:space="preserve"> (</w:t>
            </w:r>
            <w:r w:rsidRPr="00602086">
              <w:rPr>
                <w:b/>
                <w:bCs/>
                <w:szCs w:val="21"/>
                <w:highlight w:val="yellow"/>
              </w:rPr>
              <w:t>Only for Grouping with control samples</w:t>
            </w:r>
            <w:r w:rsidRPr="00602086">
              <w:rPr>
                <w:szCs w:val="21"/>
              </w:rPr>
              <w:t>)</w:t>
            </w:r>
          </w:p>
        </w:tc>
        <w:tc>
          <w:tcPr>
            <w:tcW w:w="3209" w:type="pct"/>
          </w:tcPr>
          <w:p w14:paraId="1F34899F" w14:textId="259E2085" w:rsidR="006A7CF5" w:rsidRDefault="006A7CF5" w:rsidP="00602086">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6A7CF5" w:rsidRPr="006A7CF5" w14:paraId="3750AE66" w14:textId="77777777" w:rsidTr="00602086">
        <w:trPr>
          <w:trHeight w:val="320"/>
        </w:trPr>
        <w:tc>
          <w:tcPr>
            <w:tcW w:w="1791" w:type="pct"/>
            <w:vMerge/>
          </w:tcPr>
          <w:p w14:paraId="3C9D8F7B" w14:textId="77777777" w:rsidR="006A7CF5" w:rsidRPr="00CC5E5E" w:rsidRDefault="006A7CF5" w:rsidP="00602086">
            <w:pPr>
              <w:jc w:val="left"/>
              <w:rPr>
                <w:szCs w:val="21"/>
                <w:highlight w:val="darkGray"/>
              </w:rPr>
            </w:pPr>
          </w:p>
        </w:tc>
        <w:tc>
          <w:tcPr>
            <w:tcW w:w="3209" w:type="pct"/>
          </w:tcPr>
          <w:p w14:paraId="039647E4" w14:textId="7184FDC1" w:rsidR="006A7CF5" w:rsidRDefault="006A7CF5" w:rsidP="00602086">
            <w:pPr>
              <w:jc w:val="left"/>
              <w:rPr>
                <w:color w:val="000000"/>
                <w:szCs w:val="21"/>
              </w:rPr>
            </w:pPr>
            <w:r w:rsidRPr="00727750">
              <w:rPr>
                <w:szCs w:val="21"/>
              </w:rPr>
              <w:t>Disease Ontology</w:t>
            </w:r>
            <w:r>
              <w:rPr>
                <w:szCs w:val="21"/>
              </w:rPr>
              <w:t xml:space="preserve"> </w:t>
            </w:r>
            <w:r>
              <w:rPr>
                <w:rFonts w:hint="eastAsia"/>
                <w:szCs w:val="21"/>
              </w:rPr>
              <w:t>(</w:t>
            </w:r>
            <w:r w:rsidRPr="00CC5E5E">
              <w:rPr>
                <w:b/>
                <w:bCs/>
                <w:szCs w:val="21"/>
              </w:rPr>
              <w:t>DO</w:t>
            </w:r>
            <w:r>
              <w:rPr>
                <w:szCs w:val="21"/>
              </w:rPr>
              <w:t xml:space="preserve">) </w:t>
            </w:r>
            <w:r w:rsidRPr="009D478F">
              <w:rPr>
                <w:szCs w:val="21"/>
              </w:rPr>
              <w:t>Enrichment Analysis</w:t>
            </w:r>
            <w:r>
              <w:rPr>
                <w:szCs w:val="21"/>
              </w:rPr>
              <w:t xml:space="preserve"> </w:t>
            </w:r>
            <w:r>
              <w:rPr>
                <w:rFonts w:hint="eastAsia"/>
                <w:szCs w:val="21"/>
              </w:rPr>
              <w:t>(</w:t>
            </w:r>
            <w:r w:rsidRPr="00602086">
              <w:rPr>
                <w:b/>
                <w:bCs/>
                <w:szCs w:val="21"/>
                <w:highlight w:val="yellow"/>
              </w:rPr>
              <w:t xml:space="preserve">Only </w:t>
            </w:r>
            <w:r w:rsidR="003C6BFD" w:rsidRPr="00602086">
              <w:rPr>
                <w:b/>
                <w:bCs/>
                <w:szCs w:val="21"/>
                <w:highlight w:val="yellow"/>
              </w:rPr>
              <w:t>for</w:t>
            </w:r>
            <w:r w:rsidRPr="00602086">
              <w:rPr>
                <w:b/>
                <w:bCs/>
                <w:szCs w:val="21"/>
                <w:highlight w:val="yellow"/>
              </w:rPr>
              <w:t xml:space="preserve"> Human samples</w:t>
            </w:r>
            <w:r>
              <w:rPr>
                <w:szCs w:val="21"/>
              </w:rPr>
              <w:t>)</w:t>
            </w:r>
          </w:p>
        </w:tc>
      </w:tr>
      <w:tr w:rsidR="006A7CF5" w:rsidRPr="006A7CF5" w14:paraId="308A1A6C" w14:textId="77777777" w:rsidTr="00602086">
        <w:trPr>
          <w:trHeight w:val="320"/>
        </w:trPr>
        <w:tc>
          <w:tcPr>
            <w:tcW w:w="1791" w:type="pct"/>
            <w:vMerge/>
          </w:tcPr>
          <w:p w14:paraId="4BDB153D" w14:textId="77777777" w:rsidR="006A7CF5" w:rsidRPr="00CC5E5E" w:rsidRDefault="006A7CF5" w:rsidP="00602086">
            <w:pPr>
              <w:jc w:val="left"/>
              <w:rPr>
                <w:szCs w:val="21"/>
                <w:highlight w:val="darkGray"/>
              </w:rPr>
            </w:pPr>
          </w:p>
        </w:tc>
        <w:tc>
          <w:tcPr>
            <w:tcW w:w="3209" w:type="pct"/>
          </w:tcPr>
          <w:p w14:paraId="2ECAAE36" w14:textId="75623287" w:rsidR="006A7CF5" w:rsidRDefault="006A7CF5" w:rsidP="00602086">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6A7CF5" w:rsidRPr="006A7CF5" w14:paraId="1340EEAE" w14:textId="77777777" w:rsidTr="00602086">
        <w:trPr>
          <w:trHeight w:val="320"/>
        </w:trPr>
        <w:tc>
          <w:tcPr>
            <w:tcW w:w="1791" w:type="pct"/>
            <w:vMerge/>
          </w:tcPr>
          <w:p w14:paraId="7B43E59A" w14:textId="77777777" w:rsidR="006A7CF5" w:rsidRPr="00CC5E5E" w:rsidRDefault="006A7CF5" w:rsidP="00602086">
            <w:pPr>
              <w:jc w:val="left"/>
              <w:rPr>
                <w:szCs w:val="21"/>
                <w:highlight w:val="darkGray"/>
              </w:rPr>
            </w:pPr>
          </w:p>
        </w:tc>
        <w:tc>
          <w:tcPr>
            <w:tcW w:w="3209" w:type="pct"/>
          </w:tcPr>
          <w:p w14:paraId="76CC3602" w14:textId="53394F97" w:rsidR="006A7CF5" w:rsidRDefault="006A7CF5" w:rsidP="00602086">
            <w:pPr>
              <w:jc w:val="left"/>
              <w:rPr>
                <w:color w:val="000000"/>
                <w:szCs w:val="21"/>
              </w:rPr>
            </w:pPr>
            <w:proofErr w:type="spellStart"/>
            <w:r w:rsidRPr="00D123DA">
              <w:rPr>
                <w:szCs w:val="21"/>
              </w:rPr>
              <w:t>Reactome</w:t>
            </w:r>
            <w:proofErr w:type="spellEnd"/>
            <w:r>
              <w:rPr>
                <w:szCs w:val="21"/>
              </w:rPr>
              <w:t xml:space="preserve"> </w:t>
            </w:r>
            <w:r w:rsidRPr="009D478F">
              <w:rPr>
                <w:szCs w:val="21"/>
              </w:rPr>
              <w:t>Pathway Enrichment Analysis</w:t>
            </w:r>
          </w:p>
        </w:tc>
      </w:tr>
      <w:tr w:rsidR="006A7CF5" w:rsidRPr="006A7CF5" w14:paraId="235A2409" w14:textId="77777777" w:rsidTr="00602086">
        <w:trPr>
          <w:trHeight w:val="320"/>
        </w:trPr>
        <w:tc>
          <w:tcPr>
            <w:tcW w:w="1791" w:type="pct"/>
            <w:vMerge/>
          </w:tcPr>
          <w:p w14:paraId="4B53D647" w14:textId="77777777" w:rsidR="006A7CF5" w:rsidRPr="00CC5E5E" w:rsidRDefault="006A7CF5" w:rsidP="00602086">
            <w:pPr>
              <w:jc w:val="left"/>
              <w:rPr>
                <w:szCs w:val="21"/>
                <w:highlight w:val="darkGray"/>
              </w:rPr>
            </w:pPr>
          </w:p>
        </w:tc>
        <w:tc>
          <w:tcPr>
            <w:tcW w:w="3209" w:type="pct"/>
          </w:tcPr>
          <w:p w14:paraId="6A503DA7" w14:textId="58AF3915" w:rsidR="006A7CF5" w:rsidRDefault="006A7CF5" w:rsidP="00602086">
            <w:pPr>
              <w:jc w:val="left"/>
              <w:rPr>
                <w:color w:val="000000"/>
                <w:szCs w:val="21"/>
              </w:rPr>
            </w:pPr>
            <w:r w:rsidRPr="005D2FF5">
              <w:rPr>
                <w:szCs w:val="21"/>
              </w:rPr>
              <w:t>Transcription Factors Functional Annotation analysis</w:t>
            </w:r>
          </w:p>
        </w:tc>
      </w:tr>
      <w:tr w:rsidR="006A7CF5" w:rsidRPr="006A7CF5" w14:paraId="4C76BF3C" w14:textId="77777777" w:rsidTr="00602086">
        <w:trPr>
          <w:trHeight w:val="320"/>
        </w:trPr>
        <w:tc>
          <w:tcPr>
            <w:tcW w:w="1791" w:type="pct"/>
            <w:vMerge/>
          </w:tcPr>
          <w:p w14:paraId="5C09E2EB" w14:textId="77777777" w:rsidR="006A7CF5" w:rsidRPr="00CC5E5E" w:rsidRDefault="006A7CF5" w:rsidP="00602086">
            <w:pPr>
              <w:jc w:val="left"/>
              <w:rPr>
                <w:szCs w:val="21"/>
                <w:highlight w:val="darkGray"/>
              </w:rPr>
            </w:pPr>
          </w:p>
        </w:tc>
        <w:tc>
          <w:tcPr>
            <w:tcW w:w="3209" w:type="pct"/>
          </w:tcPr>
          <w:p w14:paraId="02533076" w14:textId="552DC3AD" w:rsidR="006A7CF5" w:rsidRDefault="006A7CF5" w:rsidP="00602086">
            <w:pPr>
              <w:jc w:val="left"/>
              <w:rPr>
                <w:color w:val="000000"/>
                <w:szCs w:val="21"/>
              </w:rPr>
            </w:pPr>
            <w:r w:rsidRPr="005D2FF5">
              <w:rPr>
                <w:szCs w:val="21"/>
              </w:rPr>
              <w:t>Oncogene Functional Annotation analysis</w:t>
            </w:r>
          </w:p>
        </w:tc>
      </w:tr>
      <w:tr w:rsidR="006A7CF5" w:rsidRPr="006A7CF5" w14:paraId="3B5FEFF8" w14:textId="77777777" w:rsidTr="00602086">
        <w:trPr>
          <w:trHeight w:val="320"/>
        </w:trPr>
        <w:tc>
          <w:tcPr>
            <w:tcW w:w="1791" w:type="pct"/>
            <w:vMerge/>
          </w:tcPr>
          <w:p w14:paraId="41C8CF88" w14:textId="77777777" w:rsidR="006A7CF5" w:rsidRPr="00CC5E5E" w:rsidRDefault="006A7CF5" w:rsidP="00602086">
            <w:pPr>
              <w:jc w:val="left"/>
              <w:rPr>
                <w:szCs w:val="21"/>
                <w:highlight w:val="darkGray"/>
              </w:rPr>
            </w:pPr>
          </w:p>
        </w:tc>
        <w:tc>
          <w:tcPr>
            <w:tcW w:w="3209" w:type="pct"/>
          </w:tcPr>
          <w:p w14:paraId="4FCE60AF" w14:textId="57B8B703" w:rsidR="006A7CF5" w:rsidRDefault="006A7CF5" w:rsidP="00602086">
            <w:pPr>
              <w:jc w:val="left"/>
              <w:rPr>
                <w:color w:val="000000"/>
                <w:szCs w:val="21"/>
              </w:rPr>
            </w:pPr>
            <w:proofErr w:type="spellStart"/>
            <w:r w:rsidRPr="00CC5E5E">
              <w:rPr>
                <w:rFonts w:hint="eastAsia"/>
                <w:szCs w:val="21"/>
                <w:lang w:val="fr-FR"/>
              </w:rPr>
              <w:t>P</w:t>
            </w:r>
            <w:r w:rsidRPr="00CC5E5E">
              <w:rPr>
                <w:szCs w:val="21"/>
                <w:lang w:val="fr-FR"/>
              </w:rPr>
              <w:t>rotein</w:t>
            </w:r>
            <w:proofErr w:type="spellEnd"/>
            <w:r w:rsidRPr="00CC5E5E">
              <w:rPr>
                <w:szCs w:val="21"/>
                <w:lang w:val="fr-FR"/>
              </w:rPr>
              <w:t xml:space="preserve"> </w:t>
            </w:r>
            <w:proofErr w:type="spellStart"/>
            <w:r w:rsidRPr="00CC5E5E">
              <w:rPr>
                <w:szCs w:val="21"/>
                <w:lang w:val="fr-FR"/>
              </w:rPr>
              <w:t>Protein</w:t>
            </w:r>
            <w:proofErr w:type="spellEnd"/>
            <w:r w:rsidRPr="00CC5E5E">
              <w:rPr>
                <w:szCs w:val="21"/>
                <w:lang w:val="fr-FR"/>
              </w:rPr>
              <w:t xml:space="preserve"> Interaction </w:t>
            </w:r>
            <w:proofErr w:type="spellStart"/>
            <w:r w:rsidRPr="00CC5E5E">
              <w:rPr>
                <w:szCs w:val="21"/>
                <w:lang w:val="fr-FR"/>
              </w:rPr>
              <w:t>Analysis</w:t>
            </w:r>
            <w:proofErr w:type="spellEnd"/>
          </w:p>
        </w:tc>
      </w:tr>
      <w:tr w:rsidR="0098669A" w:rsidRPr="0070347A" w14:paraId="2EBC1F43" w14:textId="77777777" w:rsidTr="00602086">
        <w:trPr>
          <w:trHeight w:val="291"/>
        </w:trPr>
        <w:tc>
          <w:tcPr>
            <w:tcW w:w="1791" w:type="pct"/>
            <w:vMerge w:val="restart"/>
            <w:vAlign w:val="center"/>
          </w:tcPr>
          <w:p w14:paraId="48C4C65A" w14:textId="1464F378" w:rsidR="0098669A" w:rsidRPr="0070347A" w:rsidRDefault="0098669A" w:rsidP="00602086">
            <w:pPr>
              <w:jc w:val="left"/>
              <w:rPr>
                <w:color w:val="000000" w:themeColor="text1"/>
                <w:szCs w:val="21"/>
              </w:rPr>
            </w:pPr>
            <w:r w:rsidRPr="003C6BFD">
              <w:rPr>
                <w:color w:val="000000" w:themeColor="text1"/>
                <w:szCs w:val="21"/>
              </w:rPr>
              <w:t>Structural Analysis</w:t>
            </w:r>
          </w:p>
        </w:tc>
        <w:tc>
          <w:tcPr>
            <w:tcW w:w="3209" w:type="pct"/>
          </w:tcPr>
          <w:p w14:paraId="741A4453" w14:textId="1C0B1624" w:rsidR="0098669A" w:rsidRPr="0070347A" w:rsidRDefault="0098669A" w:rsidP="00602086">
            <w:pPr>
              <w:jc w:val="left"/>
              <w:rPr>
                <w:color w:val="000000" w:themeColor="text1"/>
                <w:szCs w:val="21"/>
              </w:rPr>
            </w:pPr>
            <w:r w:rsidRPr="0070347A">
              <w:rPr>
                <w:color w:val="000000" w:themeColor="text1"/>
                <w:szCs w:val="21"/>
              </w:rPr>
              <w:t>Alternative Splicing (</w:t>
            </w:r>
            <w:r w:rsidRPr="00602086">
              <w:rPr>
                <w:b/>
                <w:bCs/>
                <w:color w:val="000000" w:themeColor="text1"/>
                <w:szCs w:val="21"/>
              </w:rPr>
              <w:t>AS</w:t>
            </w:r>
            <w:r w:rsidRPr="0070347A">
              <w:rPr>
                <w:color w:val="000000" w:themeColor="text1"/>
                <w:szCs w:val="21"/>
              </w:rPr>
              <w:t>) Quantification and Differential Expression Analysis</w:t>
            </w:r>
            <w:r>
              <w:rPr>
                <w:color w:val="000000" w:themeColor="text1"/>
                <w:szCs w:val="21"/>
              </w:rPr>
              <w:t xml:space="preserve"> </w:t>
            </w:r>
            <w:r w:rsidRPr="00602086">
              <w:rPr>
                <w:szCs w:val="21"/>
                <w:highlight w:val="yellow"/>
              </w:rPr>
              <w:t>(</w:t>
            </w:r>
            <w:r w:rsidRPr="00602086">
              <w:rPr>
                <w:b/>
                <w:bCs/>
                <w:szCs w:val="21"/>
                <w:highlight w:val="yellow"/>
              </w:rPr>
              <w:t>Only for Grouping with control samples</w:t>
            </w:r>
            <w:r w:rsidRPr="00602086">
              <w:rPr>
                <w:szCs w:val="21"/>
                <w:highlight w:val="yellow"/>
              </w:rPr>
              <w:t>)</w:t>
            </w:r>
          </w:p>
        </w:tc>
      </w:tr>
      <w:tr w:rsidR="0098669A" w:rsidRPr="0070347A" w14:paraId="410B9FFC" w14:textId="77777777" w:rsidTr="00602086">
        <w:trPr>
          <w:trHeight w:val="291"/>
        </w:trPr>
        <w:tc>
          <w:tcPr>
            <w:tcW w:w="1791" w:type="pct"/>
            <w:vMerge/>
          </w:tcPr>
          <w:p w14:paraId="11198B2A" w14:textId="77777777" w:rsidR="0098669A" w:rsidRDefault="0098669A">
            <w:pPr>
              <w:jc w:val="left"/>
              <w:rPr>
                <w:color w:val="000000" w:themeColor="text1"/>
                <w:szCs w:val="21"/>
              </w:rPr>
            </w:pPr>
          </w:p>
        </w:tc>
        <w:tc>
          <w:tcPr>
            <w:tcW w:w="3209" w:type="pct"/>
          </w:tcPr>
          <w:p w14:paraId="1BFC81C8" w14:textId="03E266A2" w:rsidR="0098669A" w:rsidRPr="0070347A" w:rsidRDefault="0098669A" w:rsidP="00602086">
            <w:pPr>
              <w:jc w:val="left"/>
              <w:rPr>
                <w:color w:val="000000" w:themeColor="text1"/>
                <w:szCs w:val="21"/>
              </w:rPr>
            </w:pPr>
            <w:r w:rsidRPr="0070347A">
              <w:rPr>
                <w:color w:val="000000" w:themeColor="text1"/>
                <w:szCs w:val="21"/>
              </w:rPr>
              <w:t>SNP/</w:t>
            </w:r>
            <w:proofErr w:type="spellStart"/>
            <w:r w:rsidRPr="0070347A">
              <w:rPr>
                <w:color w:val="000000" w:themeColor="text1"/>
                <w:szCs w:val="21"/>
              </w:rPr>
              <w:t>InDel</w:t>
            </w:r>
            <w:proofErr w:type="spellEnd"/>
            <w:r w:rsidRPr="0070347A">
              <w:rPr>
                <w:color w:val="000000" w:themeColor="text1"/>
                <w:szCs w:val="21"/>
              </w:rPr>
              <w:t xml:space="preserve"> </w:t>
            </w:r>
            <w:r>
              <w:rPr>
                <w:color w:val="000000" w:themeColor="text1"/>
                <w:szCs w:val="21"/>
              </w:rPr>
              <w:t xml:space="preserve">Detection and Annotation </w:t>
            </w:r>
            <w:r w:rsidRPr="0070347A">
              <w:rPr>
                <w:color w:val="000000" w:themeColor="text1"/>
                <w:szCs w:val="21"/>
              </w:rPr>
              <w:t>Analysis</w:t>
            </w:r>
          </w:p>
        </w:tc>
      </w:tr>
      <w:tr w:rsidR="0098669A" w:rsidRPr="0070347A" w14:paraId="6A5544FF" w14:textId="77777777" w:rsidTr="00602086">
        <w:trPr>
          <w:trHeight w:val="291"/>
        </w:trPr>
        <w:tc>
          <w:tcPr>
            <w:tcW w:w="1791" w:type="pct"/>
            <w:vMerge/>
          </w:tcPr>
          <w:p w14:paraId="3CE2D180" w14:textId="77777777" w:rsidR="0098669A" w:rsidRDefault="0098669A">
            <w:pPr>
              <w:jc w:val="left"/>
              <w:rPr>
                <w:color w:val="000000" w:themeColor="text1"/>
                <w:szCs w:val="21"/>
              </w:rPr>
            </w:pPr>
          </w:p>
        </w:tc>
        <w:tc>
          <w:tcPr>
            <w:tcW w:w="3209" w:type="pct"/>
          </w:tcPr>
          <w:p w14:paraId="648C02D3" w14:textId="4104BB95" w:rsidR="0098669A" w:rsidRPr="0070347A" w:rsidRDefault="0098669A" w:rsidP="00602086">
            <w:pPr>
              <w:jc w:val="left"/>
              <w:rPr>
                <w:color w:val="000000" w:themeColor="text1"/>
                <w:szCs w:val="21"/>
              </w:rPr>
            </w:pPr>
            <w:r w:rsidRPr="0070347A">
              <w:rPr>
                <w:color w:val="000000" w:themeColor="text1"/>
                <w:szCs w:val="21"/>
              </w:rPr>
              <w:t xml:space="preserve">Fusion Gene Analysis </w:t>
            </w:r>
            <w:r w:rsidRPr="00602086">
              <w:rPr>
                <w:color w:val="000000" w:themeColor="text1"/>
                <w:szCs w:val="21"/>
                <w:highlight w:val="yellow"/>
              </w:rPr>
              <w:t>(</w:t>
            </w:r>
            <w:r w:rsidRPr="00602086">
              <w:rPr>
                <w:b/>
                <w:bCs/>
                <w:color w:val="000000" w:themeColor="text1"/>
                <w:szCs w:val="21"/>
                <w:highlight w:val="yellow"/>
              </w:rPr>
              <w:t>Only for Grouping with TUMOR or CANCER tissue/cell line</w:t>
            </w:r>
            <w:r w:rsidRPr="00602086">
              <w:rPr>
                <w:color w:val="000000" w:themeColor="text1"/>
                <w:szCs w:val="21"/>
                <w:highlight w:val="yellow"/>
              </w:rPr>
              <w:t>)</w:t>
            </w:r>
          </w:p>
        </w:tc>
      </w:tr>
      <w:tr w:rsidR="00454C28" w:rsidRPr="003C6BFD" w14:paraId="488EECD1" w14:textId="77777777" w:rsidTr="004B728B">
        <w:trPr>
          <w:trHeight w:val="320"/>
        </w:trPr>
        <w:tc>
          <w:tcPr>
            <w:tcW w:w="1791" w:type="pct"/>
            <w:vMerge w:val="restart"/>
            <w:vAlign w:val="center"/>
          </w:tcPr>
          <w:p w14:paraId="6C2510B3" w14:textId="0E133716" w:rsidR="00454C28" w:rsidRPr="003C6BFD" w:rsidRDefault="00454C28" w:rsidP="00602086">
            <w:pPr>
              <w:jc w:val="left"/>
              <w:rPr>
                <w:color w:val="000000" w:themeColor="text1"/>
                <w:szCs w:val="21"/>
              </w:rPr>
            </w:pPr>
            <w:r w:rsidRPr="003C6BFD">
              <w:rPr>
                <w:color w:val="000000" w:themeColor="text1"/>
                <w:szCs w:val="21"/>
              </w:rPr>
              <w:t xml:space="preserve">Transcriptional Analysis </w:t>
            </w:r>
            <w:r w:rsidRPr="00602086">
              <w:rPr>
                <w:b/>
                <w:bCs/>
                <w:color w:val="000000" w:themeColor="text1"/>
                <w:szCs w:val="21"/>
                <w:highlight w:val="yellow"/>
              </w:rPr>
              <w:t>(Only for Strand Specific Library)</w:t>
            </w:r>
          </w:p>
        </w:tc>
        <w:tc>
          <w:tcPr>
            <w:tcW w:w="3209" w:type="pct"/>
          </w:tcPr>
          <w:p w14:paraId="6BFF9F4B" w14:textId="4C40A0BC" w:rsidR="00454C28" w:rsidRPr="003C6BFD" w:rsidRDefault="00454C28" w:rsidP="00602086">
            <w:pPr>
              <w:jc w:val="left"/>
              <w:rPr>
                <w:color w:val="000000" w:themeColor="text1"/>
                <w:szCs w:val="21"/>
              </w:rPr>
            </w:pPr>
            <w:r>
              <w:rPr>
                <w:rFonts w:hint="eastAsia"/>
                <w:color w:val="000000" w:themeColor="text1"/>
                <w:szCs w:val="21"/>
              </w:rPr>
              <w:t>Transcription</w:t>
            </w:r>
            <w:r>
              <w:rPr>
                <w:color w:val="000000" w:themeColor="text1"/>
                <w:szCs w:val="21"/>
              </w:rPr>
              <w:t xml:space="preserve"> Factor Prediction</w:t>
            </w:r>
          </w:p>
        </w:tc>
      </w:tr>
      <w:tr w:rsidR="00454C28" w:rsidRPr="003C6BFD" w14:paraId="28B81C5E" w14:textId="77777777" w:rsidTr="004B728B">
        <w:trPr>
          <w:trHeight w:val="320"/>
        </w:trPr>
        <w:tc>
          <w:tcPr>
            <w:tcW w:w="1791" w:type="pct"/>
            <w:vMerge/>
          </w:tcPr>
          <w:p w14:paraId="55F85903" w14:textId="77777777" w:rsidR="00454C28" w:rsidRPr="003C6BFD" w:rsidDel="003C6BFD" w:rsidRDefault="00454C28" w:rsidP="00602086">
            <w:pPr>
              <w:jc w:val="left"/>
              <w:rPr>
                <w:color w:val="000000" w:themeColor="text1"/>
                <w:szCs w:val="21"/>
              </w:rPr>
            </w:pPr>
          </w:p>
        </w:tc>
        <w:tc>
          <w:tcPr>
            <w:tcW w:w="3209" w:type="pct"/>
          </w:tcPr>
          <w:p w14:paraId="337BA00F" w14:textId="10E8DAA2" w:rsidR="00454C28" w:rsidRPr="00CC5E5E" w:rsidRDefault="004B728B" w:rsidP="00602086">
            <w:pPr>
              <w:jc w:val="left"/>
              <w:rPr>
                <w:color w:val="000000" w:themeColor="text1"/>
                <w:szCs w:val="21"/>
              </w:rPr>
            </w:pPr>
            <w:r w:rsidRPr="004B728B">
              <w:rPr>
                <w:color w:val="000000" w:themeColor="text1"/>
                <w:szCs w:val="21"/>
              </w:rPr>
              <w:t>Antisense Transcripts Prediction</w:t>
            </w:r>
          </w:p>
        </w:tc>
      </w:tr>
      <w:tr w:rsidR="00454C28" w:rsidRPr="003C6BFD" w14:paraId="3A208D82" w14:textId="77777777" w:rsidTr="003C6BFD">
        <w:trPr>
          <w:trHeight w:val="320"/>
        </w:trPr>
        <w:tc>
          <w:tcPr>
            <w:tcW w:w="1791" w:type="pct"/>
            <w:vMerge/>
          </w:tcPr>
          <w:p w14:paraId="00E842DE" w14:textId="77777777" w:rsidR="00454C28" w:rsidRPr="003C6BFD" w:rsidDel="003C6BFD" w:rsidRDefault="00454C28" w:rsidP="00454C28">
            <w:pPr>
              <w:jc w:val="left"/>
              <w:rPr>
                <w:color w:val="000000" w:themeColor="text1"/>
                <w:szCs w:val="21"/>
              </w:rPr>
            </w:pPr>
          </w:p>
        </w:tc>
        <w:tc>
          <w:tcPr>
            <w:tcW w:w="3209" w:type="pct"/>
          </w:tcPr>
          <w:p w14:paraId="6959EE87" w14:textId="30CDAAEA" w:rsidR="00454C28" w:rsidRPr="00CC5E5E" w:rsidRDefault="00454C28" w:rsidP="00454C28">
            <w:pPr>
              <w:jc w:val="left"/>
              <w:rPr>
                <w:color w:val="000000" w:themeColor="text1"/>
                <w:szCs w:val="21"/>
              </w:rPr>
            </w:pPr>
            <w:r>
              <w:rPr>
                <w:rFonts w:hint="eastAsia"/>
                <w:color w:val="000000" w:themeColor="text1"/>
                <w:szCs w:val="21"/>
              </w:rPr>
              <w:t>T</w:t>
            </w:r>
            <w:r w:rsidRPr="003C6BFD">
              <w:rPr>
                <w:color w:val="000000" w:themeColor="text1"/>
                <w:szCs w:val="21"/>
              </w:rPr>
              <w:t xml:space="preserve">ranscription </w:t>
            </w:r>
            <w:r>
              <w:rPr>
                <w:rFonts w:hint="eastAsia"/>
                <w:color w:val="000000" w:themeColor="text1"/>
                <w:szCs w:val="21"/>
              </w:rPr>
              <w:t>S</w:t>
            </w:r>
            <w:r w:rsidRPr="003C6BFD">
              <w:rPr>
                <w:color w:val="000000" w:themeColor="text1"/>
                <w:szCs w:val="21"/>
              </w:rPr>
              <w:t xml:space="preserve">tart </w:t>
            </w:r>
            <w:r>
              <w:rPr>
                <w:rFonts w:hint="eastAsia"/>
                <w:color w:val="000000" w:themeColor="text1"/>
                <w:szCs w:val="21"/>
              </w:rPr>
              <w:t>S</w:t>
            </w:r>
            <w:r w:rsidRPr="003C6BFD">
              <w:rPr>
                <w:color w:val="000000" w:themeColor="text1"/>
                <w:szCs w:val="21"/>
              </w:rPr>
              <w:t>ite</w:t>
            </w:r>
            <w:r>
              <w:rPr>
                <w:color w:val="000000" w:themeColor="text1"/>
                <w:szCs w:val="21"/>
              </w:rPr>
              <w:t xml:space="preserve"> (</w:t>
            </w:r>
            <w:r w:rsidRPr="00CC5E5E">
              <w:rPr>
                <w:b/>
                <w:bCs/>
                <w:color w:val="000000" w:themeColor="text1"/>
                <w:szCs w:val="21"/>
              </w:rPr>
              <w:t>TSS</w:t>
            </w:r>
            <w:r>
              <w:rPr>
                <w:color w:val="000000" w:themeColor="text1"/>
                <w:szCs w:val="21"/>
              </w:rPr>
              <w:t>)</w:t>
            </w:r>
            <w:r w:rsidRPr="00CC5E5E">
              <w:rPr>
                <w:color w:val="000000" w:themeColor="text1"/>
                <w:szCs w:val="21"/>
              </w:rPr>
              <w:t xml:space="preserve"> and </w:t>
            </w:r>
            <w:r>
              <w:rPr>
                <w:rFonts w:hint="eastAsia"/>
                <w:color w:val="000000" w:themeColor="text1"/>
                <w:szCs w:val="21"/>
              </w:rPr>
              <w:t>T</w:t>
            </w:r>
            <w:r w:rsidRPr="003C6BFD">
              <w:rPr>
                <w:color w:val="000000" w:themeColor="text1"/>
                <w:szCs w:val="21"/>
              </w:rPr>
              <w:t xml:space="preserve">ranscription </w:t>
            </w:r>
            <w:r>
              <w:rPr>
                <w:color w:val="000000" w:themeColor="text1"/>
                <w:szCs w:val="21"/>
              </w:rPr>
              <w:t>Termina</w:t>
            </w:r>
            <w:r>
              <w:rPr>
                <w:rFonts w:hint="eastAsia"/>
                <w:color w:val="000000" w:themeColor="text1"/>
                <w:szCs w:val="21"/>
              </w:rPr>
              <w:t>tion</w:t>
            </w:r>
            <w:r w:rsidRPr="003C6BFD">
              <w:rPr>
                <w:color w:val="000000" w:themeColor="text1"/>
                <w:szCs w:val="21"/>
              </w:rPr>
              <w:t xml:space="preserve"> </w:t>
            </w:r>
            <w:r>
              <w:rPr>
                <w:color w:val="000000" w:themeColor="text1"/>
                <w:szCs w:val="21"/>
              </w:rPr>
              <w:t>S</w:t>
            </w:r>
            <w:r w:rsidRPr="003C6BFD">
              <w:rPr>
                <w:color w:val="000000" w:themeColor="text1"/>
                <w:szCs w:val="21"/>
              </w:rPr>
              <w:t xml:space="preserve">ite </w:t>
            </w:r>
            <w:r>
              <w:rPr>
                <w:color w:val="000000" w:themeColor="text1"/>
                <w:szCs w:val="21"/>
              </w:rPr>
              <w:t>(</w:t>
            </w:r>
            <w:r w:rsidRPr="00CC5E5E">
              <w:rPr>
                <w:b/>
                <w:bCs/>
                <w:color w:val="000000" w:themeColor="text1"/>
                <w:szCs w:val="21"/>
              </w:rPr>
              <w:t>TSS</w:t>
            </w:r>
            <w:r>
              <w:rPr>
                <w:color w:val="000000" w:themeColor="text1"/>
                <w:szCs w:val="21"/>
              </w:rPr>
              <w:t>)</w:t>
            </w:r>
            <w:r w:rsidRPr="00CC5E5E">
              <w:rPr>
                <w:color w:val="000000" w:themeColor="text1"/>
                <w:szCs w:val="21"/>
              </w:rPr>
              <w:t xml:space="preserve"> Prediction</w:t>
            </w:r>
          </w:p>
        </w:tc>
      </w:tr>
    </w:tbl>
    <w:p w14:paraId="494543D3" w14:textId="4BF9650C" w:rsidR="003935FB" w:rsidRPr="00F02104" w:rsidRDefault="003935FB" w:rsidP="000D6D6D">
      <w:pPr>
        <w:rPr>
          <w:szCs w:val="21"/>
        </w:rPr>
      </w:pPr>
      <w:bookmarkStart w:id="0" w:name="_GoBack"/>
      <w:bookmarkEnd w:id="0"/>
    </w:p>
    <w:sectPr w:rsidR="003935FB" w:rsidRPr="00F02104"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3FD89" w14:textId="77777777" w:rsidR="00CA51F9" w:rsidRDefault="00CA51F9" w:rsidP="00634D04">
      <w:r>
        <w:separator/>
      </w:r>
    </w:p>
  </w:endnote>
  <w:endnote w:type="continuationSeparator" w:id="0">
    <w:p w14:paraId="7FD46E5A" w14:textId="77777777" w:rsidR="00CA51F9" w:rsidRDefault="00CA51F9"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CA6B" w14:textId="77777777" w:rsidR="004457C0" w:rsidRPr="004457C0" w:rsidRDefault="004457C0" w:rsidP="004457C0">
    <w:pPr>
      <w:rPr>
        <w:b/>
        <w:color w:val="000000"/>
        <w:sz w:val="15"/>
        <w:szCs w:val="15"/>
        <w:shd w:val="clear" w:color="auto" w:fill="FFFFFF"/>
      </w:rPr>
    </w:pPr>
    <w:r w:rsidRPr="004457C0">
      <w:rPr>
        <w:b/>
        <w:color w:val="000000"/>
        <w:sz w:val="15"/>
        <w:szCs w:val="15"/>
        <w:shd w:val="clear" w:color="auto" w:fill="FFFFFF"/>
      </w:rPr>
      <w:t>NOVOGENE CORPORATION INC                                     8801 Folsom Blvd #290, Sacramento, CA 95826</w:t>
    </w:r>
  </w:p>
  <w:p w14:paraId="6D656005" w14:textId="77777777" w:rsidR="004B728B" w:rsidRDefault="004B7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DCFF8" w14:textId="77777777" w:rsidR="00CA51F9" w:rsidRDefault="00CA51F9" w:rsidP="00634D04">
      <w:r>
        <w:separator/>
      </w:r>
    </w:p>
  </w:footnote>
  <w:footnote w:type="continuationSeparator" w:id="0">
    <w:p w14:paraId="5A201903" w14:textId="77777777" w:rsidR="00CA51F9" w:rsidRDefault="00CA51F9"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4B728B" w:rsidRDefault="00CA51F9" w:rsidP="00AA0FEF">
    <w:pPr>
      <w:pStyle w:val="Header"/>
      <w:jc w:val="both"/>
    </w:pPr>
    <w:r>
      <w:rPr>
        <w:noProof/>
      </w:rPr>
      <w:pict w14:anchorId="69969E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4B728B">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437D8C"/>
    <w:multiLevelType w:val="hybridMultilevel"/>
    <w:tmpl w:val="B66A7E50"/>
    <w:lvl w:ilvl="0" w:tplc="BC48A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12C"/>
    <w:rsid w:val="00015FAF"/>
    <w:rsid w:val="00021F61"/>
    <w:rsid w:val="0002343D"/>
    <w:rsid w:val="00026FF2"/>
    <w:rsid w:val="00044454"/>
    <w:rsid w:val="00053EAB"/>
    <w:rsid w:val="000558E1"/>
    <w:rsid w:val="000613FA"/>
    <w:rsid w:val="000633BA"/>
    <w:rsid w:val="00067BCE"/>
    <w:rsid w:val="00082B11"/>
    <w:rsid w:val="00091BFA"/>
    <w:rsid w:val="00092410"/>
    <w:rsid w:val="00097727"/>
    <w:rsid w:val="000A1E58"/>
    <w:rsid w:val="000A5D57"/>
    <w:rsid w:val="000C7708"/>
    <w:rsid w:val="000D1153"/>
    <w:rsid w:val="000D1866"/>
    <w:rsid w:val="000D6D6D"/>
    <w:rsid w:val="00100A35"/>
    <w:rsid w:val="00102FB2"/>
    <w:rsid w:val="00111705"/>
    <w:rsid w:val="00113987"/>
    <w:rsid w:val="00126355"/>
    <w:rsid w:val="00126818"/>
    <w:rsid w:val="0013259F"/>
    <w:rsid w:val="00133A03"/>
    <w:rsid w:val="00143C47"/>
    <w:rsid w:val="00144B6C"/>
    <w:rsid w:val="00154E61"/>
    <w:rsid w:val="00160ABB"/>
    <w:rsid w:val="00162F1F"/>
    <w:rsid w:val="001725DA"/>
    <w:rsid w:val="0019459E"/>
    <w:rsid w:val="001A5D1A"/>
    <w:rsid w:val="001B333C"/>
    <w:rsid w:val="001B5AF4"/>
    <w:rsid w:val="001C18B4"/>
    <w:rsid w:val="001F2812"/>
    <w:rsid w:val="001F5A55"/>
    <w:rsid w:val="00202FBF"/>
    <w:rsid w:val="002063CC"/>
    <w:rsid w:val="002148A6"/>
    <w:rsid w:val="0023060F"/>
    <w:rsid w:val="00231210"/>
    <w:rsid w:val="00234F04"/>
    <w:rsid w:val="00234F11"/>
    <w:rsid w:val="00236698"/>
    <w:rsid w:val="002411C4"/>
    <w:rsid w:val="00244AE9"/>
    <w:rsid w:val="002458E5"/>
    <w:rsid w:val="0025167B"/>
    <w:rsid w:val="00254B91"/>
    <w:rsid w:val="00260881"/>
    <w:rsid w:val="002626AE"/>
    <w:rsid w:val="0026633A"/>
    <w:rsid w:val="002B564B"/>
    <w:rsid w:val="002B65C6"/>
    <w:rsid w:val="002C44B8"/>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BFD"/>
    <w:rsid w:val="003C6D40"/>
    <w:rsid w:val="003D0462"/>
    <w:rsid w:val="003D4805"/>
    <w:rsid w:val="003D66BE"/>
    <w:rsid w:val="003E4621"/>
    <w:rsid w:val="003E7456"/>
    <w:rsid w:val="003F0ED1"/>
    <w:rsid w:val="003F20BC"/>
    <w:rsid w:val="00404DA5"/>
    <w:rsid w:val="004062FE"/>
    <w:rsid w:val="004123D7"/>
    <w:rsid w:val="00423A1D"/>
    <w:rsid w:val="00436E6B"/>
    <w:rsid w:val="004457C0"/>
    <w:rsid w:val="00454245"/>
    <w:rsid w:val="00454C28"/>
    <w:rsid w:val="004731F9"/>
    <w:rsid w:val="004809FA"/>
    <w:rsid w:val="00486795"/>
    <w:rsid w:val="004875D0"/>
    <w:rsid w:val="00487E4F"/>
    <w:rsid w:val="00495679"/>
    <w:rsid w:val="004A5105"/>
    <w:rsid w:val="004B728B"/>
    <w:rsid w:val="004D03A5"/>
    <w:rsid w:val="004D220E"/>
    <w:rsid w:val="004D50EA"/>
    <w:rsid w:val="004F5FD7"/>
    <w:rsid w:val="005015DF"/>
    <w:rsid w:val="00510E2D"/>
    <w:rsid w:val="00515138"/>
    <w:rsid w:val="0052008D"/>
    <w:rsid w:val="00533322"/>
    <w:rsid w:val="00536E15"/>
    <w:rsid w:val="00537DBA"/>
    <w:rsid w:val="005522D1"/>
    <w:rsid w:val="005616BF"/>
    <w:rsid w:val="005630B2"/>
    <w:rsid w:val="00567FB6"/>
    <w:rsid w:val="00575748"/>
    <w:rsid w:val="00580CD4"/>
    <w:rsid w:val="00590588"/>
    <w:rsid w:val="005A127A"/>
    <w:rsid w:val="005B2DBE"/>
    <w:rsid w:val="005C795E"/>
    <w:rsid w:val="005D2FF5"/>
    <w:rsid w:val="005D7C16"/>
    <w:rsid w:val="005E455B"/>
    <w:rsid w:val="00602086"/>
    <w:rsid w:val="00603B08"/>
    <w:rsid w:val="00604B9D"/>
    <w:rsid w:val="0061554B"/>
    <w:rsid w:val="00626AED"/>
    <w:rsid w:val="00630C11"/>
    <w:rsid w:val="00634D04"/>
    <w:rsid w:val="00636F80"/>
    <w:rsid w:val="00636F9C"/>
    <w:rsid w:val="00647FA0"/>
    <w:rsid w:val="00656E6D"/>
    <w:rsid w:val="006614FE"/>
    <w:rsid w:val="00663249"/>
    <w:rsid w:val="00672F3C"/>
    <w:rsid w:val="00675F30"/>
    <w:rsid w:val="006764BB"/>
    <w:rsid w:val="0069478E"/>
    <w:rsid w:val="006A1B32"/>
    <w:rsid w:val="006A3814"/>
    <w:rsid w:val="006A7CF5"/>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27750"/>
    <w:rsid w:val="00730C2D"/>
    <w:rsid w:val="00736755"/>
    <w:rsid w:val="00755224"/>
    <w:rsid w:val="0075769A"/>
    <w:rsid w:val="00760B00"/>
    <w:rsid w:val="007802CC"/>
    <w:rsid w:val="0078050F"/>
    <w:rsid w:val="007814E1"/>
    <w:rsid w:val="00790BC4"/>
    <w:rsid w:val="0079796A"/>
    <w:rsid w:val="007A52FC"/>
    <w:rsid w:val="007A66FA"/>
    <w:rsid w:val="007C4685"/>
    <w:rsid w:val="007C4708"/>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E76D5"/>
    <w:rsid w:val="008F1F9F"/>
    <w:rsid w:val="008F5882"/>
    <w:rsid w:val="00905C59"/>
    <w:rsid w:val="009115EE"/>
    <w:rsid w:val="0091198D"/>
    <w:rsid w:val="009125D0"/>
    <w:rsid w:val="009222DA"/>
    <w:rsid w:val="00931F5C"/>
    <w:rsid w:val="00937058"/>
    <w:rsid w:val="00941602"/>
    <w:rsid w:val="00975845"/>
    <w:rsid w:val="0098669A"/>
    <w:rsid w:val="00995A72"/>
    <w:rsid w:val="009B15A3"/>
    <w:rsid w:val="009C3A40"/>
    <w:rsid w:val="009C4903"/>
    <w:rsid w:val="009C4A6F"/>
    <w:rsid w:val="009D0980"/>
    <w:rsid w:val="009D33F2"/>
    <w:rsid w:val="009D478F"/>
    <w:rsid w:val="009D4C5F"/>
    <w:rsid w:val="009D58BA"/>
    <w:rsid w:val="009E3DF5"/>
    <w:rsid w:val="009E68DA"/>
    <w:rsid w:val="00A13033"/>
    <w:rsid w:val="00A23FB3"/>
    <w:rsid w:val="00A26FD5"/>
    <w:rsid w:val="00A27ADF"/>
    <w:rsid w:val="00A329FD"/>
    <w:rsid w:val="00A34C9B"/>
    <w:rsid w:val="00A4303F"/>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C5687"/>
    <w:rsid w:val="00BE190D"/>
    <w:rsid w:val="00BF5C79"/>
    <w:rsid w:val="00BF6559"/>
    <w:rsid w:val="00BF7352"/>
    <w:rsid w:val="00C02B21"/>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51F9"/>
    <w:rsid w:val="00CA6115"/>
    <w:rsid w:val="00CB5DA2"/>
    <w:rsid w:val="00CB6EBB"/>
    <w:rsid w:val="00CC358A"/>
    <w:rsid w:val="00CC4045"/>
    <w:rsid w:val="00CC7135"/>
    <w:rsid w:val="00CC7730"/>
    <w:rsid w:val="00CD1CF2"/>
    <w:rsid w:val="00CF6DE2"/>
    <w:rsid w:val="00D0346C"/>
    <w:rsid w:val="00D0396F"/>
    <w:rsid w:val="00D10E39"/>
    <w:rsid w:val="00D123DA"/>
    <w:rsid w:val="00D175E8"/>
    <w:rsid w:val="00D23823"/>
    <w:rsid w:val="00D26805"/>
    <w:rsid w:val="00D41539"/>
    <w:rsid w:val="00D517C4"/>
    <w:rsid w:val="00D51954"/>
    <w:rsid w:val="00D52F12"/>
    <w:rsid w:val="00D555A6"/>
    <w:rsid w:val="00D700DC"/>
    <w:rsid w:val="00D8214E"/>
    <w:rsid w:val="00D9308C"/>
    <w:rsid w:val="00D953E7"/>
    <w:rsid w:val="00DA1AB2"/>
    <w:rsid w:val="00DA1F24"/>
    <w:rsid w:val="00DA4426"/>
    <w:rsid w:val="00DA6F4A"/>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2F1A"/>
    <w:rsid w:val="00EB36D5"/>
    <w:rsid w:val="00EC3DE7"/>
    <w:rsid w:val="00EC6C80"/>
    <w:rsid w:val="00ED05ED"/>
    <w:rsid w:val="00ED4B04"/>
    <w:rsid w:val="00ED65DB"/>
    <w:rsid w:val="00EE0E55"/>
    <w:rsid w:val="00F02104"/>
    <w:rsid w:val="00F050B1"/>
    <w:rsid w:val="00F07D0D"/>
    <w:rsid w:val="00F103F4"/>
    <w:rsid w:val="00F13E61"/>
    <w:rsid w:val="00F20694"/>
    <w:rsid w:val="00F36227"/>
    <w:rsid w:val="00F37C7A"/>
    <w:rsid w:val="00F41764"/>
    <w:rsid w:val="00F418CA"/>
    <w:rsid w:val="00F429DC"/>
    <w:rsid w:val="00F5206D"/>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table" w:styleId="TableWeb3">
    <w:name w:val="Table Web 3"/>
    <w:basedOn w:val="TableNormal"/>
    <w:uiPriority w:val="99"/>
    <w:rsid w:val="007814E1"/>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8E76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0453248">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E7D14-4209-42A9-97E9-76DE466D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60</cp:revision>
  <cp:lastPrinted>2018-11-15T00:19:00Z</cp:lastPrinted>
  <dcterms:created xsi:type="dcterms:W3CDTF">2018-12-07T18:54:00Z</dcterms:created>
  <dcterms:modified xsi:type="dcterms:W3CDTF">2019-10-30T18:20:00Z</dcterms:modified>
</cp:coreProperties>
</file>