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494302"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  [25%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2 exercises, spanning Weeks 1–7 and 8–14: (20% ex 1, 20% ex 2 respectively)  [total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proofErr w:type="gramStart"/>
        <w:r w:rsidR="00C636B9">
          <w:rPr>
            <w:rStyle w:val="Hyperlink"/>
          </w:rPr>
          <w:t>l</w:t>
        </w:r>
        <w:r w:rsidR="00156846" w:rsidRPr="00E65A6F">
          <w:rPr>
            <w:rStyle w:val="Hyperlink"/>
          </w:rPr>
          <w:t>ink</w:t>
        </w:r>
        <w:proofErr w:type="gramEnd"/>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077081">
          <w:rPr>
            <w:rStyle w:val="Hyperlink"/>
          </w:rPr>
          <w:t>l</w:t>
        </w:r>
        <w:r w:rsidR="00077081" w:rsidRPr="00F56728">
          <w:rPr>
            <w:rStyle w:val="Hyperlink"/>
          </w:rPr>
          <w:t>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20" w:history="1">
        <w:proofErr w:type="gramStart"/>
        <w:r w:rsidR="00281BB9">
          <w:rPr>
            <w:rStyle w:val="Hyperlink"/>
          </w:rPr>
          <w:t>l</w:t>
        </w:r>
        <w:r w:rsidR="00077081" w:rsidRPr="00F56728">
          <w:rPr>
            <w:rStyle w:val="Hyperlink"/>
          </w:rPr>
          <w:t>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3"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4"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r w:rsidR="00CD0EA4">
        <w:t xml:space="preserve"> </w:t>
      </w:r>
      <w:hyperlink r:id="rId25"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6" w:history="1">
        <w:r w:rsidR="00CD0EA4" w:rsidRPr="00CD0EA4">
          <w:rPr>
            <w:rStyle w:val="Hyperlink"/>
          </w:rPr>
          <w:t>Link</w:t>
        </w:r>
      </w:hyperlink>
    </w:p>
    <w:p w14:paraId="1BB9CFE2" w14:textId="68E72A47" w:rsidR="00D77DBF" w:rsidRDefault="00325111" w:rsidP="00D77DBF">
      <w:proofErr w:type="gramStart"/>
      <w:r>
        <w:t>[17</w:t>
      </w:r>
      <w:r w:rsidR="007477A3">
        <w:t xml:space="preserve">]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r w:rsidR="00CD0EA4">
        <w:t xml:space="preserve"> </w:t>
      </w:r>
      <w:hyperlink r:id="rId27"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proofErr w:type="gramStart"/>
      <w:r>
        <w:t>[18</w:t>
      </w:r>
      <w:r w:rsidR="007477A3">
        <w:t>]</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hyperlink r:id="rId28"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proofErr w:type="gramStart"/>
      <w:r>
        <w:t>[19</w:t>
      </w:r>
      <w:r w:rsidR="007477A3">
        <w:t>]</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29" w:history="1">
        <w:proofErr w:type="gramStart"/>
        <w:r w:rsidR="00D77DBF" w:rsidRPr="00F56728">
          <w:rPr>
            <w:rStyle w:val="Hyperlink"/>
          </w:rPr>
          <w:t>link</w:t>
        </w:r>
        <w:proofErr w:type="gramEnd"/>
      </w:hyperlink>
    </w:p>
    <w:p w14:paraId="37945004" w14:textId="218728EE" w:rsidR="00D77DBF" w:rsidRPr="00F56728" w:rsidRDefault="00325111" w:rsidP="00D77DBF">
      <w:r>
        <w:t>[20</w:t>
      </w:r>
      <w:r w:rsidR="007477A3">
        <w:t>]</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30" w:history="1">
        <w:proofErr w:type="gramStart"/>
        <w:r w:rsidR="00D77DBF" w:rsidRPr="00F56728">
          <w:rPr>
            <w:rStyle w:val="Hyperlink"/>
          </w:rPr>
          <w:t>link</w:t>
        </w:r>
        <w:proofErr w:type="gramEnd"/>
      </w:hyperlink>
    </w:p>
    <w:p w14:paraId="4FCE7F05" w14:textId="7F3958FE" w:rsidR="00D77DBF" w:rsidRDefault="00325111" w:rsidP="00D77DBF">
      <w:r>
        <w:t>[21</w:t>
      </w:r>
      <w:r w:rsidR="007477A3">
        <w:t>]</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31"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32" w:history="1">
        <w:proofErr w:type="gramStart"/>
        <w:r w:rsidR="00D77DBF" w:rsidRPr="00F56728">
          <w:rPr>
            <w:rStyle w:val="Hyperlink"/>
          </w:rPr>
          <w:t>link</w:t>
        </w:r>
        <w:proofErr w:type="gramEnd"/>
      </w:hyperlink>
    </w:p>
    <w:p w14:paraId="7BD0B7E4" w14:textId="09EA5CD7" w:rsidR="00D77DBF" w:rsidRPr="00F56728" w:rsidRDefault="00325111" w:rsidP="00D77DBF">
      <w:proofErr w:type="gramStart"/>
      <w:r>
        <w:t>[23</w:t>
      </w:r>
      <w:r w:rsidR="007477A3">
        <w:t>]</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33"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2D3A466D" w:rsidR="00E65A6F" w:rsidRDefault="00325111" w:rsidP="00D77DBF">
      <w:r>
        <w:t>[24</w:t>
      </w:r>
      <w:r w:rsidR="007477A3">
        <w:t>]</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34" w:history="1">
        <w:proofErr w:type="gramStart"/>
        <w:r w:rsidR="00E65A6F" w:rsidRPr="00E65A6F">
          <w:rPr>
            <w:rStyle w:val="Hyperlink"/>
          </w:rPr>
          <w:t>link</w:t>
        </w:r>
        <w:proofErr w:type="gramEnd"/>
      </w:hyperlink>
    </w:p>
    <w:p w14:paraId="195CDE02" w14:textId="091F7A40" w:rsidR="00D77DBF" w:rsidRPr="00F56728" w:rsidRDefault="00325111" w:rsidP="00D77DBF">
      <w:r>
        <w:t>[25</w:t>
      </w:r>
      <w:r w:rsidR="007477A3">
        <w:t xml:space="preserve">]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5" w:history="1">
        <w:proofErr w:type="gramStart"/>
        <w:r w:rsidR="00D77DBF" w:rsidRPr="00F56728">
          <w:rPr>
            <w:rStyle w:val="Hyperlink"/>
          </w:rPr>
          <w:t>link</w:t>
        </w:r>
        <w:proofErr w:type="gramEnd"/>
      </w:hyperlink>
    </w:p>
    <w:p w14:paraId="1ABDC167" w14:textId="2E5AB950" w:rsidR="00D77DBF" w:rsidRDefault="00325111" w:rsidP="00D77DBF">
      <w:pPr>
        <w:rPr>
          <w:rStyle w:val="Hyperlink"/>
        </w:rPr>
      </w:pPr>
      <w:r>
        <w:lastRenderedPageBreak/>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6"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18E0514E" w14:textId="709BCC8A" w:rsidR="00494302" w:rsidRPr="00E65A6F" w:rsidRDefault="00325111" w:rsidP="00494302">
      <w:r>
        <w:t>[27</w:t>
      </w:r>
      <w:r w:rsidR="007477A3">
        <w:t>]</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w:t>
      </w:r>
      <w:proofErr w:type="gramStart"/>
      <w:r w:rsidR="00494302">
        <w:t>Optional</w:t>
      </w:r>
      <w:r w:rsidR="00494302" w:rsidRPr="000A4C68">
        <w:t xml:space="preserve"> :</w:t>
      </w:r>
      <w:proofErr w:type="gramEnd"/>
      <w:r w:rsidR="00494302" w:rsidRPr="000A4C68">
        <w:t> 3.3.2-3.4.7, 3.5</w:t>
      </w:r>
    </w:p>
    <w:p w14:paraId="5EBD2278" w14:textId="77777777" w:rsidR="00494302" w:rsidRDefault="00494302" w:rsidP="00D77DBF"/>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7" w:history="1">
        <w:proofErr w:type="gramStart"/>
        <w:r w:rsidR="00BF465E">
          <w:rPr>
            <w:rStyle w:val="Hyperlink"/>
          </w:rPr>
          <w:t>l</w:t>
        </w:r>
        <w:r w:rsidR="00156846" w:rsidRPr="00EF71C7">
          <w:rPr>
            <w:rStyle w:val="Hyperlink"/>
          </w:rPr>
          <w:t>ink</w:t>
        </w:r>
        <w:proofErr w:type="gramEnd"/>
      </w:hyperlink>
    </w:p>
    <w:p w14:paraId="3955E22F" w14:textId="11FD35A7" w:rsidR="00D77DBF" w:rsidRDefault="00325111" w:rsidP="00D77DBF">
      <w:r>
        <w:t>[29</w:t>
      </w:r>
      <w:r w:rsidR="007477A3">
        <w:t>]</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8" w:history="1">
        <w:proofErr w:type="gramStart"/>
        <w:r w:rsidR="008F7F68">
          <w:rPr>
            <w:rStyle w:val="Hyperlink"/>
          </w:rPr>
          <w:t>l</w:t>
        </w:r>
        <w:r w:rsidR="00970D97" w:rsidRPr="00EF71C7">
          <w:rPr>
            <w:rStyle w:val="Hyperlink"/>
          </w:rPr>
          <w:t>ink</w:t>
        </w:r>
        <w:proofErr w:type="gramEnd"/>
      </w:hyperlink>
    </w:p>
    <w:p w14:paraId="2ED2FB65" w14:textId="67BF37B5" w:rsidR="00D77DBF" w:rsidRDefault="00325111" w:rsidP="00D77DBF">
      <w:pPr>
        <w:rPr>
          <w:rStyle w:val="Hyperlink"/>
        </w:rPr>
      </w:pPr>
      <w:proofErr w:type="gramStart"/>
      <w:r>
        <w:t>[30</w:t>
      </w:r>
      <w:r w:rsidR="007477A3">
        <w:t>]</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39" w:history="1">
        <w:proofErr w:type="gramStart"/>
        <w:r w:rsidR="008F7F68">
          <w:rPr>
            <w:rStyle w:val="Hyperlink"/>
          </w:rPr>
          <w:t>l</w:t>
        </w:r>
        <w:r w:rsidR="00970D97" w:rsidRPr="00EF71C7">
          <w:rPr>
            <w:rStyle w:val="Hyperlink"/>
          </w:rPr>
          <w:t>ink</w:t>
        </w:r>
        <w:proofErr w:type="gramEnd"/>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074A8C2E" w14:textId="3703EE5E" w:rsidR="000A4C68" w:rsidRPr="00494302" w:rsidRDefault="00325111" w:rsidP="00D77DBF">
      <w:pPr>
        <w:rPr>
          <w:color w:val="0080FF" w:themeColor="hyperlink"/>
          <w:u w:val="single"/>
        </w:rPr>
      </w:pPr>
      <w:r>
        <w:t xml:space="preserve">[31] </w:t>
      </w:r>
      <w:proofErr w:type="gramStart"/>
      <w:r w:rsidRPr="00F56728">
        <w:t>Allen</w:t>
      </w:r>
      <w:r>
        <w:t>, B.</w:t>
      </w:r>
      <w:r w:rsidRPr="00F56728">
        <w:t xml:space="preserve">, </w:t>
      </w:r>
      <w:proofErr w:type="spellStart"/>
      <w:r w:rsidRPr="00F56728">
        <w:t>Bresnahan</w:t>
      </w:r>
      <w:proofErr w:type="spellEnd"/>
      <w:r w:rsidRPr="00F56728">
        <w:t>,</w:t>
      </w:r>
      <w:r>
        <w:t xml:space="preserve"> J.,</w:t>
      </w:r>
      <w:r w:rsidRPr="00F56728">
        <w:t xml:space="preserve"> Childers,</w:t>
      </w:r>
      <w:r>
        <w:t xml:space="preserve"> L.,</w:t>
      </w:r>
      <w:r w:rsidRPr="00F56728">
        <w:t xml:space="preserve"> Foster,</w:t>
      </w:r>
      <w:r>
        <w:t xml:space="preserve"> I.,</w:t>
      </w:r>
      <w:r w:rsidRPr="00F56728">
        <w:t xml:space="preserve"> </w:t>
      </w:r>
      <w:proofErr w:type="spellStart"/>
      <w:r w:rsidRPr="00F56728">
        <w:t>Kandaswamy</w:t>
      </w:r>
      <w:proofErr w:type="spellEnd"/>
      <w:r w:rsidRPr="00F56728">
        <w:t>,</w:t>
      </w:r>
      <w:r>
        <w:t xml:space="preserve"> G.,</w:t>
      </w:r>
      <w:r w:rsidRPr="00F56728">
        <w:t xml:space="preserve"> </w:t>
      </w:r>
      <w:proofErr w:type="spellStart"/>
      <w:r w:rsidRPr="00F56728">
        <w:t>Kettimuthu</w:t>
      </w:r>
      <w:proofErr w:type="spellEnd"/>
      <w:r w:rsidRPr="00F56728">
        <w:t>,</w:t>
      </w:r>
      <w:r>
        <w:t xml:space="preserve"> R.,</w:t>
      </w:r>
      <w:r w:rsidRPr="00F56728">
        <w:t xml:space="preserve"> </w:t>
      </w:r>
      <w:proofErr w:type="spellStart"/>
      <w:r w:rsidRPr="00F56728">
        <w:t>Kordas</w:t>
      </w:r>
      <w:proofErr w:type="spellEnd"/>
      <w:r w:rsidRPr="00F56728">
        <w:t>,</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proofErr w:type="spellStart"/>
      <w:r w:rsidRPr="00F56728">
        <w:t>Tuecke</w:t>
      </w:r>
      <w:proofErr w:type="spellEnd"/>
      <w:r>
        <w:t>, S</w:t>
      </w:r>
      <w:r w:rsidRPr="00F56728">
        <w:t xml:space="preserve">. </w:t>
      </w:r>
      <w:r>
        <w:t>(2012).</w:t>
      </w:r>
      <w:proofErr w:type="gramEnd"/>
      <w:r>
        <w:t xml:space="preserve"> </w:t>
      </w:r>
      <w:proofErr w:type="gramStart"/>
      <w:r w:rsidRPr="00F56728">
        <w:t xml:space="preserve">Software as a </w:t>
      </w:r>
      <w:r>
        <w:t>s</w:t>
      </w:r>
      <w:r w:rsidRPr="00F56728">
        <w:t xml:space="preserve">ervice for </w:t>
      </w:r>
      <w:r>
        <w:t>d</w:t>
      </w:r>
      <w:r w:rsidRPr="00F56728">
        <w:t xml:space="preserve">ata </w:t>
      </w:r>
      <w:r>
        <w:t>s</w:t>
      </w:r>
      <w:r w:rsidRPr="00F56728">
        <w:t>cientists.</w:t>
      </w:r>
      <w:proofErr w:type="gramEnd"/>
      <w:r w:rsidRPr="00F56728">
        <w:t xml:space="preserve"> </w:t>
      </w:r>
      <w:proofErr w:type="gramStart"/>
      <w:r w:rsidRPr="005E000C">
        <w:rPr>
          <w:i/>
        </w:rPr>
        <w:t>Communications of the ACM, 55</w:t>
      </w:r>
      <w:r>
        <w:t>(2)</w:t>
      </w:r>
      <w:r w:rsidRPr="00F56728">
        <w:t>.</w:t>
      </w:r>
      <w:proofErr w:type="gramEnd"/>
      <w:r w:rsidRPr="00F56728">
        <w:t xml:space="preserve"> </w:t>
      </w:r>
      <w:hyperlink r:id="rId40" w:history="1">
        <w:r w:rsidRPr="00F56728">
          <w:rPr>
            <w:rStyle w:val="Hyperlink"/>
          </w:rPr>
          <w:t>Link</w:t>
        </w:r>
      </w:hyperlink>
      <w:bookmarkStart w:id="2" w:name="_GoBack"/>
      <w:bookmarkEnd w:id="2"/>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lastRenderedPageBreak/>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lastRenderedPageBreak/>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lastRenderedPageBreak/>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494302">
            <w:rPr>
              <w:noProof/>
            </w:rPr>
            <w:t>5</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6007E"/>
    <w:rsid w:val="00374FEA"/>
    <w:rsid w:val="00416259"/>
    <w:rsid w:val="00427683"/>
    <w:rsid w:val="00443307"/>
    <w:rsid w:val="00494302"/>
    <w:rsid w:val="004B45A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27558"/>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research.microsoft.com/en-us/um/people/srikanth/netdb11/netdb11papers/netdb11-final12.pdf" TargetMode="External"/><Relationship Id="rId24" Type="http://schemas.openxmlformats.org/officeDocument/2006/relationships/hyperlink" Target="http://people.csail.mit.edu/matei/papers/2010/hotcloud_spark.pdf" TargetMode="External"/><Relationship Id="rId25" Type="http://schemas.openxmlformats.org/officeDocument/2006/relationships/hyperlink" Target="https://github.com/jarikoi/interesting-papers/blob/master/mapreduce-osdi04.pdf" TargetMode="External"/><Relationship Id="rId26" Type="http://schemas.openxmlformats.org/officeDocument/2006/relationships/hyperlink" Target="https://github.com/jarikoi/interesting-papers/blob/master/p73-graefe.pdf" TargetMode="External"/><Relationship Id="rId27" Type="http://schemas.openxmlformats.org/officeDocument/2006/relationships/hyperlink" Target="https://github.com/jarikoi/interesting-papers/blob/master/pods98-tutorial.pdf" TargetMode="External"/><Relationship Id="rId28" Type="http://schemas.openxmlformats.org/officeDocument/2006/relationships/hyperlink" Target="https://github.com/jarikoi/interesting-papers/blob/master/stonebraker-vldb2005.pdf" TargetMode="External"/><Relationship Id="rId29" Type="http://schemas.openxmlformats.org/officeDocument/2006/relationships/hyperlink" Target="http://marces.org/EDMS623/Stevens%20SS%20(1946)%20On%20the%20Theory%20of%20Scales%20of%20Measuremen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ime.unicamp.br/~lramos/me710/tukey" TargetMode="External"/><Relationship Id="rId31" Type="http://schemas.openxmlformats.org/officeDocument/2006/relationships/hyperlink" Target="http://static.googleusercontent.com/media/research.google.com/en/us/pubs/archive/36632.pdf" TargetMode="External"/><Relationship Id="rId32" Type="http://schemas.openxmlformats.org/officeDocument/2006/relationships/hyperlink" Target="http://www.slideshare.net/KarthikRamasamy3/storm-twitter"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l.acm.org/citation.cfm?id=2742788" TargetMode="External"/><Relationship Id="rId34" Type="http://schemas.openxmlformats.org/officeDocument/2006/relationships/hyperlink" Target="https://www.cs.purdue.edu/homes/ake/pub/TKDE-0240-0605-1.pdf" TargetMode="External"/><Relationship Id="rId35" Type="http://schemas.openxmlformats.org/officeDocument/2006/relationships/hyperlink" Target="http://dbs.uni-leipzig.de/file/TBDE2000.pdf" TargetMode="External"/><Relationship Id="rId36" Type="http://schemas.openxmlformats.org/officeDocument/2006/relationships/hyperlink" Target="http://courses.washington.edu/geog482/resource/14_Beyond_Accuracy.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amaral-lab.org/media/publication_pdfs/Amaral-2000-Proc.Natl.Acad.Sci.U.S.A.-97-11149.pdf" TargetMode="External"/><Relationship Id="rId38" Type="http://schemas.openxmlformats.org/officeDocument/2006/relationships/hyperlink" Target="http://amaral-lab.org/media/publication_pdfs/Liljeros-2001-Nature-411-907.pdf" TargetMode="External"/><Relationship Id="rId39" Type="http://schemas.openxmlformats.org/officeDocument/2006/relationships/hyperlink" Target="http://arxiv.org/abs/cond-mat/0007214/" TargetMode="External"/><Relationship Id="rId40" Type="http://schemas.openxmlformats.org/officeDocument/2006/relationships/hyperlink" Target="https://github.com/jarikoi/interesting-papers/blob/master/p81-allen.pdf"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C4C3C-9C08-8D4B-AB3E-2F89FD9B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2471</Words>
  <Characters>14086</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16524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3</cp:revision>
  <cp:lastPrinted>2016-04-09T21:47:00Z</cp:lastPrinted>
  <dcterms:created xsi:type="dcterms:W3CDTF">2016-04-09T21:47:00Z</dcterms:created>
  <dcterms:modified xsi:type="dcterms:W3CDTF">2016-04-09T21:53:00Z</dcterms:modified>
</cp:coreProperties>
</file>