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BD6AD" w14:textId="3B3ADB6E" w:rsidR="00457AFB" w:rsidRPr="00457AFB" w:rsidRDefault="00457AFB" w:rsidP="00457AFB">
      <w:pPr>
        <w:pStyle w:val="Header"/>
        <w:jc w:val="center"/>
        <w:rPr>
          <w:b/>
          <w:bCs/>
          <w:color w:val="000000" w:themeColor="text1"/>
          <w:sz w:val="36"/>
          <w:szCs w:val="36"/>
          <w:lang w:val="en-US"/>
        </w:rPr>
      </w:pPr>
      <w:r w:rsidRPr="00457AFB">
        <w:rPr>
          <w:b/>
          <w:bCs/>
          <w:color w:val="000000" w:themeColor="text1"/>
          <w:sz w:val="36"/>
          <w:szCs w:val="36"/>
          <w:lang w:val="en-US"/>
        </w:rPr>
        <w:t>Summary: Finance Transaction</w:t>
      </w:r>
    </w:p>
    <w:p w14:paraId="4F9FA64E" w14:textId="77777777" w:rsidR="00457AFB" w:rsidRPr="00457AFB" w:rsidRDefault="00457AFB" w:rsidP="00457AFB">
      <w:pPr>
        <w:ind w:left="360" w:hanging="360"/>
        <w:rPr>
          <w:sz w:val="24"/>
          <w:szCs w:val="24"/>
        </w:rPr>
      </w:pPr>
    </w:p>
    <w:p w14:paraId="6FA6A9B1" w14:textId="582C4932" w:rsidR="00457AFB" w:rsidRPr="00457AFB" w:rsidRDefault="00457AFB" w:rsidP="00457AFB">
      <w:pPr>
        <w:pStyle w:val="ListParagraph"/>
        <w:numPr>
          <w:ilvl w:val="0"/>
          <w:numId w:val="3"/>
        </w:numPr>
        <w:spacing w:line="240" w:lineRule="auto"/>
        <w:rPr>
          <w:sz w:val="24"/>
          <w:szCs w:val="24"/>
        </w:rPr>
      </w:pPr>
      <w:r w:rsidRPr="00457AFB">
        <w:rPr>
          <w:b/>
          <w:bCs/>
          <w:sz w:val="24"/>
          <w:szCs w:val="24"/>
        </w:rPr>
        <w:t>Half of All Payments Are Failing (Critical Issue)</w:t>
      </w:r>
      <w:r w:rsidRPr="00457AFB">
        <w:rPr>
          <w:sz w:val="24"/>
          <w:szCs w:val="24"/>
        </w:rPr>
        <w:t xml:space="preserve"> Out of 12,000 total transaction </w:t>
      </w:r>
      <w:proofErr w:type="gramStart"/>
      <w:r w:rsidRPr="00457AFB">
        <w:rPr>
          <w:sz w:val="24"/>
          <w:szCs w:val="24"/>
        </w:rPr>
        <w:t>attempts,</w:t>
      </w:r>
      <w:proofErr w:type="gramEnd"/>
      <w:r w:rsidRPr="00457AFB">
        <w:rPr>
          <w:sz w:val="24"/>
          <w:szCs w:val="24"/>
        </w:rPr>
        <w:t xml:space="preserve"> </w:t>
      </w:r>
      <w:r w:rsidRPr="00457AFB">
        <w:rPr>
          <w:sz w:val="24"/>
          <w:szCs w:val="24"/>
        </w:rPr>
        <w:t xml:space="preserve">the data shows an exact </w:t>
      </w:r>
      <w:r w:rsidRPr="00457AFB">
        <w:rPr>
          <w:b/>
          <w:bCs/>
          <w:sz w:val="24"/>
          <w:szCs w:val="24"/>
        </w:rPr>
        <w:t>49.97% success rate</w:t>
      </w:r>
      <w:r w:rsidRPr="00457AFB">
        <w:rPr>
          <w:sz w:val="24"/>
          <w:szCs w:val="24"/>
        </w:rPr>
        <w:t xml:space="preserve"> </w:t>
      </w:r>
      <w:r w:rsidRPr="00457AFB">
        <w:rPr>
          <w:sz w:val="24"/>
          <w:szCs w:val="24"/>
        </w:rPr>
        <w:t>and</w:t>
      </w:r>
      <w:r w:rsidRPr="00457AFB">
        <w:rPr>
          <w:sz w:val="24"/>
          <w:szCs w:val="24"/>
        </w:rPr>
        <w:t xml:space="preserve"> a </w:t>
      </w:r>
      <w:r w:rsidRPr="00457AFB">
        <w:rPr>
          <w:b/>
          <w:bCs/>
          <w:sz w:val="24"/>
          <w:szCs w:val="24"/>
        </w:rPr>
        <w:t>50.03% failure rate</w:t>
      </w:r>
      <w:r w:rsidRPr="00457AFB">
        <w:rPr>
          <w:sz w:val="24"/>
          <w:szCs w:val="24"/>
        </w:rPr>
        <w:t>. This means the business is effectively losing half of its sales at the checkout counter, directly causing massive revenue losses, decreasing customer trust, and creating an influx of support complaints.</w:t>
      </w:r>
      <w:r w:rsidRPr="00457AFB">
        <w:rPr>
          <w:sz w:val="24"/>
          <w:szCs w:val="24"/>
        </w:rPr>
        <w:br/>
      </w:r>
    </w:p>
    <w:p w14:paraId="67C8DF4A" w14:textId="083363DD" w:rsidR="00457AFB" w:rsidRPr="00457AFB" w:rsidRDefault="00457AFB" w:rsidP="00457AFB">
      <w:pPr>
        <w:pStyle w:val="ListParagraph"/>
        <w:numPr>
          <w:ilvl w:val="0"/>
          <w:numId w:val="3"/>
        </w:numPr>
        <w:spacing w:line="240" w:lineRule="auto"/>
        <w:rPr>
          <w:sz w:val="24"/>
          <w:szCs w:val="24"/>
        </w:rPr>
      </w:pPr>
      <w:r w:rsidRPr="00457AFB">
        <w:rPr>
          <w:b/>
          <w:bCs/>
          <w:sz w:val="24"/>
          <w:szCs w:val="24"/>
        </w:rPr>
        <w:t>Suspiciously High Fraud Flags Across All Categories</w:t>
      </w:r>
      <w:r w:rsidRPr="00457AFB">
        <w:rPr>
          <w:sz w:val="24"/>
          <w:szCs w:val="24"/>
        </w:rPr>
        <w:t xml:space="preserve"> The system flags </w:t>
      </w:r>
      <w:r w:rsidRPr="00457AFB">
        <w:rPr>
          <w:b/>
          <w:bCs/>
          <w:sz w:val="24"/>
          <w:szCs w:val="24"/>
        </w:rPr>
        <w:t>49.24% of all transactions</w:t>
      </w:r>
      <w:r w:rsidRPr="00457AFB">
        <w:rPr>
          <w:sz w:val="24"/>
          <w:szCs w:val="24"/>
        </w:rPr>
        <w:t xml:space="preserve"> as fraudulent. This risk is uniformly spread across all major spending categories, led by </w:t>
      </w:r>
      <w:r w:rsidRPr="00457AFB">
        <w:rPr>
          <w:b/>
          <w:bCs/>
          <w:sz w:val="24"/>
          <w:szCs w:val="24"/>
        </w:rPr>
        <w:t>Travel (50.35%)</w:t>
      </w:r>
      <w:r w:rsidRPr="00457AFB">
        <w:rPr>
          <w:sz w:val="24"/>
          <w:szCs w:val="24"/>
        </w:rPr>
        <w:t xml:space="preserve">, </w:t>
      </w:r>
      <w:r w:rsidRPr="00457AFB">
        <w:rPr>
          <w:b/>
          <w:bCs/>
          <w:sz w:val="24"/>
          <w:szCs w:val="24"/>
        </w:rPr>
        <w:t>Food (50.23%)</w:t>
      </w:r>
      <w:r w:rsidRPr="00457AFB">
        <w:rPr>
          <w:sz w:val="24"/>
          <w:szCs w:val="24"/>
        </w:rPr>
        <w:t xml:space="preserve">, and </w:t>
      </w:r>
      <w:r w:rsidRPr="00457AFB">
        <w:rPr>
          <w:b/>
          <w:bCs/>
          <w:sz w:val="24"/>
          <w:szCs w:val="24"/>
        </w:rPr>
        <w:t>Bills (50.00%)</w:t>
      </w:r>
      <w:r w:rsidRPr="00457AFB">
        <w:rPr>
          <w:sz w:val="24"/>
          <w:szCs w:val="24"/>
        </w:rPr>
        <w:t>. Because these rates are almost exactly half for every single category, it is highly likely that your security system is using overly broad rules that mistake normal customers for scammers.</w:t>
      </w:r>
      <w:r w:rsidRPr="00457AFB">
        <w:rPr>
          <w:sz w:val="24"/>
          <w:szCs w:val="24"/>
        </w:rPr>
        <w:br/>
      </w:r>
    </w:p>
    <w:p w14:paraId="202AFA9E" w14:textId="78290185" w:rsidR="00457AFB" w:rsidRPr="00457AFB" w:rsidRDefault="00457AFB" w:rsidP="00457AFB">
      <w:pPr>
        <w:pStyle w:val="ListParagraph"/>
        <w:numPr>
          <w:ilvl w:val="0"/>
          <w:numId w:val="3"/>
        </w:numPr>
        <w:spacing w:line="240" w:lineRule="auto"/>
        <w:rPr>
          <w:sz w:val="24"/>
          <w:szCs w:val="24"/>
        </w:rPr>
      </w:pPr>
      <w:r w:rsidRPr="00457AFB">
        <w:rPr>
          <w:b/>
          <w:bCs/>
          <w:sz w:val="24"/>
          <w:szCs w:val="24"/>
        </w:rPr>
        <w:t>Preferred Digital Payment Channels Are Underperforming</w:t>
      </w:r>
      <w:r w:rsidRPr="00457AFB">
        <w:rPr>
          <w:sz w:val="24"/>
          <w:szCs w:val="24"/>
        </w:rPr>
        <w:t xml:space="preserve"> The two digital methods that modern customers use and prefer most are failing the most frequently. </w:t>
      </w:r>
      <w:r w:rsidRPr="00457AFB">
        <w:rPr>
          <w:b/>
          <w:bCs/>
          <w:sz w:val="24"/>
          <w:szCs w:val="24"/>
        </w:rPr>
        <w:t>Cards carry the lowest success rate at 48.25%</w:t>
      </w:r>
      <w:r w:rsidRPr="00457AFB">
        <w:rPr>
          <w:sz w:val="24"/>
          <w:szCs w:val="24"/>
        </w:rPr>
        <w:t xml:space="preserve">, followed by </w:t>
      </w:r>
      <w:r w:rsidRPr="00457AFB">
        <w:rPr>
          <w:b/>
          <w:bCs/>
          <w:sz w:val="24"/>
          <w:szCs w:val="24"/>
        </w:rPr>
        <w:t>UPI at 48.75%</w:t>
      </w:r>
      <w:r w:rsidRPr="00457AFB">
        <w:rPr>
          <w:sz w:val="24"/>
          <w:szCs w:val="24"/>
        </w:rPr>
        <w:t xml:space="preserve">. Meanwhile, legacy methods like Cash (51.88%) and </w:t>
      </w:r>
      <w:proofErr w:type="spellStart"/>
      <w:r w:rsidRPr="00457AFB">
        <w:rPr>
          <w:sz w:val="24"/>
          <w:szCs w:val="24"/>
        </w:rPr>
        <w:t>Netbanking</w:t>
      </w:r>
      <w:proofErr w:type="spellEnd"/>
      <w:r w:rsidRPr="00457AFB">
        <w:rPr>
          <w:sz w:val="24"/>
          <w:szCs w:val="24"/>
        </w:rPr>
        <w:t xml:space="preserve"> (50.45%) perform better, proving there is major, avoidable friction in your primary digital channels.</w:t>
      </w:r>
      <w:r w:rsidRPr="00457AFB">
        <w:rPr>
          <w:sz w:val="24"/>
          <w:szCs w:val="24"/>
        </w:rPr>
        <w:br/>
      </w:r>
    </w:p>
    <w:p w14:paraId="2BDD45FC" w14:textId="4888AFBB" w:rsidR="00457AFB" w:rsidRPr="00457AFB" w:rsidRDefault="00457AFB" w:rsidP="00457AFB">
      <w:pPr>
        <w:pStyle w:val="ListParagraph"/>
        <w:numPr>
          <w:ilvl w:val="0"/>
          <w:numId w:val="3"/>
        </w:numPr>
        <w:spacing w:line="240" w:lineRule="auto"/>
        <w:rPr>
          <w:sz w:val="24"/>
          <w:szCs w:val="24"/>
        </w:rPr>
      </w:pPr>
      <w:r w:rsidRPr="00457AFB">
        <w:rPr>
          <w:b/>
          <w:bCs/>
          <w:sz w:val="24"/>
          <w:szCs w:val="24"/>
        </w:rPr>
        <w:t>HDFC Bank Exhibits the Weakest Performance</w:t>
      </w:r>
      <w:r w:rsidRPr="00457AFB">
        <w:rPr>
          <w:sz w:val="24"/>
          <w:szCs w:val="24"/>
        </w:rPr>
        <w:t xml:space="preserve"> When analy</w:t>
      </w:r>
      <w:r w:rsidRPr="00457AFB">
        <w:rPr>
          <w:sz w:val="24"/>
          <w:szCs w:val="24"/>
        </w:rPr>
        <w:t>s</w:t>
      </w:r>
      <w:r w:rsidRPr="00457AFB">
        <w:rPr>
          <w:sz w:val="24"/>
          <w:szCs w:val="24"/>
        </w:rPr>
        <w:t xml:space="preserve">ing success by specific financial institutions, </w:t>
      </w:r>
      <w:r w:rsidRPr="00457AFB">
        <w:rPr>
          <w:b/>
          <w:bCs/>
          <w:sz w:val="24"/>
          <w:szCs w:val="24"/>
        </w:rPr>
        <w:t>HDFC stands out as the weakest performer with a 48.04% success rate</w:t>
      </w:r>
      <w:r w:rsidRPr="00457AFB">
        <w:rPr>
          <w:sz w:val="24"/>
          <w:szCs w:val="24"/>
        </w:rPr>
        <w:t>, while ICICI leads at 51.08%. This indicates a need to urgently review your payment gateway routing rules and response patterns for HDFC-issued cards or accounts.</w:t>
      </w:r>
    </w:p>
    <w:p w14:paraId="2AEFD7C6" w14:textId="77777777" w:rsidR="00457AFB" w:rsidRPr="00457AFB" w:rsidRDefault="00457AFB" w:rsidP="00457AFB">
      <w:pPr>
        <w:pStyle w:val="ListParagraph"/>
        <w:spacing w:line="240" w:lineRule="auto"/>
        <w:ind w:left="360"/>
        <w:rPr>
          <w:sz w:val="24"/>
          <w:szCs w:val="24"/>
        </w:rPr>
      </w:pPr>
    </w:p>
    <w:p w14:paraId="4C74B5D9" w14:textId="77777777" w:rsidR="00457AFB" w:rsidRPr="00457AFB" w:rsidRDefault="00457AFB" w:rsidP="00457AFB">
      <w:pPr>
        <w:pStyle w:val="ListParagraph"/>
        <w:numPr>
          <w:ilvl w:val="0"/>
          <w:numId w:val="3"/>
        </w:numPr>
        <w:spacing w:line="240" w:lineRule="auto"/>
        <w:rPr>
          <w:sz w:val="24"/>
          <w:szCs w:val="24"/>
        </w:rPr>
      </w:pPr>
      <w:r w:rsidRPr="00457AFB">
        <w:rPr>
          <w:b/>
          <w:bCs/>
          <w:sz w:val="24"/>
          <w:szCs w:val="24"/>
        </w:rPr>
        <w:t>Kerala Dominates Regional Transaction Value</w:t>
      </w:r>
      <w:r w:rsidRPr="00457AFB">
        <w:rPr>
          <w:sz w:val="24"/>
          <w:szCs w:val="24"/>
        </w:rPr>
        <w:t xml:space="preserve"> </w:t>
      </w:r>
      <w:r w:rsidRPr="00457AFB">
        <w:rPr>
          <w:b/>
          <w:bCs/>
          <w:sz w:val="24"/>
          <w:szCs w:val="24"/>
        </w:rPr>
        <w:t>Kerala is your clear powerhouse market, generating ₹120.4 million in transaction value</w:t>
      </w:r>
      <w:r w:rsidRPr="00457AFB">
        <w:rPr>
          <w:sz w:val="24"/>
          <w:szCs w:val="24"/>
        </w:rPr>
        <w:t xml:space="preserve"> </w:t>
      </w:r>
      <w:r w:rsidRPr="00457AFB">
        <w:rPr>
          <w:sz w:val="24"/>
          <w:szCs w:val="24"/>
        </w:rPr>
        <w:t>more than double the next highest states (West Bengal at ₹58.5M and Karnataka at ₹58.4M). This heavy concentration makes Kerala your most strategically important region for both revenue expansion and risk management.</w:t>
      </w:r>
    </w:p>
    <w:p w14:paraId="34711F39" w14:textId="77777777" w:rsidR="00457AFB" w:rsidRPr="00457AFB" w:rsidRDefault="00457AFB" w:rsidP="00457AFB">
      <w:pPr>
        <w:pStyle w:val="ListParagraph"/>
        <w:spacing w:line="240" w:lineRule="auto"/>
        <w:rPr>
          <w:b/>
          <w:bCs/>
          <w:sz w:val="24"/>
          <w:szCs w:val="24"/>
        </w:rPr>
      </w:pPr>
    </w:p>
    <w:p w14:paraId="41CC27EC" w14:textId="3600E300" w:rsidR="00457AFB" w:rsidRPr="00457AFB" w:rsidRDefault="00457AFB" w:rsidP="00457AFB">
      <w:pPr>
        <w:pStyle w:val="ListParagraph"/>
        <w:numPr>
          <w:ilvl w:val="0"/>
          <w:numId w:val="3"/>
        </w:numPr>
        <w:spacing w:line="240" w:lineRule="auto"/>
        <w:rPr>
          <w:sz w:val="24"/>
          <w:szCs w:val="24"/>
        </w:rPr>
      </w:pPr>
      <w:r w:rsidRPr="00457AFB">
        <w:rPr>
          <w:b/>
          <w:bCs/>
          <w:sz w:val="24"/>
          <w:szCs w:val="24"/>
        </w:rPr>
        <w:t>Top Categories by Volume:</w:t>
      </w:r>
      <w:r w:rsidRPr="00457AFB">
        <w:rPr>
          <w:sz w:val="24"/>
          <w:szCs w:val="24"/>
        </w:rPr>
        <w:t xml:space="preserve"> </w:t>
      </w:r>
      <w:r w:rsidRPr="00457AFB">
        <w:rPr>
          <w:b/>
          <w:bCs/>
          <w:sz w:val="24"/>
          <w:szCs w:val="24"/>
        </w:rPr>
        <w:t>Recharge</w:t>
      </w:r>
      <w:r w:rsidRPr="00457AFB">
        <w:rPr>
          <w:sz w:val="24"/>
          <w:szCs w:val="24"/>
        </w:rPr>
        <w:t xml:space="preserve"> leads both in transaction count (2061 transactions) and total transaction value (</w:t>
      </w:r>
      <w:r w:rsidRPr="00457AFB">
        <w:rPr>
          <w:b/>
          <w:bCs/>
          <w:sz w:val="24"/>
          <w:szCs w:val="24"/>
        </w:rPr>
        <w:t>₹79.67M</w:t>
      </w:r>
      <w:r w:rsidRPr="00457AFB">
        <w:rPr>
          <w:sz w:val="24"/>
          <w:szCs w:val="24"/>
        </w:rPr>
        <w:t xml:space="preserve">), closely followed by </w:t>
      </w:r>
      <w:r w:rsidRPr="00457AFB">
        <w:rPr>
          <w:b/>
          <w:bCs/>
          <w:sz w:val="24"/>
          <w:szCs w:val="24"/>
        </w:rPr>
        <w:t>Shopping</w:t>
      </w:r>
      <w:r w:rsidRPr="00457AFB">
        <w:rPr>
          <w:sz w:val="24"/>
          <w:szCs w:val="24"/>
        </w:rPr>
        <w:t xml:space="preserve"> (₹79.35M) and </w:t>
      </w:r>
      <w:r w:rsidRPr="00457AFB">
        <w:rPr>
          <w:b/>
          <w:bCs/>
          <w:sz w:val="24"/>
          <w:szCs w:val="24"/>
        </w:rPr>
        <w:t>Travel</w:t>
      </w:r>
      <w:r w:rsidRPr="00457AFB">
        <w:rPr>
          <w:sz w:val="24"/>
          <w:szCs w:val="24"/>
        </w:rPr>
        <w:t xml:space="preserve"> (₹79.06M).</w:t>
      </w:r>
    </w:p>
    <w:p w14:paraId="502468CB" w14:textId="77777777" w:rsidR="00457AFB" w:rsidRPr="00457AFB" w:rsidRDefault="00457AFB" w:rsidP="00457AFB">
      <w:pPr>
        <w:pStyle w:val="ListParagraph"/>
        <w:spacing w:line="240" w:lineRule="auto"/>
        <w:rPr>
          <w:b/>
          <w:bCs/>
          <w:sz w:val="24"/>
          <w:szCs w:val="24"/>
        </w:rPr>
      </w:pPr>
    </w:p>
    <w:p w14:paraId="4C8664D7" w14:textId="67B2DF5D" w:rsidR="00457AFB" w:rsidRPr="00457AFB" w:rsidRDefault="00457AFB" w:rsidP="00457AFB">
      <w:pPr>
        <w:pStyle w:val="ListParagraph"/>
        <w:numPr>
          <w:ilvl w:val="0"/>
          <w:numId w:val="3"/>
        </w:numPr>
        <w:spacing w:line="240" w:lineRule="auto"/>
        <w:rPr>
          <w:sz w:val="24"/>
          <w:szCs w:val="24"/>
        </w:rPr>
      </w:pPr>
      <w:r w:rsidRPr="00457AFB">
        <w:rPr>
          <w:b/>
          <w:bCs/>
          <w:sz w:val="24"/>
          <w:szCs w:val="24"/>
        </w:rPr>
        <w:t>Success &amp; Failure Rates:</w:t>
      </w:r>
      <w:r w:rsidRPr="00457AFB">
        <w:rPr>
          <w:sz w:val="24"/>
          <w:szCs w:val="24"/>
        </w:rPr>
        <w:t xml:space="preserve"> Payment success fluctuates heavily by category. </w:t>
      </w:r>
      <w:r w:rsidRPr="00457AFB">
        <w:rPr>
          <w:b/>
          <w:bCs/>
          <w:sz w:val="24"/>
          <w:szCs w:val="24"/>
        </w:rPr>
        <w:t>Bill payments</w:t>
      </w:r>
      <w:r w:rsidRPr="00457AFB">
        <w:rPr>
          <w:sz w:val="24"/>
          <w:szCs w:val="24"/>
        </w:rPr>
        <w:t xml:space="preserve"> enjoy the highest success rate (</w:t>
      </w:r>
      <w:r w:rsidRPr="00457AFB">
        <w:rPr>
          <w:b/>
          <w:bCs/>
          <w:sz w:val="24"/>
          <w:szCs w:val="24"/>
        </w:rPr>
        <w:t>52.14%</w:t>
      </w:r>
      <w:r w:rsidRPr="00457AFB">
        <w:rPr>
          <w:sz w:val="24"/>
          <w:szCs w:val="24"/>
        </w:rPr>
        <w:t xml:space="preserve">), whereas </w:t>
      </w:r>
      <w:r w:rsidRPr="00457AFB">
        <w:rPr>
          <w:b/>
          <w:bCs/>
          <w:sz w:val="24"/>
          <w:szCs w:val="24"/>
        </w:rPr>
        <w:t>Food orders</w:t>
      </w:r>
      <w:r w:rsidRPr="00457AFB">
        <w:rPr>
          <w:sz w:val="24"/>
          <w:szCs w:val="24"/>
        </w:rPr>
        <w:t xml:space="preserve"> see the worst performance with a </w:t>
      </w:r>
      <w:r w:rsidRPr="00457AFB">
        <w:rPr>
          <w:b/>
          <w:bCs/>
          <w:sz w:val="24"/>
          <w:szCs w:val="24"/>
        </w:rPr>
        <w:t>47.80%</w:t>
      </w:r>
      <w:r w:rsidRPr="00457AFB">
        <w:rPr>
          <w:sz w:val="24"/>
          <w:szCs w:val="24"/>
        </w:rPr>
        <w:t xml:space="preserve"> success rate.</w:t>
      </w:r>
    </w:p>
    <w:p w14:paraId="443A5F78" w14:textId="75B926A8" w:rsidR="00457AFB" w:rsidRPr="00457AFB" w:rsidRDefault="00457AFB" w:rsidP="00457AFB">
      <w:pPr>
        <w:pStyle w:val="ListParagraph"/>
        <w:ind w:left="360"/>
        <w:rPr>
          <w:sz w:val="24"/>
          <w:szCs w:val="24"/>
          <w:u w:val="single"/>
        </w:rPr>
      </w:pPr>
      <w:r w:rsidRPr="00457AFB">
        <w:rPr>
          <w:b/>
          <w:bCs/>
          <w:sz w:val="28"/>
          <w:szCs w:val="28"/>
          <w:u w:val="single"/>
        </w:rPr>
        <w:t>Key Business Decisions</w:t>
      </w:r>
      <w:r w:rsidRPr="00457AFB">
        <w:rPr>
          <w:b/>
          <w:bCs/>
          <w:sz w:val="24"/>
          <w:szCs w:val="24"/>
          <w:u w:val="single"/>
        </w:rPr>
        <w:br/>
      </w:r>
    </w:p>
    <w:p w14:paraId="58664051" w14:textId="5535382E" w:rsidR="00457AFB" w:rsidRDefault="00457AFB" w:rsidP="00457AFB">
      <w:pPr>
        <w:pStyle w:val="ListParagraph"/>
        <w:numPr>
          <w:ilvl w:val="0"/>
          <w:numId w:val="3"/>
        </w:numPr>
        <w:rPr>
          <w:b/>
          <w:bCs/>
          <w:sz w:val="24"/>
          <w:szCs w:val="24"/>
        </w:rPr>
      </w:pPr>
      <w:r w:rsidRPr="00457AFB">
        <w:rPr>
          <w:b/>
          <w:bCs/>
          <w:sz w:val="24"/>
          <w:szCs w:val="24"/>
        </w:rPr>
        <w:t>Get an Automatic Backup Payment System</w:t>
      </w:r>
      <w:r w:rsidRPr="00457AFB">
        <w:rPr>
          <w:b/>
          <w:bCs/>
          <w:sz w:val="24"/>
          <w:szCs w:val="24"/>
        </w:rPr>
        <w:br/>
      </w:r>
      <w:r w:rsidRPr="00457AFB">
        <w:rPr>
          <w:sz w:val="24"/>
          <w:szCs w:val="24"/>
        </w:rPr>
        <w:t xml:space="preserve"> Since </w:t>
      </w:r>
      <w:proofErr w:type="spellStart"/>
      <w:r w:rsidRPr="00457AFB">
        <w:rPr>
          <w:sz w:val="24"/>
          <w:szCs w:val="24"/>
        </w:rPr>
        <w:t>NetBanking</w:t>
      </w:r>
      <w:proofErr w:type="spellEnd"/>
      <w:r w:rsidRPr="00457AFB">
        <w:rPr>
          <w:sz w:val="24"/>
          <w:szCs w:val="24"/>
        </w:rPr>
        <w:t xml:space="preserve"> and Cards fail so often, your website needs an automated backup system. If your primary bank processor is too slow or fails, the platform should instantly and invisibly switch the transaction to a backup payment gateway (like </w:t>
      </w:r>
      <w:proofErr w:type="spellStart"/>
      <w:r w:rsidRPr="00457AFB">
        <w:rPr>
          <w:sz w:val="24"/>
          <w:szCs w:val="24"/>
        </w:rPr>
        <w:t>Razorpay</w:t>
      </w:r>
      <w:proofErr w:type="spellEnd"/>
      <w:r w:rsidRPr="00457AFB">
        <w:rPr>
          <w:sz w:val="24"/>
          <w:szCs w:val="24"/>
        </w:rPr>
        <w:t xml:space="preserve"> or </w:t>
      </w:r>
      <w:proofErr w:type="spellStart"/>
      <w:r w:rsidRPr="00457AFB">
        <w:rPr>
          <w:sz w:val="24"/>
          <w:szCs w:val="24"/>
        </w:rPr>
        <w:t>Cashfree</w:t>
      </w:r>
      <w:proofErr w:type="spellEnd"/>
      <w:r w:rsidRPr="00457AFB">
        <w:rPr>
          <w:sz w:val="24"/>
          <w:szCs w:val="24"/>
        </w:rPr>
        <w:t>) so the customer never sees an error</w:t>
      </w:r>
      <w:r w:rsidRPr="00457AFB">
        <w:rPr>
          <w:b/>
          <w:bCs/>
          <w:sz w:val="24"/>
          <w:szCs w:val="24"/>
        </w:rPr>
        <w:t>.</w:t>
      </w:r>
    </w:p>
    <w:p w14:paraId="1B234927" w14:textId="66655F69" w:rsidR="00457AFB" w:rsidRDefault="00457AFB" w:rsidP="00457AFB">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bidi="ml-IN"/>
          <w14:ligatures w14:val="none"/>
        </w:rPr>
      </w:pPr>
      <w:r w:rsidRPr="00457AFB">
        <w:rPr>
          <w:rFonts w:ascii="Times New Roman" w:eastAsia="Times New Roman" w:hAnsi="Times New Roman" w:cs="Times New Roman"/>
          <w:b/>
          <w:bCs/>
          <w:kern w:val="0"/>
          <w:sz w:val="24"/>
          <w:szCs w:val="24"/>
          <w:lang w:eastAsia="en-IN" w:bidi="ml-IN"/>
          <w14:ligatures w14:val="none"/>
        </w:rPr>
        <w:t>Add Extra Security Steps for Large Purchases</w:t>
      </w:r>
      <w:r>
        <w:rPr>
          <w:rFonts w:ascii="Times New Roman" w:eastAsia="Times New Roman" w:hAnsi="Times New Roman" w:cs="Times New Roman"/>
          <w:b/>
          <w:bCs/>
          <w:kern w:val="0"/>
          <w:sz w:val="24"/>
          <w:szCs w:val="24"/>
          <w:lang w:eastAsia="en-IN" w:bidi="ml-IN"/>
          <w14:ligatures w14:val="none"/>
        </w:rPr>
        <w:br/>
      </w:r>
      <w:r w:rsidRPr="00457AFB">
        <w:rPr>
          <w:rFonts w:ascii="Times New Roman" w:eastAsia="Times New Roman" w:hAnsi="Times New Roman" w:cs="Times New Roman"/>
          <w:kern w:val="0"/>
          <w:sz w:val="24"/>
          <w:szCs w:val="24"/>
          <w:lang w:eastAsia="en-IN" w:bidi="ml-IN"/>
          <w14:ligatures w14:val="none"/>
        </w:rPr>
        <w:t>To stop the desktop browser fraud waves without slowing down normal shoppers, enforce extra verification (like an SMS OTP or biometric scan) only when an order crosses a high-value threshold (such as ₹50,000) or looks suspicious.</w:t>
      </w:r>
    </w:p>
    <w:p w14:paraId="7015AD1C" w14:textId="21B636E9" w:rsidR="00457AFB" w:rsidRPr="008D614A" w:rsidRDefault="00457AFB" w:rsidP="00457AFB">
      <w:pPr>
        <w:numPr>
          <w:ilvl w:val="0"/>
          <w:numId w:val="3"/>
        </w:numPr>
        <w:spacing w:before="100" w:beforeAutospacing="1" w:after="100" w:afterAutospacing="1" w:line="480" w:lineRule="auto"/>
        <w:rPr>
          <w:rFonts w:eastAsia="Times New Roman" w:cstheme="minorHAnsi"/>
          <w:b/>
          <w:bCs/>
          <w:color w:val="000000" w:themeColor="text1"/>
          <w:kern w:val="0"/>
          <w:sz w:val="24"/>
          <w:szCs w:val="24"/>
          <w:lang w:eastAsia="en-IN" w:bidi="ml-IN"/>
          <w14:ligatures w14:val="none"/>
        </w:rPr>
      </w:pPr>
      <w:r w:rsidRPr="008D614A">
        <w:rPr>
          <w:rFonts w:eastAsia="Times New Roman" w:cstheme="minorHAnsi"/>
          <w:b/>
          <w:bCs/>
          <w:color w:val="000000" w:themeColor="text1"/>
          <w:kern w:val="0"/>
          <w:sz w:val="24"/>
          <w:szCs w:val="24"/>
          <w:lang w:eastAsia="en-IN" w:bidi="ml-IN"/>
          <w14:ligatures w14:val="none"/>
        </w:rPr>
        <w:t>Add retry flows for failed digital payment</w:t>
      </w:r>
      <w:r w:rsidRPr="008D614A">
        <w:rPr>
          <w:rFonts w:eastAsia="Times New Roman" w:cstheme="minorHAnsi"/>
          <w:b/>
          <w:bCs/>
          <w:color w:val="000000" w:themeColor="text1"/>
          <w:kern w:val="0"/>
          <w:sz w:val="24"/>
          <w:szCs w:val="24"/>
          <w:lang w:eastAsia="en-IN" w:bidi="ml-IN"/>
          <w14:ligatures w14:val="none"/>
        </w:rPr>
        <w:t xml:space="preserve"> </w:t>
      </w:r>
    </w:p>
    <w:p w14:paraId="3E6BE6EA" w14:textId="65BE3D7D" w:rsidR="00457AFB" w:rsidRPr="00457AFB" w:rsidRDefault="00457AFB" w:rsidP="00457AFB">
      <w:pPr>
        <w:rPr>
          <w:b/>
          <w:bCs/>
          <w:sz w:val="24"/>
          <w:szCs w:val="24"/>
        </w:rPr>
      </w:pPr>
    </w:p>
    <w:p w14:paraId="1AF26D1D" w14:textId="77777777" w:rsidR="00457AFB" w:rsidRPr="00457AFB" w:rsidRDefault="00457AFB" w:rsidP="00457AFB">
      <w:pPr>
        <w:pStyle w:val="ListParagraph"/>
        <w:rPr>
          <w:b/>
          <w:bCs/>
          <w:sz w:val="24"/>
          <w:szCs w:val="24"/>
        </w:rPr>
      </w:pPr>
    </w:p>
    <w:p w14:paraId="62D28C11" w14:textId="7C3D9EF7" w:rsidR="00457AFB" w:rsidRPr="00457AFB" w:rsidRDefault="00457AFB" w:rsidP="00457AFB">
      <w:pPr>
        <w:pStyle w:val="ListParagraph"/>
        <w:ind w:left="360"/>
        <w:rPr>
          <w:sz w:val="24"/>
          <w:szCs w:val="24"/>
        </w:rPr>
      </w:pPr>
    </w:p>
    <w:p w14:paraId="0B5E1A1D" w14:textId="2926A94F" w:rsidR="00223DAC" w:rsidRPr="00457AFB" w:rsidRDefault="00371EA4" w:rsidP="00371EA4">
      <w:pPr>
        <w:rPr>
          <w:sz w:val="24"/>
          <w:szCs w:val="24"/>
        </w:rPr>
      </w:pPr>
      <w:r w:rsidRPr="00457AFB">
        <w:rPr>
          <w:sz w:val="24"/>
          <w:szCs w:val="24"/>
        </w:rPr>
        <w:t xml:space="preserve"> </w:t>
      </w:r>
    </w:p>
    <w:sectPr w:rsidR="00223DAC" w:rsidRPr="00457AFB" w:rsidSect="00457AF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FCA84" w14:textId="77777777" w:rsidR="00157CFD" w:rsidRDefault="00157CFD" w:rsidP="00457AFB">
      <w:pPr>
        <w:spacing w:after="0" w:line="240" w:lineRule="auto"/>
      </w:pPr>
      <w:r>
        <w:separator/>
      </w:r>
    </w:p>
  </w:endnote>
  <w:endnote w:type="continuationSeparator" w:id="0">
    <w:p w14:paraId="3E30B4F0" w14:textId="77777777" w:rsidR="00157CFD" w:rsidRDefault="00157CFD" w:rsidP="00457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C1B89" w14:textId="77777777" w:rsidR="00157CFD" w:rsidRDefault="00157CFD" w:rsidP="00457AFB">
      <w:pPr>
        <w:spacing w:after="0" w:line="240" w:lineRule="auto"/>
      </w:pPr>
      <w:r>
        <w:separator/>
      </w:r>
    </w:p>
  </w:footnote>
  <w:footnote w:type="continuationSeparator" w:id="0">
    <w:p w14:paraId="67A4CDCC" w14:textId="77777777" w:rsidR="00157CFD" w:rsidRDefault="00157CFD" w:rsidP="00457A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070FA"/>
    <w:multiLevelType w:val="multilevel"/>
    <w:tmpl w:val="025A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B25722"/>
    <w:multiLevelType w:val="multilevel"/>
    <w:tmpl w:val="D4BE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E018F2"/>
    <w:multiLevelType w:val="multilevel"/>
    <w:tmpl w:val="861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47D96"/>
    <w:multiLevelType w:val="multilevel"/>
    <w:tmpl w:val="7CB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04887"/>
    <w:multiLevelType w:val="hybridMultilevel"/>
    <w:tmpl w:val="65CA5A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77E73BB9"/>
    <w:multiLevelType w:val="hybridMultilevel"/>
    <w:tmpl w:val="C1D6B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9314796">
    <w:abstractNumId w:val="2"/>
  </w:num>
  <w:num w:numId="2" w16cid:durableId="2045402207">
    <w:abstractNumId w:val="5"/>
  </w:num>
  <w:num w:numId="3" w16cid:durableId="1001548989">
    <w:abstractNumId w:val="4"/>
  </w:num>
  <w:num w:numId="4" w16cid:durableId="1835492371">
    <w:abstractNumId w:val="1"/>
  </w:num>
  <w:num w:numId="5" w16cid:durableId="746466252">
    <w:abstractNumId w:val="3"/>
  </w:num>
  <w:num w:numId="6" w16cid:durableId="126053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EA4"/>
    <w:rsid w:val="00157CFD"/>
    <w:rsid w:val="00223DAC"/>
    <w:rsid w:val="00371EA4"/>
    <w:rsid w:val="003C2138"/>
    <w:rsid w:val="00457AFB"/>
    <w:rsid w:val="008D614A"/>
    <w:rsid w:val="00943E2F"/>
    <w:rsid w:val="00B703FC"/>
    <w:rsid w:val="00E0696F"/>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F55D"/>
  <w15:chartTrackingRefBased/>
  <w15:docId w15:val="{6B220313-36AE-4764-91C0-41336457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1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1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1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1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1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1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1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1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1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EA4"/>
    <w:rPr>
      <w:rFonts w:eastAsiaTheme="majorEastAsia" w:cstheme="majorBidi"/>
      <w:color w:val="272727" w:themeColor="text1" w:themeTint="D8"/>
    </w:rPr>
  </w:style>
  <w:style w:type="paragraph" w:styleId="Title">
    <w:name w:val="Title"/>
    <w:basedOn w:val="Normal"/>
    <w:next w:val="Normal"/>
    <w:link w:val="TitleChar"/>
    <w:uiPriority w:val="10"/>
    <w:qFormat/>
    <w:rsid w:val="00371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EA4"/>
    <w:pPr>
      <w:spacing w:before="160"/>
      <w:jc w:val="center"/>
    </w:pPr>
    <w:rPr>
      <w:i/>
      <w:iCs/>
      <w:color w:val="404040" w:themeColor="text1" w:themeTint="BF"/>
    </w:rPr>
  </w:style>
  <w:style w:type="character" w:customStyle="1" w:styleId="QuoteChar">
    <w:name w:val="Quote Char"/>
    <w:basedOn w:val="DefaultParagraphFont"/>
    <w:link w:val="Quote"/>
    <w:uiPriority w:val="29"/>
    <w:rsid w:val="00371EA4"/>
    <w:rPr>
      <w:i/>
      <w:iCs/>
      <w:color w:val="404040" w:themeColor="text1" w:themeTint="BF"/>
    </w:rPr>
  </w:style>
  <w:style w:type="paragraph" w:styleId="ListParagraph">
    <w:name w:val="List Paragraph"/>
    <w:basedOn w:val="Normal"/>
    <w:uiPriority w:val="34"/>
    <w:qFormat/>
    <w:rsid w:val="00371EA4"/>
    <w:pPr>
      <w:ind w:left="720"/>
      <w:contextualSpacing/>
    </w:pPr>
  </w:style>
  <w:style w:type="character" w:styleId="IntenseEmphasis">
    <w:name w:val="Intense Emphasis"/>
    <w:basedOn w:val="DefaultParagraphFont"/>
    <w:uiPriority w:val="21"/>
    <w:qFormat/>
    <w:rsid w:val="00371EA4"/>
    <w:rPr>
      <w:i/>
      <w:iCs/>
      <w:color w:val="2F5496" w:themeColor="accent1" w:themeShade="BF"/>
    </w:rPr>
  </w:style>
  <w:style w:type="paragraph" w:styleId="IntenseQuote">
    <w:name w:val="Intense Quote"/>
    <w:basedOn w:val="Normal"/>
    <w:next w:val="Normal"/>
    <w:link w:val="IntenseQuoteChar"/>
    <w:uiPriority w:val="30"/>
    <w:qFormat/>
    <w:rsid w:val="00371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1EA4"/>
    <w:rPr>
      <w:i/>
      <w:iCs/>
      <w:color w:val="2F5496" w:themeColor="accent1" w:themeShade="BF"/>
    </w:rPr>
  </w:style>
  <w:style w:type="character" w:styleId="IntenseReference">
    <w:name w:val="Intense Reference"/>
    <w:basedOn w:val="DefaultParagraphFont"/>
    <w:uiPriority w:val="32"/>
    <w:qFormat/>
    <w:rsid w:val="00371EA4"/>
    <w:rPr>
      <w:b/>
      <w:bCs/>
      <w:smallCaps/>
      <w:color w:val="2F5496" w:themeColor="accent1" w:themeShade="BF"/>
      <w:spacing w:val="5"/>
    </w:rPr>
  </w:style>
  <w:style w:type="paragraph" w:styleId="NormalWeb">
    <w:name w:val="Normal (Web)"/>
    <w:basedOn w:val="Normal"/>
    <w:uiPriority w:val="99"/>
    <w:semiHidden/>
    <w:unhideWhenUsed/>
    <w:rsid w:val="00457AFB"/>
    <w:rPr>
      <w:rFonts w:ascii="Times New Roman" w:hAnsi="Times New Roman" w:cs="Times New Roman"/>
      <w:sz w:val="24"/>
      <w:szCs w:val="24"/>
    </w:rPr>
  </w:style>
  <w:style w:type="paragraph" w:styleId="Header">
    <w:name w:val="header"/>
    <w:basedOn w:val="Normal"/>
    <w:link w:val="HeaderChar"/>
    <w:uiPriority w:val="99"/>
    <w:unhideWhenUsed/>
    <w:rsid w:val="00457A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AFB"/>
  </w:style>
  <w:style w:type="paragraph" w:styleId="Footer">
    <w:name w:val="footer"/>
    <w:basedOn w:val="Normal"/>
    <w:link w:val="FooterChar"/>
    <w:uiPriority w:val="99"/>
    <w:unhideWhenUsed/>
    <w:rsid w:val="00457A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jarin jrn</dc:creator>
  <cp:keywords/>
  <dc:description/>
  <cp:lastModifiedBy>jarin jrn</cp:lastModifiedBy>
  <cp:revision>2</cp:revision>
  <cp:lastPrinted>2026-05-18T04:41:00Z</cp:lastPrinted>
  <dcterms:created xsi:type="dcterms:W3CDTF">2026-05-17T18:17:00Z</dcterms:created>
  <dcterms:modified xsi:type="dcterms:W3CDTF">2026-05-18T04:50:00Z</dcterms:modified>
</cp:coreProperties>
</file>