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7E4B82" w14:textId="3AC85BB1" w:rsidR="00A44592" w:rsidRDefault="00906581">
      <w:r>
        <w:t xml:space="preserve">A site informing the </w:t>
      </w:r>
      <w:r w:rsidR="00616DC0">
        <w:t>overall data quality of works, re: editions – and all the categories of data quality: more traditional completion, but also other info sci categories like availability</w:t>
      </w:r>
    </w:p>
    <w:p w14:paraId="33726D58" w14:textId="47D98CDB" w:rsidR="00F5620B" w:rsidRDefault="00F5620B"/>
    <w:p w14:paraId="04B05CFE" w14:textId="45B11668" w:rsidR="00D94BFD" w:rsidRDefault="00F5620B" w:rsidP="00C22F05">
      <w:pPr>
        <w:ind w:firstLine="720"/>
      </w:pPr>
      <w:r>
        <w:t>Extending Guillory’s ideas on canon formation</w:t>
      </w:r>
      <w:r w:rsidR="00BD7265">
        <w:t>,</w:t>
      </w:r>
      <w:r>
        <w:t xml:space="preserve"> its </w:t>
      </w:r>
      <w:r w:rsidR="00BD7265">
        <w:t>sustenance in cultural capital, and its subsequent production of it</w:t>
      </w:r>
      <w:r>
        <w:t xml:space="preserve">, </w:t>
      </w:r>
      <w:r w:rsidR="00BD7265">
        <w:t>a</w:t>
      </w:r>
      <w:r>
        <w:t xml:space="preserve"> digital, literary canon and its representative digital editions rely on at least two different senses for its formation. The first is one that is quite familiar to practitioners that make use of digital texts. This is the quantitative accuracy with which an edition represents the ideal digital text which is in turn an ideal representation of some idealized physical edition of a work.</w:t>
      </w:r>
      <w:r w:rsidR="00C22F05">
        <w:t xml:space="preserve"> </w:t>
      </w:r>
      <w:r>
        <w:t>If that sounds like the bas</w:t>
      </w:r>
      <w:r w:rsidR="00556AAF">
        <w:t>is</w:t>
      </w:r>
      <w:r>
        <w:t xml:space="preserve"> of digital literary studies is a few </w:t>
      </w:r>
      <w:r w:rsidR="00556AAF">
        <w:t xml:space="preserve">idealized </w:t>
      </w:r>
      <w:r>
        <w:t xml:space="preserve">layers </w:t>
      </w:r>
      <w:r w:rsidR="00556AAF">
        <w:t>imbricated upon one another in a confused heap, that’s because that is the case. This quantitative accuracy takes on a few metrics which will be used in the discussion of data quality for digital, literary datasets hereafter.</w:t>
      </w:r>
      <w:r w:rsidR="007E2B08">
        <w:t xml:space="preserve"> Of course, there are more advanced and new metrics of quantitative accuracy that we can </w:t>
      </w:r>
      <w:r w:rsidR="00BD7265">
        <w:t>measure</w:t>
      </w:r>
      <w:r w:rsidR="007E2B08">
        <w:t>, but</w:t>
      </w:r>
      <w:r w:rsidR="00556AAF">
        <w:t xml:space="preserve"> </w:t>
      </w:r>
      <w:r w:rsidR="007E2B08">
        <w:t>s</w:t>
      </w:r>
      <w:r w:rsidR="00556AAF">
        <w:t xml:space="preserve">ome are quite familiar: </w:t>
      </w:r>
      <w:r w:rsidR="00BD7265">
        <w:t xml:space="preserve">for instance, </w:t>
      </w:r>
      <w:r w:rsidR="00556AAF">
        <w:t>the accuracy of optical character recognition of the scan of the physical edition</w:t>
      </w:r>
      <w:r w:rsidR="00BD7265">
        <w:t xml:space="preserve"> or</w:t>
      </w:r>
      <w:r w:rsidR="00556AAF">
        <w:t xml:space="preserve"> the amount of manual or programmatic correction that has taken place </w:t>
      </w:r>
      <w:r w:rsidR="00BD7265">
        <w:t xml:space="preserve">to </w:t>
      </w:r>
      <w:r w:rsidR="00556AAF">
        <w:t>boost that accuracy. The situation for quantitative accuracy can get more complicated from there once one considers the multitude of physical editions from the date of original publication across regions and countries and then when a physical edition is reprinted years and decades later. So much work has been done to discuss what is the most faithful representation of that original intent. This discussion is akin to Barthes’ contention of the ‘Death of the Author God’. The debate continues on th</w:t>
      </w:r>
      <w:r w:rsidR="00D13137">
        <w:t>at older contention</w:t>
      </w:r>
      <w:r w:rsidR="00556AAF">
        <w:t>, though</w:t>
      </w:r>
      <w:r w:rsidR="00D94BFD">
        <w:t xml:space="preserve"> the lines drawn </w:t>
      </w:r>
      <w:r w:rsidR="00D13137">
        <w:t xml:space="preserve">today </w:t>
      </w:r>
      <w:r w:rsidR="00D94BFD">
        <w:t xml:space="preserve">are far </w:t>
      </w:r>
      <w:proofErr w:type="gramStart"/>
      <w:r w:rsidR="00D94BFD">
        <w:t>more vague</w:t>
      </w:r>
      <w:proofErr w:type="gramEnd"/>
      <w:r w:rsidR="00C87AB7">
        <w:t xml:space="preserve"> than they were initially</w:t>
      </w:r>
      <w:r w:rsidR="00D94BFD">
        <w:t>. This contention has yet to be brought to the matter of digital editions and canon formation of digital editions for the purposes of reading – and to the purposes of this work</w:t>
      </w:r>
      <w:r w:rsidR="00C659E8">
        <w:t>:</w:t>
      </w:r>
      <w:r w:rsidR="00D94BFD">
        <w:t xml:space="preserve"> computational text analysis. </w:t>
      </w:r>
      <w:r w:rsidR="00546887">
        <w:t>Our overarching question becomes, “</w:t>
      </w:r>
      <w:r w:rsidR="00D94BFD">
        <w:t>Which is the most accurate edition to be used?</w:t>
      </w:r>
      <w:r w:rsidR="00546887">
        <w:t>”</w:t>
      </w:r>
    </w:p>
    <w:p w14:paraId="7E538FB1" w14:textId="08181EE3" w:rsidR="00AB7749" w:rsidRDefault="00D94BFD">
      <w:r>
        <w:tab/>
        <w:t xml:space="preserve">But this is only half of the discussion to be had. As Guillory writes, we in the digital humanities have yet to consider the “interrelation between representation and distribution” of a digital work. It remains true that representation in the political sense of </w:t>
      </w:r>
      <w:r w:rsidR="002C3CA0">
        <w:t xml:space="preserve">representatives of a constituency – of </w:t>
      </w:r>
      <w:r>
        <w:t>authors and characters that have been far less represented in the literary canon</w:t>
      </w:r>
      <w:r w:rsidR="002C3CA0">
        <w:t xml:space="preserve"> –</w:t>
      </w:r>
      <w:r>
        <w:t xml:space="preserve"> can have a reconfiguring effect on the cultural capital built, acquired, and produced by new canon formation. Guillory complicates this for activists of such an effort, however. </w:t>
      </w:r>
      <w:r w:rsidR="00DF1F6D">
        <w:t>He</w:t>
      </w:r>
      <w:r>
        <w:t xml:space="preserve"> teases apart from political representation the “relation between an image and what the image represents.”</w:t>
      </w:r>
      <w:r w:rsidR="002C3CA0">
        <w:t xml:space="preserve"> Here, Guillory takes Barthes’ contention about the (temporary) removal of the author from the equation of canon formation and asks us to consider what a work has added as symbol into a new canon. This conflation between symbolic and political representation, Guillory argues, has “overestimate[d] the political effects of this struggle” for politically representative canon formation</w:t>
      </w:r>
      <w:r w:rsidR="00AB7749">
        <w:t xml:space="preserve"> and resulted in a blindness to the “social and institutional conditions of symbolic struggles.”</w:t>
      </w:r>
      <w:r w:rsidR="007267F8">
        <w:t xml:space="preserve"> And in turn, the question of the role of “distribution” has been understudied in literary canon formation in favor of this more political sense</w:t>
      </w:r>
      <w:r w:rsidR="00B836E3">
        <w:t>, which, again still has a role in understanding canon formation but without the consideration of distributional forces of literature a political sensibility of canon formation is half-formed or undercut.</w:t>
      </w:r>
    </w:p>
    <w:p w14:paraId="394443B7" w14:textId="5CCD3F94" w:rsidR="00D94BFD" w:rsidRDefault="00AB7749" w:rsidP="00AB7749">
      <w:pPr>
        <w:ind w:firstLine="720"/>
      </w:pPr>
      <w:r>
        <w:t xml:space="preserve">This ironically humanistic last sense of </w:t>
      </w:r>
      <w:r w:rsidR="0039422D">
        <w:t xml:space="preserve">distributional </w:t>
      </w:r>
      <w:r>
        <w:t>canon formation is what must be added to the goal of producing an accurate and socially equitable canon for the purposes of reading, computational mode</w:t>
      </w:r>
      <w:r w:rsidR="00BC5E02">
        <w:t>ling</w:t>
      </w:r>
      <w:r>
        <w:t xml:space="preserve">, and analysis and interpretation. What are the social and </w:t>
      </w:r>
      <w:r>
        <w:lastRenderedPageBreak/>
        <w:t xml:space="preserve">institutional conditions that give rise to the production of digital editions? What are the social and institutional conditions that give rise to the production new digital, literary “canons.” I scare-quote the word “canon” here not to dismiss the notion of canon entirely in the digital realm – though it is complicated by a far more diverse and widespread global audience – but rather that </w:t>
      </w:r>
      <w:r w:rsidR="00B41EF8">
        <w:t xml:space="preserve">concomitant with this added dimension of data quality </w:t>
      </w:r>
      <w:r w:rsidR="00CA6595">
        <w:t>impacted by</w:t>
      </w:r>
      <w:r w:rsidR="00B41EF8">
        <w:t xml:space="preserve"> </w:t>
      </w:r>
      <w:r w:rsidR="00CA6595">
        <w:t xml:space="preserve">social, </w:t>
      </w:r>
      <w:r w:rsidR="00B41EF8">
        <w:t xml:space="preserve">environmental conditions will be a new sensibility for just what a literary canon can be. The cultural capital from its production and usage will be far different from the canon that Guillory is discussing in his writing, and the one we as literary scholars have come to know so well. </w:t>
      </w:r>
      <w:r w:rsidR="00FC3AB8">
        <w:t xml:space="preserve">The </w:t>
      </w:r>
      <w:r w:rsidR="0082205C">
        <w:t>framework of speech action</w:t>
      </w:r>
      <w:r w:rsidR="00FC3AB8">
        <w:t xml:space="preserve"> </w:t>
      </w:r>
      <w:r w:rsidR="0082205C">
        <w:t>is useful</w:t>
      </w:r>
      <w:r w:rsidR="00FC3AB8">
        <w:t xml:space="preserve"> </w:t>
      </w:r>
      <w:r w:rsidR="0082205C">
        <w:t>for a simple metaphor for the forces in effect in canon formation</w:t>
      </w:r>
      <w:r w:rsidR="00FC3AB8">
        <w:t>.</w:t>
      </w:r>
      <w:r w:rsidR="0082205C">
        <w:t xml:space="preserve"> </w:t>
      </w:r>
      <w:r w:rsidR="00FC3AB8">
        <w:t>In literary studies, well-</w:t>
      </w:r>
      <w:r w:rsidR="0082205C">
        <w:t xml:space="preserve">considered </w:t>
      </w:r>
      <w:r w:rsidR="00FC3AB8">
        <w:t xml:space="preserve">are </w:t>
      </w:r>
      <w:r w:rsidR="0082205C">
        <w:t>the explicit and implicit forces of a work, known as “locutionary” and “illocutionary”</w:t>
      </w:r>
      <w:r w:rsidR="00FC3AB8">
        <w:t xml:space="preserve"> vis-à-vis the ideas for and against authorial intent.</w:t>
      </w:r>
      <w:r w:rsidR="0082205C">
        <w:t xml:space="preserve"> But what has been increasingly considered in the last twenty years because of technological advance is the importance and role of </w:t>
      </w:r>
      <w:r w:rsidR="00FC3AB8">
        <w:t>“</w:t>
      </w:r>
      <w:r w:rsidR="0082205C">
        <w:t>perlocutionary</w:t>
      </w:r>
      <w:r w:rsidR="00653F14">
        <w:t xml:space="preserve"> force</w:t>
      </w:r>
      <w:r w:rsidR="00FC3AB8">
        <w:t>”</w:t>
      </w:r>
      <w:r w:rsidR="00653F14">
        <w:t xml:space="preserve">, </w:t>
      </w:r>
      <w:proofErr w:type="gramStart"/>
      <w:r w:rsidR="00653F14">
        <w:t>or,</w:t>
      </w:r>
      <w:proofErr w:type="gramEnd"/>
      <w:r w:rsidR="00653F14">
        <w:t xml:space="preserve"> the response force of an audience.</w:t>
      </w:r>
      <w:r w:rsidR="0082205C">
        <w:t xml:space="preserve"> </w:t>
      </w:r>
      <w:r w:rsidR="00653F14">
        <w:t xml:space="preserve">Into this new idea of “canon” </w:t>
      </w:r>
      <w:r w:rsidR="00FC3AB8">
        <w:t>comes</w:t>
      </w:r>
      <w:r w:rsidR="00653F14">
        <w:t xml:space="preserve"> the importance of audience-guided formation. </w:t>
      </w:r>
      <w:r w:rsidR="00653F14">
        <w:t xml:space="preserve"> </w:t>
      </w:r>
      <w:r w:rsidR="00FC3AB8">
        <w:t>T</w:t>
      </w:r>
      <w:r w:rsidR="0082205C">
        <w:t>he internet and the information age have made</w:t>
      </w:r>
      <w:r w:rsidR="00FC3AB8">
        <w:t xml:space="preserve"> its importance</w:t>
      </w:r>
      <w:r w:rsidR="00FD6079">
        <w:t xml:space="preserve"> inevitable</w:t>
      </w:r>
      <w:r w:rsidR="0082205C">
        <w:t>. We see it in so many contexts and ways, be it private or public. In the case of private, we have seen phenomenon like user ratings from e-commerce site</w:t>
      </w:r>
      <w:r w:rsidR="0052560C">
        <w:t>s</w:t>
      </w:r>
      <w:r w:rsidR="0082205C">
        <w:t xml:space="preserve"> that sells books and u</w:t>
      </w:r>
      <w:r w:rsidR="0052560C">
        <w:t>tilize</w:t>
      </w:r>
      <w:r w:rsidR="0082205C">
        <w:t xml:space="preserve"> user ratings to guide customers towards certain books. This is canon formation</w:t>
      </w:r>
      <w:r w:rsidR="0052560C">
        <w:t xml:space="preserve">, albeit far </w:t>
      </w:r>
      <w:proofErr w:type="gramStart"/>
      <w:r w:rsidR="0052560C">
        <w:t>more ephemeral and opaque</w:t>
      </w:r>
      <w:proofErr w:type="gramEnd"/>
      <w:r w:rsidR="0082205C">
        <w:t>.</w:t>
      </w:r>
      <w:r w:rsidR="0052560C">
        <w:t xml:space="preserve"> That latter characteristic is a problem for data qualit</w:t>
      </w:r>
      <w:r w:rsidR="009E5BAB">
        <w:t>y</w:t>
      </w:r>
      <w:r w:rsidR="0052560C">
        <w:t xml:space="preserve">. </w:t>
      </w:r>
      <w:r w:rsidR="0082205C">
        <w:t xml:space="preserve">We </w:t>
      </w:r>
      <w:r w:rsidR="0052560C">
        <w:t xml:space="preserve">also </w:t>
      </w:r>
      <w:r w:rsidR="0082205C">
        <w:t xml:space="preserve">see </w:t>
      </w:r>
      <w:r w:rsidR="0052560C">
        <w:t>canon formation</w:t>
      </w:r>
      <w:r w:rsidR="0082205C">
        <w:t xml:space="preserve"> in public contexts, though less prominent because of </w:t>
      </w:r>
      <w:r w:rsidR="0052560C">
        <w:t xml:space="preserve">comparative lack of </w:t>
      </w:r>
      <w:r w:rsidR="0082205C">
        <w:t>capital, such</w:t>
      </w:r>
      <w:r w:rsidR="00653F14">
        <w:t xml:space="preserve"> as</w:t>
      </w:r>
      <w:r w:rsidR="0082205C">
        <w:t xml:space="preserve"> free e-text archives like </w:t>
      </w:r>
      <w:r w:rsidR="0052560C">
        <w:t>“</w:t>
      </w:r>
      <w:r w:rsidR="0082205C">
        <w:t>Project Gutenberg.</w:t>
      </w:r>
      <w:r w:rsidR="0052560C">
        <w:t>”</w:t>
      </w:r>
      <w:r w:rsidR="0082205C">
        <w:t xml:space="preserve"> The subject of </w:t>
      </w:r>
      <w:r w:rsidR="0052560C">
        <w:t>that</w:t>
      </w:r>
      <w:r w:rsidR="0082205C">
        <w:t xml:space="preserve"> site’s formation and canon production will become useful for discussion later in this chapter. For the meantime, it is enough to consider </w:t>
      </w:r>
      <w:r w:rsidR="00BA7B66">
        <w:t>these roles that</w:t>
      </w:r>
      <w:r w:rsidR="0082205C">
        <w:t xml:space="preserve"> </w:t>
      </w:r>
      <w:r w:rsidR="00BA7B66">
        <w:t>perlocutionary forces</w:t>
      </w:r>
      <w:r w:rsidR="0082205C">
        <w:t xml:space="preserve"> </w:t>
      </w:r>
      <w:r w:rsidR="00653F14">
        <w:t>ha</w:t>
      </w:r>
      <w:r w:rsidR="00BA7B66">
        <w:t>ve</w:t>
      </w:r>
      <w:r w:rsidR="00653F14">
        <w:t xml:space="preserve"> already taken on in public life. Therefore</w:t>
      </w:r>
      <w:r w:rsidR="00BA7B66">
        <w:t>,</w:t>
      </w:r>
      <w:r w:rsidR="00653F14">
        <w:t xml:space="preserve"> it is only sensible that audience-guide</w:t>
      </w:r>
      <w:r w:rsidR="00BA7B66">
        <w:t>d</w:t>
      </w:r>
      <w:r w:rsidR="00653F14">
        <w:t xml:space="preserve"> forces should play a role in new literary canon formations despite the still-vaunted and elite role that the academy has in assessing and critiquing literary works and cultures</w:t>
      </w:r>
      <w:r w:rsidR="00280847">
        <w:t>.</w:t>
      </w:r>
    </w:p>
    <w:sectPr w:rsidR="00D94B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6581"/>
    <w:rsid w:val="00280847"/>
    <w:rsid w:val="002C3CA0"/>
    <w:rsid w:val="0039422D"/>
    <w:rsid w:val="0052560C"/>
    <w:rsid w:val="00546887"/>
    <w:rsid w:val="00556AAF"/>
    <w:rsid w:val="00616DC0"/>
    <w:rsid w:val="00653F14"/>
    <w:rsid w:val="007267F8"/>
    <w:rsid w:val="007E2B08"/>
    <w:rsid w:val="007F6EF2"/>
    <w:rsid w:val="0082205C"/>
    <w:rsid w:val="00906581"/>
    <w:rsid w:val="009E5BAB"/>
    <w:rsid w:val="009F199D"/>
    <w:rsid w:val="00A44592"/>
    <w:rsid w:val="00AB7749"/>
    <w:rsid w:val="00B41EF8"/>
    <w:rsid w:val="00B43224"/>
    <w:rsid w:val="00B836E3"/>
    <w:rsid w:val="00BA7B66"/>
    <w:rsid w:val="00BB3F50"/>
    <w:rsid w:val="00BC5E02"/>
    <w:rsid w:val="00BD7265"/>
    <w:rsid w:val="00C22F05"/>
    <w:rsid w:val="00C659E8"/>
    <w:rsid w:val="00C87AB7"/>
    <w:rsid w:val="00CA6595"/>
    <w:rsid w:val="00D13137"/>
    <w:rsid w:val="00D94BFD"/>
    <w:rsid w:val="00DF1F6D"/>
    <w:rsid w:val="00E91584"/>
    <w:rsid w:val="00F5620B"/>
    <w:rsid w:val="00FC3AB8"/>
    <w:rsid w:val="00FD39E5"/>
    <w:rsid w:val="00FD60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998517F"/>
  <w15:chartTrackingRefBased/>
  <w15:docId w15:val="{8355C14F-E381-A141-9AD2-593A6382F0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146</TotalTime>
  <Pages>1</Pages>
  <Words>945</Words>
  <Characters>5392</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Ilan Armoza, Mr</dc:creator>
  <cp:keywords/>
  <dc:description/>
  <cp:lastModifiedBy>Jonathan Ilan Armoza, Mr</cp:lastModifiedBy>
  <cp:revision>24</cp:revision>
  <dcterms:created xsi:type="dcterms:W3CDTF">2022-09-09T16:11:00Z</dcterms:created>
  <dcterms:modified xsi:type="dcterms:W3CDTF">2022-09-22T11:41:00Z</dcterms:modified>
</cp:coreProperties>
</file>