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4DEE78" w14:textId="77777777" w:rsidR="00460EAF" w:rsidRPr="00D034F8" w:rsidRDefault="00460EAF" w:rsidP="00460EAF">
      <w:pPr>
        <w:spacing w:line="480" w:lineRule="auto"/>
        <w:rPr>
          <w:rFonts w:ascii="Source Sans Pro" w:hAnsi="Source Sans Pro"/>
          <w:color w:val="000000" w:themeColor="text1"/>
        </w:rPr>
      </w:pPr>
      <w:r w:rsidRPr="00D034F8">
        <w:rPr>
          <w:rFonts w:ascii="Source Sans Pro" w:hAnsi="Source Sans Pro"/>
          <w:color w:val="000000" w:themeColor="text1"/>
        </w:rPr>
        <w:t xml:space="preserve">This “middle ground” that Miles sought as a correct to the cultural affects of her field at the time can be harnessed in a very productive way. I will argue that close reading methods and distant reading methods can and need be amended and woven for successful digital humanities storytelling. Ted Underwood recently opined about whether or not it is really necessary to pay deference to “close reading” when so few practitioners in the humanities are participating in more distant/quantitative methods. While it’s true that writing on distant reading need not put on a play that it is really second fiddle to more traditional approaches to literary criticism, I think that the sort of partisanship that emerges (which is mostly on the side of those averse to quantitative literary study) is fertile ground for discussing how </w:t>
      </w:r>
      <w:r w:rsidRPr="00D034F8">
        <w:rPr>
          <w:rFonts w:ascii="Source Sans Pro" w:hAnsi="Source Sans Pro"/>
          <w:i/>
          <w:iCs/>
          <w:color w:val="000000" w:themeColor="text1"/>
        </w:rPr>
        <w:t>no</w:t>
      </w:r>
      <w:r w:rsidRPr="00D034F8">
        <w:rPr>
          <w:rFonts w:ascii="Source Sans Pro" w:hAnsi="Source Sans Pro"/>
          <w:color w:val="000000" w:themeColor="text1"/>
        </w:rPr>
        <w:t xml:space="preserve"> analyses of literatures, large or small, can avoid either quantification or qualification. In fact, calling attention to those points of interchange while demonstrating best practices can provide a new ethics for humanities that is both scientistic and artistic.</w:t>
      </w:r>
    </w:p>
    <w:p w14:paraId="3168A6A4" w14:textId="77777777" w:rsidR="00EA40CC" w:rsidRDefault="00460EAF">
      <w:bookmarkStart w:id="0" w:name="_GoBack"/>
      <w:bookmarkEnd w:id="0"/>
    </w:p>
    <w:sectPr w:rsidR="00EA40CC" w:rsidSect="00F74094">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ource Sans Pro">
    <w:panose1 w:val="020B0503030403020204"/>
    <w:charset w:val="00"/>
    <w:family w:val="auto"/>
    <w:pitch w:val="variable"/>
    <w:sig w:usb0="600002F7" w:usb1="02000001" w:usb2="00000000" w:usb3="00000000" w:csb0="0000019F" w:csb1="00000000"/>
  </w:font>
  <w:font w:name="DengXian Light">
    <w:panose1 w:val="02010600030101010101"/>
    <w:charset w:val="86"/>
    <w:family w:val="script"/>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panose1 w:val="02010600030101010101"/>
    <w:charset w:val="86"/>
    <w:family w:val="script"/>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isplayBackgroundShape/>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937"/>
    <w:rsid w:val="00460EAF"/>
    <w:rsid w:val="005343A5"/>
    <w:rsid w:val="009A0937"/>
    <w:rsid w:val="00C14418"/>
    <w:rsid w:val="00F740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B85219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60E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163</Words>
  <Characters>930</Characters>
  <Application>Microsoft Macintosh Word</Application>
  <DocSecurity>0</DocSecurity>
  <Lines>7</Lines>
  <Paragraphs>2</Paragraphs>
  <ScaleCrop>false</ScaleCrop>
  <LinksUpToDate>false</LinksUpToDate>
  <CharactersWithSpaces>1091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Armoza</dc:creator>
  <cp:keywords/>
  <dc:description/>
  <cp:lastModifiedBy>Jonathan Armoza</cp:lastModifiedBy>
  <cp:revision>2</cp:revision>
  <dcterms:created xsi:type="dcterms:W3CDTF">2018-04-19T19:41:00Z</dcterms:created>
  <dcterms:modified xsi:type="dcterms:W3CDTF">2018-04-19T19:42:00Z</dcterms:modified>
</cp:coreProperties>
</file>