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BA0C38" w14:textId="77777777" w:rsidR="00EA40CC" w:rsidRDefault="00B3129A">
      <w:pPr>
        <w:rPr>
          <w:rFonts w:ascii="Calibri" w:hAnsi="Calibri" w:cs="Times New Roman"/>
          <w:color w:val="ED7D31"/>
          <w:sz w:val="22"/>
          <w:szCs w:val="22"/>
          <w:lang w:eastAsia="zh-CN"/>
        </w:rPr>
      </w:pPr>
      <w:r w:rsidRPr="00A54A5E">
        <w:rPr>
          <w:rFonts w:ascii="Calibri" w:hAnsi="Calibri" w:cs="Times New Roman"/>
          <w:color w:val="000000"/>
          <w:sz w:val="22"/>
          <w:szCs w:val="22"/>
          <w:lang w:eastAsia="zh-CN"/>
        </w:rPr>
        <w:t xml:space="preserve">In terms of American literature, John William De Forest’s term, the “Great American Novel” bears some relation to this problem. </w:t>
      </w:r>
      <w:r w:rsidRPr="00A54A5E">
        <w:rPr>
          <w:rFonts w:ascii="Calibri" w:hAnsi="Calibri" w:cs="Times New Roman"/>
          <w:color w:val="ED7D31"/>
          <w:sz w:val="22"/>
          <w:szCs w:val="22"/>
          <w:lang w:eastAsia="zh-CN"/>
        </w:rPr>
        <w:t xml:space="preserve">Works like Herman Melville’s </w:t>
      </w:r>
      <w:r w:rsidRPr="00A54A5E">
        <w:rPr>
          <w:rFonts w:ascii="Calibri" w:hAnsi="Calibri" w:cs="Times New Roman"/>
          <w:i/>
          <w:iCs/>
          <w:color w:val="ED7D31"/>
          <w:sz w:val="22"/>
          <w:szCs w:val="22"/>
          <w:lang w:eastAsia="zh-CN"/>
        </w:rPr>
        <w:t>Moby-Dick; or, The Whale</w:t>
      </w:r>
      <w:r w:rsidRPr="00A54A5E">
        <w:rPr>
          <w:rFonts w:ascii="Calibri" w:hAnsi="Calibri" w:cs="Times New Roman"/>
          <w:color w:val="ED7D31"/>
          <w:sz w:val="22"/>
          <w:szCs w:val="22"/>
          <w:lang w:eastAsia="zh-CN"/>
        </w:rPr>
        <w:t xml:space="preserve"> evoke their greatness in literary circles partly from the quality of their prose and earnest attempt to capture the totality of something. In popular culture though, Melville’s novel about revenge and a white whale seems to stand above other writings as a monolith of canonical greatness regardless of those inner qualities. In that reading context, it is seen more in relationship to other works.</w:t>
      </w:r>
    </w:p>
    <w:p w14:paraId="70736C79" w14:textId="77777777" w:rsidR="00B3129A" w:rsidRDefault="00B3129A">
      <w:pPr>
        <w:rPr>
          <w:rFonts w:ascii="Calibri" w:hAnsi="Calibri" w:cs="Times New Roman"/>
          <w:color w:val="ED7D31"/>
          <w:sz w:val="22"/>
          <w:szCs w:val="22"/>
          <w:lang w:eastAsia="zh-CN"/>
        </w:rPr>
      </w:pPr>
    </w:p>
    <w:p w14:paraId="17155DA3" w14:textId="77777777" w:rsidR="00B3129A" w:rsidRDefault="00B3129A" w:rsidP="00B3129A">
      <w:pPr>
        <w:rPr>
          <w:rFonts w:ascii="Calibri" w:hAnsi="Calibri" w:cs="Times New Roman"/>
          <w:color w:val="000000" w:themeColor="text1"/>
          <w:sz w:val="22"/>
          <w:szCs w:val="22"/>
          <w:lang w:eastAsia="zh-CN"/>
        </w:rPr>
      </w:pPr>
      <w:r w:rsidRPr="00B3129A">
        <w:rPr>
          <w:rFonts w:ascii="Calibri" w:hAnsi="Calibri" w:cs="Times New Roman"/>
          <w:color w:val="000000" w:themeColor="text1"/>
          <w:sz w:val="22"/>
          <w:szCs w:val="22"/>
          <w:lang w:eastAsia="zh-CN"/>
        </w:rPr>
        <w:t xml:space="preserve">In terms of American literature, nineteenth century works like Herman Melville’s </w:t>
      </w:r>
      <w:r w:rsidRPr="00B3129A">
        <w:rPr>
          <w:rFonts w:ascii="Calibri" w:hAnsi="Calibri" w:cs="Times New Roman"/>
          <w:i/>
          <w:iCs/>
          <w:color w:val="000000" w:themeColor="text1"/>
          <w:sz w:val="22"/>
          <w:szCs w:val="22"/>
          <w:lang w:eastAsia="zh-CN"/>
        </w:rPr>
        <w:t>Moby-Dick; or, The Whale</w:t>
      </w:r>
      <w:r>
        <w:rPr>
          <w:rFonts w:ascii="Calibri" w:hAnsi="Calibri" w:cs="Times New Roman"/>
          <w:color w:val="000000" w:themeColor="text1"/>
          <w:sz w:val="22"/>
          <w:szCs w:val="22"/>
          <w:lang w:eastAsia="zh-CN"/>
        </w:rPr>
        <w:t xml:space="preserve"> </w:t>
      </w:r>
      <w:r>
        <w:rPr>
          <w:rFonts w:ascii="Calibri" w:hAnsi="Calibri" w:cs="Times New Roman"/>
          <w:color w:val="000000" w:themeColor="text1"/>
          <w:sz w:val="22"/>
          <w:szCs w:val="22"/>
          <w:lang w:eastAsia="zh-CN"/>
        </w:rPr>
        <w:t>inform</w:t>
      </w:r>
      <w:r>
        <w:rPr>
          <w:rFonts w:ascii="Calibri" w:hAnsi="Calibri" w:cs="Times New Roman"/>
          <w:color w:val="000000" w:themeColor="text1"/>
          <w:sz w:val="22"/>
          <w:szCs w:val="22"/>
          <w:lang w:eastAsia="zh-CN"/>
        </w:rPr>
        <w:t>ed</w:t>
      </w:r>
      <w:r>
        <w:rPr>
          <w:rFonts w:ascii="Calibri" w:hAnsi="Calibri" w:cs="Times New Roman"/>
          <w:color w:val="000000" w:themeColor="text1"/>
          <w:sz w:val="22"/>
          <w:szCs w:val="22"/>
          <w:lang w:eastAsia="zh-CN"/>
        </w:rPr>
        <w:t xml:space="preserve"> the creation of national literature</w:t>
      </w:r>
      <w:r>
        <w:rPr>
          <w:rFonts w:ascii="Calibri" w:hAnsi="Calibri" w:cs="Times New Roman"/>
          <w:color w:val="000000" w:themeColor="text1"/>
          <w:sz w:val="22"/>
          <w:szCs w:val="22"/>
          <w:lang w:eastAsia="zh-CN"/>
        </w:rPr>
        <w:t xml:space="preserve"> in its use of scale and space. Scholars have pointed to several ways </w:t>
      </w:r>
      <w:r>
        <w:rPr>
          <w:rFonts w:ascii="Calibri" w:hAnsi="Calibri" w:cs="Times New Roman"/>
          <w:i/>
          <w:iCs/>
          <w:color w:val="000000" w:themeColor="text1"/>
          <w:sz w:val="22"/>
          <w:szCs w:val="22"/>
          <w:lang w:eastAsia="zh-CN"/>
        </w:rPr>
        <w:t>Moby-Dick</w:t>
      </w:r>
      <w:r>
        <w:rPr>
          <w:rFonts w:ascii="Calibri" w:hAnsi="Calibri" w:cs="Times New Roman"/>
          <w:color w:val="000000" w:themeColor="text1"/>
          <w:sz w:val="22"/>
          <w:szCs w:val="22"/>
          <w:lang w:eastAsia="zh-CN"/>
        </w:rPr>
        <w:t xml:space="preserve"> accomplishes such a performance. The late-gained prestige associated with the novel comes in part from its emergent macroscopic qualities – the “America” it attempts to circumscribe and critique – as well as from the much-lauded style of Melville’s writing at smaller scales like chapters, paragraphs, and sentences.</w:t>
      </w:r>
    </w:p>
    <w:p w14:paraId="29B5FD79" w14:textId="77777777" w:rsidR="00217226" w:rsidRDefault="00217226" w:rsidP="00B3129A">
      <w:pPr>
        <w:rPr>
          <w:rFonts w:ascii="Calibri" w:hAnsi="Calibri" w:cs="Times New Roman"/>
          <w:color w:val="000000" w:themeColor="text1"/>
          <w:sz w:val="22"/>
          <w:szCs w:val="22"/>
          <w:lang w:eastAsia="zh-CN"/>
        </w:rPr>
      </w:pPr>
    </w:p>
    <w:p w14:paraId="45C9DAD5" w14:textId="77777777" w:rsidR="00217226" w:rsidRDefault="00217226" w:rsidP="00217226">
      <w:pPr>
        <w:rPr>
          <w:rFonts w:ascii="Calibri" w:hAnsi="Calibri" w:cs="Times New Roman"/>
          <w:color w:val="ED7D31" w:themeColor="accent2"/>
          <w:sz w:val="22"/>
          <w:szCs w:val="22"/>
          <w:lang w:eastAsia="zh-CN"/>
        </w:rPr>
      </w:pPr>
      <w:r w:rsidRPr="002B1B31">
        <w:rPr>
          <w:rFonts w:ascii="Calibri" w:hAnsi="Calibri" w:cs="Times New Roman"/>
          <w:color w:val="ED7D31" w:themeColor="accent2"/>
          <w:sz w:val="22"/>
          <w:szCs w:val="22"/>
          <w:lang w:eastAsia="zh-CN"/>
        </w:rPr>
        <w:t>In addition, by using different kinds of large scale modeling techniques over various synchronic, linguistic dimensions another reading sense of the “literary” can come not just from notable qualities of the data being modeled (e.g. this work is proportionally high in pronouns), but instead as emergent, multi-faceted properties of works with quantified influence in a model of that corpus.</w:t>
      </w:r>
    </w:p>
    <w:p w14:paraId="6BDCE8FB" w14:textId="77777777" w:rsidR="00E667AB" w:rsidRDefault="00E667AB" w:rsidP="00217226">
      <w:pPr>
        <w:rPr>
          <w:rFonts w:ascii="Calibri" w:hAnsi="Calibri" w:cs="Times New Roman"/>
          <w:color w:val="ED7D31" w:themeColor="accent2"/>
          <w:sz w:val="22"/>
          <w:szCs w:val="22"/>
          <w:lang w:eastAsia="zh-CN"/>
        </w:rPr>
      </w:pPr>
    </w:p>
    <w:p w14:paraId="14E2C997" w14:textId="77777777" w:rsidR="00E667AB" w:rsidRDefault="00E667AB" w:rsidP="00217226">
      <w:pPr>
        <w:rPr>
          <w:rFonts w:ascii="Calibri" w:hAnsi="Calibri" w:cs="Times New Roman"/>
          <w:color w:val="000000"/>
          <w:sz w:val="22"/>
          <w:szCs w:val="22"/>
          <w:lang w:eastAsia="zh-CN"/>
        </w:rPr>
      </w:pPr>
      <w:r>
        <w:rPr>
          <w:rFonts w:ascii="Calibri" w:hAnsi="Calibri" w:cs="Times New Roman"/>
          <w:color w:val="000000"/>
          <w:sz w:val="22"/>
          <w:szCs w:val="22"/>
          <w:lang w:eastAsia="zh-CN"/>
        </w:rPr>
        <w:t>Those products</w:t>
      </w:r>
      <w:r w:rsidRPr="00A54A5E">
        <w:rPr>
          <w:rFonts w:ascii="Calibri" w:hAnsi="Calibri" w:cs="Times New Roman"/>
          <w:color w:val="000000"/>
          <w:sz w:val="22"/>
          <w:szCs w:val="22"/>
          <w:lang w:eastAsia="zh-CN"/>
        </w:rPr>
        <w:t xml:space="preserve"> are</w:t>
      </w:r>
      <w:r>
        <w:rPr>
          <w:rFonts w:ascii="Calibri" w:hAnsi="Calibri" w:cs="Times New Roman"/>
          <w:color w:val="000000"/>
          <w:sz w:val="22"/>
          <w:szCs w:val="22"/>
          <w:lang w:eastAsia="zh-CN"/>
        </w:rPr>
        <w:t xml:space="preserve"> the basic</w:t>
      </w:r>
      <w:r w:rsidRPr="00A54A5E">
        <w:rPr>
          <w:rFonts w:ascii="Calibri" w:hAnsi="Calibri" w:cs="Times New Roman"/>
          <w:color w:val="000000"/>
          <w:sz w:val="22"/>
          <w:szCs w:val="22"/>
          <w:lang w:eastAsia="zh-CN"/>
        </w:rPr>
        <w:t xml:space="preserve"> components of the rhetoric of computational text analysis.</w:t>
      </w:r>
    </w:p>
    <w:p w14:paraId="5B5C689E" w14:textId="77777777" w:rsidR="00A75E17" w:rsidRDefault="00A75E17" w:rsidP="00217226">
      <w:pPr>
        <w:rPr>
          <w:rFonts w:ascii="Calibri" w:hAnsi="Calibri" w:cs="Times New Roman"/>
          <w:color w:val="000000"/>
          <w:sz w:val="22"/>
          <w:szCs w:val="22"/>
          <w:lang w:eastAsia="zh-CN"/>
        </w:rPr>
      </w:pPr>
    </w:p>
    <w:p w14:paraId="0326492C" w14:textId="77777777" w:rsidR="00A75E17" w:rsidRDefault="00A75E17" w:rsidP="00217226">
      <w:pPr>
        <w:rPr>
          <w:rFonts w:ascii="Calibri" w:hAnsi="Calibri" w:cs="Times New Roman"/>
          <w:color w:val="ED7D31"/>
          <w:sz w:val="22"/>
          <w:szCs w:val="22"/>
          <w:lang w:eastAsia="zh-CN"/>
        </w:rPr>
      </w:pPr>
      <w:r w:rsidRPr="00A54A5E">
        <w:rPr>
          <w:rFonts w:ascii="Calibri" w:hAnsi="Calibri" w:cs="Times New Roman"/>
          <w:color w:val="ED7D31"/>
          <w:sz w:val="22"/>
          <w:szCs w:val="22"/>
          <w:lang w:eastAsia="zh-CN"/>
        </w:rPr>
        <w:t xml:space="preserve">One prevalent mistake </w:t>
      </w:r>
      <w:r>
        <w:rPr>
          <w:rFonts w:ascii="Calibri" w:hAnsi="Calibri" w:cs="Times New Roman"/>
          <w:color w:val="ED7D31"/>
          <w:sz w:val="22"/>
          <w:szCs w:val="22"/>
          <w:lang w:eastAsia="zh-CN"/>
        </w:rPr>
        <w:t xml:space="preserve">made when </w:t>
      </w:r>
      <w:r w:rsidRPr="00A54A5E">
        <w:rPr>
          <w:rFonts w:ascii="Calibri" w:hAnsi="Calibri" w:cs="Times New Roman"/>
          <w:color w:val="ED7D31"/>
          <w:sz w:val="22"/>
          <w:szCs w:val="22"/>
          <w:lang w:eastAsia="zh-CN"/>
        </w:rPr>
        <w:t>using computational methods</w:t>
      </w:r>
      <w:r>
        <w:rPr>
          <w:rFonts w:ascii="Calibri" w:hAnsi="Calibri" w:cs="Times New Roman"/>
          <w:color w:val="ED7D31"/>
          <w:sz w:val="22"/>
          <w:szCs w:val="22"/>
          <w:lang w:eastAsia="zh-CN"/>
        </w:rPr>
        <w:t xml:space="preserve"> on a large collection of data</w:t>
      </w:r>
      <w:r w:rsidRPr="00A54A5E">
        <w:rPr>
          <w:rFonts w:ascii="Calibri" w:hAnsi="Calibri" w:cs="Times New Roman"/>
          <w:color w:val="ED7D31"/>
          <w:sz w:val="22"/>
          <w:szCs w:val="22"/>
          <w:lang w:eastAsia="zh-CN"/>
        </w:rPr>
        <w:t xml:space="preserve">, is signposting that </w:t>
      </w:r>
      <w:r>
        <w:rPr>
          <w:rFonts w:ascii="Calibri" w:hAnsi="Calibri" w:cs="Times New Roman"/>
          <w:color w:val="ED7D31"/>
          <w:sz w:val="22"/>
          <w:szCs w:val="22"/>
          <w:lang w:eastAsia="zh-CN"/>
        </w:rPr>
        <w:t>the scale of inquiry entails</w:t>
      </w:r>
      <w:r w:rsidRPr="00A54A5E">
        <w:rPr>
          <w:rFonts w:ascii="Calibri" w:hAnsi="Calibri" w:cs="Times New Roman"/>
          <w:color w:val="ED7D31"/>
          <w:sz w:val="22"/>
          <w:szCs w:val="22"/>
          <w:lang w:eastAsia="zh-CN"/>
        </w:rPr>
        <w:t xml:space="preserve"> a certain level of uncertainty and inaccuracy in correctly comprehending and even merely identifying the underlying data without a follow up explanation of them.</w:t>
      </w:r>
    </w:p>
    <w:p w14:paraId="6ED1D34E" w14:textId="77777777" w:rsidR="00A75E17" w:rsidRDefault="00A75E17" w:rsidP="00217226">
      <w:pPr>
        <w:rPr>
          <w:rFonts w:ascii="Calibri" w:hAnsi="Calibri" w:cs="Times New Roman"/>
          <w:color w:val="ED7D31"/>
          <w:sz w:val="22"/>
          <w:szCs w:val="22"/>
          <w:lang w:eastAsia="zh-CN"/>
        </w:rPr>
      </w:pPr>
    </w:p>
    <w:p w14:paraId="02A44BA2" w14:textId="77777777" w:rsidR="00A75E17" w:rsidRDefault="00A75E17" w:rsidP="00A75E17">
      <w:pPr>
        <w:rPr>
          <w:rFonts w:ascii="Calibri" w:hAnsi="Calibri" w:cs="Times New Roman"/>
          <w:color w:val="000000" w:themeColor="text1"/>
          <w:sz w:val="22"/>
          <w:szCs w:val="22"/>
          <w:lang w:eastAsia="zh-CN"/>
        </w:rPr>
      </w:pPr>
      <w:r w:rsidRPr="00A75E17">
        <w:rPr>
          <w:rFonts w:ascii="Calibri" w:hAnsi="Calibri" w:cs="Times New Roman"/>
          <w:color w:val="000000" w:themeColor="text1"/>
          <w:sz w:val="22"/>
          <w:szCs w:val="22"/>
          <w:lang w:eastAsia="zh-CN"/>
        </w:rPr>
        <w:t xml:space="preserve">One prevalent mistake made when using computational methods on a large collection of data, is signposting that the scale of inquiry entails a certain level of uncertainty and inaccuracy without a follow up </w:t>
      </w:r>
      <w:r>
        <w:rPr>
          <w:rFonts w:ascii="Calibri" w:hAnsi="Calibri" w:cs="Times New Roman"/>
          <w:color w:val="000000" w:themeColor="text1"/>
          <w:sz w:val="22"/>
          <w:szCs w:val="22"/>
          <w:lang w:eastAsia="zh-CN"/>
        </w:rPr>
        <w:t>examination</w:t>
      </w:r>
      <w:r w:rsidRPr="00A75E17">
        <w:rPr>
          <w:rFonts w:ascii="Calibri" w:hAnsi="Calibri" w:cs="Times New Roman"/>
          <w:color w:val="000000" w:themeColor="text1"/>
          <w:sz w:val="22"/>
          <w:szCs w:val="22"/>
          <w:lang w:eastAsia="zh-CN"/>
        </w:rPr>
        <w:t xml:space="preserve"> of </w:t>
      </w:r>
      <w:r>
        <w:rPr>
          <w:rFonts w:ascii="Calibri" w:hAnsi="Calibri" w:cs="Times New Roman"/>
          <w:color w:val="000000" w:themeColor="text1"/>
          <w:sz w:val="22"/>
          <w:szCs w:val="22"/>
          <w:lang w:eastAsia="zh-CN"/>
        </w:rPr>
        <w:t>those hazards</w:t>
      </w:r>
      <w:r w:rsidRPr="00A75E17">
        <w:rPr>
          <w:rFonts w:ascii="Calibri" w:hAnsi="Calibri" w:cs="Times New Roman"/>
          <w:color w:val="000000" w:themeColor="text1"/>
          <w:sz w:val="22"/>
          <w:szCs w:val="22"/>
          <w:lang w:eastAsia="zh-CN"/>
        </w:rPr>
        <w:t>.</w:t>
      </w:r>
    </w:p>
    <w:p w14:paraId="73F62671" w14:textId="77777777" w:rsidR="002F1194" w:rsidRDefault="002F1194" w:rsidP="00A75E17">
      <w:pPr>
        <w:rPr>
          <w:rFonts w:ascii="Calibri" w:hAnsi="Calibri" w:cs="Times New Roman"/>
          <w:color w:val="000000" w:themeColor="text1"/>
          <w:sz w:val="22"/>
          <w:szCs w:val="22"/>
          <w:lang w:eastAsia="zh-CN"/>
        </w:rPr>
      </w:pPr>
    </w:p>
    <w:p w14:paraId="452DBDC8" w14:textId="77777777" w:rsidR="002F1194" w:rsidRDefault="002F1194" w:rsidP="00A75E17">
      <w:pPr>
        <w:rPr>
          <w:rFonts w:ascii="Calibri" w:hAnsi="Calibri" w:cs="Times New Roman"/>
          <w:color w:val="ED7D31" w:themeColor="accent2"/>
          <w:sz w:val="22"/>
          <w:szCs w:val="22"/>
          <w:lang w:eastAsia="zh-CN"/>
        </w:rPr>
      </w:pPr>
      <w:r w:rsidRPr="00BD4D52">
        <w:rPr>
          <w:rFonts w:ascii="Calibri" w:hAnsi="Calibri" w:cs="Times New Roman"/>
          <w:color w:val="ED7D31" w:themeColor="accent2"/>
          <w:sz w:val="22"/>
          <w:szCs w:val="22"/>
          <w:lang w:eastAsia="zh-CN"/>
        </w:rPr>
        <w:t>Yes, there is uncertainty. It is time computational text analysis scholars developed a mature and humanities-centric sense of what that looks like in their projects.</w:t>
      </w:r>
    </w:p>
    <w:p w14:paraId="06D66E76" w14:textId="77777777" w:rsidR="002F1194" w:rsidRDefault="002F1194" w:rsidP="00A75E17">
      <w:pPr>
        <w:rPr>
          <w:rFonts w:ascii="Calibri" w:hAnsi="Calibri" w:cs="Times New Roman"/>
          <w:color w:val="ED7D31" w:themeColor="accent2"/>
          <w:sz w:val="22"/>
          <w:szCs w:val="22"/>
          <w:lang w:eastAsia="zh-CN"/>
        </w:rPr>
      </w:pPr>
    </w:p>
    <w:p w14:paraId="6B585F4F" w14:textId="77777777" w:rsidR="002F1194" w:rsidRDefault="002F1194" w:rsidP="002F1194">
      <w:pPr>
        <w:rPr>
          <w:rFonts w:ascii="Calibri" w:hAnsi="Calibri" w:cs="Times New Roman"/>
          <w:color w:val="000000" w:themeColor="text1"/>
          <w:sz w:val="22"/>
          <w:szCs w:val="22"/>
          <w:lang w:eastAsia="zh-CN"/>
        </w:rPr>
      </w:pPr>
      <w:r w:rsidRPr="002F1194">
        <w:rPr>
          <w:rFonts w:ascii="Calibri" w:hAnsi="Calibri" w:cs="Times New Roman"/>
          <w:color w:val="000000" w:themeColor="text1"/>
          <w:sz w:val="22"/>
          <w:szCs w:val="22"/>
          <w:lang w:eastAsia="zh-CN"/>
        </w:rPr>
        <w:t>A take on this kind of model correction that functions in service to humanistic interests might</w:t>
      </w:r>
    </w:p>
    <w:p w14:paraId="384D4D9D" w14:textId="77777777" w:rsidR="00073BBD" w:rsidRDefault="00073BBD" w:rsidP="002F1194">
      <w:pPr>
        <w:rPr>
          <w:rFonts w:ascii="Calibri" w:hAnsi="Calibri" w:cs="Times New Roman"/>
          <w:color w:val="000000" w:themeColor="text1"/>
          <w:sz w:val="22"/>
          <w:szCs w:val="22"/>
          <w:lang w:eastAsia="zh-CN"/>
        </w:rPr>
      </w:pPr>
    </w:p>
    <w:p w14:paraId="08A759E1" w14:textId="77777777" w:rsidR="00073BBD" w:rsidRDefault="00073BBD" w:rsidP="002F1194">
      <w:pPr>
        <w:rPr>
          <w:rFonts w:ascii="Calibri" w:hAnsi="Calibri" w:cs="Times New Roman"/>
          <w:color w:val="ED7D31" w:themeColor="accent2"/>
          <w:sz w:val="22"/>
          <w:szCs w:val="22"/>
          <w:lang w:eastAsia="zh-CN"/>
        </w:rPr>
      </w:pPr>
    </w:p>
    <w:p w14:paraId="172FB80D" w14:textId="77777777" w:rsidR="00073BBD" w:rsidRDefault="00073BBD" w:rsidP="002F1194">
      <w:pPr>
        <w:rPr>
          <w:rFonts w:ascii="Calibri" w:hAnsi="Calibri" w:cs="Times New Roman"/>
          <w:color w:val="ED7D31" w:themeColor="accent2"/>
          <w:sz w:val="22"/>
          <w:szCs w:val="22"/>
          <w:lang w:eastAsia="zh-CN"/>
        </w:rPr>
      </w:pPr>
    </w:p>
    <w:p w14:paraId="1CB47DC0" w14:textId="77777777" w:rsidR="00073BBD" w:rsidRDefault="00073BBD" w:rsidP="002F1194">
      <w:pPr>
        <w:rPr>
          <w:rFonts w:ascii="Calibri" w:hAnsi="Calibri" w:cs="Times New Roman"/>
          <w:color w:val="ED7D31" w:themeColor="accent2"/>
          <w:sz w:val="22"/>
          <w:szCs w:val="22"/>
          <w:lang w:eastAsia="zh-CN"/>
        </w:rPr>
      </w:pPr>
    </w:p>
    <w:p w14:paraId="5348FCF9" w14:textId="77777777" w:rsidR="00073BBD" w:rsidRDefault="00073BBD" w:rsidP="002F1194">
      <w:pPr>
        <w:rPr>
          <w:rFonts w:ascii="Calibri" w:hAnsi="Calibri" w:cs="Times New Roman"/>
          <w:color w:val="ED7D31" w:themeColor="accent2"/>
          <w:sz w:val="22"/>
          <w:szCs w:val="22"/>
          <w:lang w:eastAsia="zh-CN"/>
        </w:rPr>
      </w:pPr>
    </w:p>
    <w:p w14:paraId="321DCE93" w14:textId="77777777" w:rsidR="00073BBD" w:rsidRDefault="00073BBD" w:rsidP="002F1194">
      <w:pPr>
        <w:rPr>
          <w:rFonts w:ascii="Calibri" w:hAnsi="Calibri" w:cs="Times New Roman"/>
          <w:color w:val="ED7D31" w:themeColor="accent2"/>
          <w:sz w:val="22"/>
          <w:szCs w:val="22"/>
          <w:lang w:eastAsia="zh-CN"/>
        </w:rPr>
      </w:pPr>
    </w:p>
    <w:p w14:paraId="3C8AA961" w14:textId="77777777" w:rsidR="00073BBD" w:rsidRDefault="00073BBD" w:rsidP="002F1194">
      <w:pPr>
        <w:rPr>
          <w:rFonts w:ascii="Calibri" w:hAnsi="Calibri" w:cs="Times New Roman"/>
          <w:color w:val="ED7D31" w:themeColor="accent2"/>
          <w:sz w:val="22"/>
          <w:szCs w:val="22"/>
          <w:lang w:eastAsia="zh-CN"/>
        </w:rPr>
      </w:pPr>
    </w:p>
    <w:p w14:paraId="2E90CF1F" w14:textId="77777777" w:rsidR="00073BBD" w:rsidRDefault="00073BBD" w:rsidP="002F1194">
      <w:pPr>
        <w:rPr>
          <w:rFonts w:ascii="Calibri" w:hAnsi="Calibri" w:cs="Times New Roman"/>
          <w:color w:val="ED7D31" w:themeColor="accent2"/>
          <w:sz w:val="22"/>
          <w:szCs w:val="22"/>
          <w:lang w:eastAsia="zh-CN"/>
        </w:rPr>
      </w:pPr>
    </w:p>
    <w:p w14:paraId="0466ACC9" w14:textId="77777777" w:rsidR="00073BBD" w:rsidRDefault="00073BBD" w:rsidP="002F1194">
      <w:pPr>
        <w:rPr>
          <w:rFonts w:ascii="Calibri" w:hAnsi="Calibri" w:cs="Times New Roman"/>
          <w:color w:val="ED7D31" w:themeColor="accent2"/>
          <w:sz w:val="22"/>
          <w:szCs w:val="22"/>
          <w:lang w:eastAsia="zh-CN"/>
        </w:rPr>
      </w:pPr>
    </w:p>
    <w:p w14:paraId="71FF4A4C" w14:textId="77777777" w:rsidR="00073BBD" w:rsidRDefault="00073BBD" w:rsidP="002F1194">
      <w:pPr>
        <w:rPr>
          <w:rFonts w:ascii="Calibri" w:hAnsi="Calibri" w:cs="Times New Roman"/>
          <w:color w:val="ED7D31" w:themeColor="accent2"/>
          <w:sz w:val="22"/>
          <w:szCs w:val="22"/>
          <w:lang w:eastAsia="zh-CN"/>
        </w:rPr>
      </w:pPr>
    </w:p>
    <w:p w14:paraId="69D2370C" w14:textId="77777777" w:rsidR="00073BBD" w:rsidRDefault="00073BBD" w:rsidP="002F1194">
      <w:pPr>
        <w:rPr>
          <w:rFonts w:ascii="Calibri" w:hAnsi="Calibri" w:cs="Times New Roman"/>
          <w:color w:val="ED7D31" w:themeColor="accent2"/>
          <w:sz w:val="22"/>
          <w:szCs w:val="22"/>
          <w:lang w:eastAsia="zh-CN"/>
        </w:rPr>
      </w:pPr>
    </w:p>
    <w:p w14:paraId="4096C7DD" w14:textId="77777777" w:rsidR="00073BBD" w:rsidRDefault="00073BBD" w:rsidP="002F1194">
      <w:pPr>
        <w:rPr>
          <w:rFonts w:ascii="Calibri" w:hAnsi="Calibri" w:cs="Times New Roman"/>
          <w:color w:val="ED7D31" w:themeColor="accent2"/>
          <w:sz w:val="22"/>
          <w:szCs w:val="22"/>
          <w:lang w:eastAsia="zh-CN"/>
        </w:rPr>
      </w:pPr>
    </w:p>
    <w:p w14:paraId="737E3077" w14:textId="77777777" w:rsidR="00073BBD" w:rsidRDefault="00073BBD" w:rsidP="002F1194">
      <w:pPr>
        <w:rPr>
          <w:rFonts w:ascii="Calibri" w:hAnsi="Calibri" w:cs="Times New Roman"/>
          <w:color w:val="ED7D31" w:themeColor="accent2"/>
          <w:sz w:val="22"/>
          <w:szCs w:val="22"/>
          <w:lang w:eastAsia="zh-CN"/>
        </w:rPr>
      </w:pPr>
    </w:p>
    <w:p w14:paraId="4B163480" w14:textId="77777777" w:rsidR="00073BBD" w:rsidRDefault="00073BBD" w:rsidP="002F1194">
      <w:pPr>
        <w:rPr>
          <w:rFonts w:ascii="Calibri" w:hAnsi="Calibri" w:cs="Times New Roman"/>
          <w:color w:val="ED7D31" w:themeColor="accent2"/>
          <w:sz w:val="22"/>
          <w:szCs w:val="22"/>
          <w:lang w:eastAsia="zh-CN"/>
        </w:rPr>
      </w:pPr>
      <w:r w:rsidRPr="00073BBD">
        <w:rPr>
          <w:rFonts w:ascii="Calibri" w:hAnsi="Calibri" w:cs="Times New Roman"/>
          <w:color w:val="ED7D31" w:themeColor="accent2"/>
          <w:sz w:val="22"/>
          <w:szCs w:val="22"/>
          <w:lang w:eastAsia="zh-CN"/>
        </w:rPr>
        <w:lastRenderedPageBreak/>
        <w:t xml:space="preserve">One significant branch of computational text analysis (a.k.a. “cultural analytics”) performs diachronic studies of literature to discuss the authorship, prevalence, and commercial success of many read and less read texts (e.g. novels and periodicals) over time. Issues of OCR and scan quality also arise in large data sets used for this kind of work such as the “HathiTrust Digital Library.” Quality in HathiTrust has always been a concern given that page level access to some of its materials has been restricted (apart from custom requests) due to post-1922 copyright. However, scan and OCR quality is something towards which they continually </w:t>
      </w:r>
      <w:proofErr w:type="gramStart"/>
      <w:r w:rsidRPr="00073BBD">
        <w:rPr>
          <w:rFonts w:ascii="Calibri" w:hAnsi="Calibri" w:cs="Times New Roman"/>
          <w:color w:val="ED7D31" w:themeColor="accent2"/>
          <w:sz w:val="22"/>
          <w:szCs w:val="22"/>
          <w:lang w:eastAsia="zh-CN"/>
        </w:rPr>
        <w:t>strive.</w:t>
      </w:r>
      <w:r w:rsidRPr="00073BBD">
        <w:rPr>
          <w:rFonts w:ascii="Calibri" w:hAnsi="Calibri" w:cs="Times New Roman"/>
          <w:color w:val="ED7D31" w:themeColor="accent2"/>
          <w:lang w:eastAsia="zh-CN"/>
        </w:rPr>
        <w:t>[</w:t>
      </w:r>
      <w:proofErr w:type="gramEnd"/>
      <w:r w:rsidRPr="00073BBD">
        <w:rPr>
          <w:rFonts w:ascii="Calibri" w:hAnsi="Calibri" w:cs="Times New Roman"/>
          <w:color w:val="ED7D31" w:themeColor="accent2"/>
          <w:lang w:eastAsia="zh-CN"/>
        </w:rPr>
        <w:t>1]</w:t>
      </w:r>
      <w:r w:rsidRPr="00073BBD">
        <w:rPr>
          <w:rFonts w:ascii="Calibri" w:hAnsi="Calibri" w:cs="Times New Roman"/>
          <w:color w:val="ED7D31" w:themeColor="accent2"/>
          <w:sz w:val="22"/>
          <w:szCs w:val="22"/>
          <w:lang w:eastAsia="zh-CN"/>
        </w:rPr>
        <w:t xml:space="preserve"> This chapter on data calls attention to two questions. Can a </w:t>
      </w:r>
      <w:proofErr w:type="spellStart"/>
      <w:r w:rsidRPr="00073BBD">
        <w:rPr>
          <w:rFonts w:ascii="Calibri" w:hAnsi="Calibri" w:cs="Times New Roman"/>
          <w:color w:val="ED7D31" w:themeColor="accent2"/>
          <w:sz w:val="22"/>
          <w:szCs w:val="22"/>
          <w:lang w:eastAsia="zh-CN"/>
        </w:rPr>
        <w:t>Franzini</w:t>
      </w:r>
      <w:proofErr w:type="spellEnd"/>
      <w:r w:rsidRPr="00073BBD">
        <w:rPr>
          <w:rFonts w:ascii="Calibri" w:hAnsi="Calibri" w:cs="Times New Roman"/>
          <w:color w:val="ED7D31" w:themeColor="accent2"/>
          <w:sz w:val="22"/>
          <w:szCs w:val="22"/>
          <w:lang w:eastAsia="zh-CN"/>
        </w:rPr>
        <w:t>-like study be conducted on a data set like HathiTrust? And can synchronic and emergent qualities of large data sets help redefine and refine humanities-centric aesthetics like the “literary” so as to give a better sense of the historical placement of canonical and non-canonical texts? Ted Underwood and Jordan Sellers have worked within this corpus to see if the existence of a review of a work is predictive of the qualities of the work’s language, a relationship they term “literary prestige.”</w:t>
      </w:r>
      <w:r w:rsidRPr="00073BBD">
        <w:rPr>
          <w:rFonts w:ascii="Calibri" w:hAnsi="Calibri" w:cs="Times New Roman"/>
          <w:color w:val="ED7D31" w:themeColor="accent2"/>
          <w:lang w:eastAsia="zh-CN"/>
        </w:rPr>
        <w:t>[2]</w:t>
      </w:r>
      <w:r w:rsidRPr="00073BBD">
        <w:rPr>
          <w:rFonts w:ascii="Calibri" w:hAnsi="Calibri" w:cs="Times New Roman"/>
          <w:color w:val="ED7D31" w:themeColor="accent2"/>
          <w:sz w:val="22"/>
          <w:szCs w:val="22"/>
          <w:lang w:eastAsia="zh-CN"/>
        </w:rPr>
        <w:t xml:space="preserve"> While canonicity is a criterion listed in HathiTrust volumes’ metadata, a comparative study of canonical works as they exist digitally in individual institutional repositories that actively curate them (and reify their canonicity) may be illuminative of the quality of data that facilitate such large scale studies in the first place.</w:t>
      </w:r>
    </w:p>
    <w:p w14:paraId="2DE8E24D" w14:textId="77777777" w:rsidR="00073BBD" w:rsidRDefault="00073BBD" w:rsidP="002F1194">
      <w:pPr>
        <w:rPr>
          <w:rFonts w:ascii="Calibri" w:hAnsi="Calibri" w:cs="Times New Roman"/>
          <w:color w:val="ED7D31" w:themeColor="accent2"/>
          <w:sz w:val="22"/>
          <w:szCs w:val="22"/>
          <w:lang w:eastAsia="zh-CN"/>
        </w:rPr>
      </w:pPr>
    </w:p>
    <w:p w14:paraId="5A3E689B" w14:textId="77777777" w:rsidR="00073BBD" w:rsidRDefault="002F41DD" w:rsidP="00D05657">
      <w:pPr>
        <w:rPr>
          <w:rFonts w:ascii="Calibri" w:hAnsi="Calibri" w:cs="Times New Roman"/>
          <w:color w:val="000000"/>
          <w:sz w:val="22"/>
          <w:szCs w:val="22"/>
          <w:lang w:eastAsia="zh-CN"/>
        </w:rPr>
      </w:pPr>
      <w:r>
        <w:rPr>
          <w:rFonts w:ascii="Calibri" w:hAnsi="Calibri" w:cs="Times New Roman"/>
          <w:color w:val="000000"/>
          <w:sz w:val="22"/>
          <w:szCs w:val="22"/>
          <w:lang w:eastAsia="zh-CN"/>
        </w:rPr>
        <w:tab/>
      </w:r>
      <w:r w:rsidR="00073BBD" w:rsidRPr="00A54A5E">
        <w:rPr>
          <w:rFonts w:ascii="Calibri" w:hAnsi="Calibri" w:cs="Times New Roman"/>
          <w:color w:val="000000"/>
          <w:sz w:val="22"/>
          <w:szCs w:val="22"/>
          <w:lang w:eastAsia="zh-CN"/>
        </w:rPr>
        <w:t xml:space="preserve">One significant branch of computational text analysis (a.k.a. “cultural analytics”) performs diachronic studies of literature to discuss the authorship, prevalence, and commercial success of many read and less read texts (e.g. novels and periodicals) over time. </w:t>
      </w:r>
      <w:r w:rsidR="00A27631">
        <w:rPr>
          <w:rFonts w:ascii="Calibri" w:hAnsi="Calibri" w:cs="Times New Roman"/>
          <w:color w:val="000000"/>
          <w:sz w:val="22"/>
          <w:szCs w:val="22"/>
          <w:lang w:eastAsia="zh-CN"/>
        </w:rPr>
        <w:t xml:space="preserve">The </w:t>
      </w:r>
      <w:r>
        <w:rPr>
          <w:rFonts w:ascii="Calibri" w:hAnsi="Calibri" w:cs="Times New Roman"/>
          <w:color w:val="000000"/>
          <w:sz w:val="22"/>
          <w:szCs w:val="22"/>
          <w:lang w:eastAsia="zh-CN"/>
        </w:rPr>
        <w:t>scale of</w:t>
      </w:r>
      <w:r w:rsidR="00A27631">
        <w:rPr>
          <w:rFonts w:ascii="Calibri" w:hAnsi="Calibri" w:cs="Times New Roman"/>
          <w:color w:val="000000"/>
          <w:sz w:val="22"/>
          <w:szCs w:val="22"/>
          <w:lang w:eastAsia="zh-CN"/>
        </w:rPr>
        <w:t xml:space="preserve"> </w:t>
      </w:r>
      <w:r>
        <w:rPr>
          <w:rFonts w:ascii="Calibri" w:hAnsi="Calibri" w:cs="Times New Roman"/>
          <w:color w:val="000000"/>
          <w:sz w:val="22"/>
          <w:szCs w:val="22"/>
          <w:lang w:eastAsia="zh-CN"/>
        </w:rPr>
        <w:t xml:space="preserve">the </w:t>
      </w:r>
      <w:r w:rsidR="00A27631">
        <w:rPr>
          <w:rFonts w:ascii="Calibri" w:hAnsi="Calibri" w:cs="Times New Roman"/>
          <w:color w:val="000000"/>
          <w:sz w:val="22"/>
          <w:szCs w:val="22"/>
          <w:lang w:eastAsia="zh-CN"/>
        </w:rPr>
        <w:t xml:space="preserve">data sets that this work </w:t>
      </w:r>
      <w:r>
        <w:rPr>
          <w:rFonts w:ascii="Calibri" w:hAnsi="Calibri" w:cs="Times New Roman"/>
          <w:color w:val="000000"/>
          <w:sz w:val="22"/>
          <w:szCs w:val="22"/>
          <w:lang w:eastAsia="zh-CN"/>
        </w:rPr>
        <w:t>requires offers its own proportional c</w:t>
      </w:r>
      <w:r w:rsidR="0044596A">
        <w:rPr>
          <w:rFonts w:ascii="Calibri" w:hAnsi="Calibri" w:cs="Times New Roman"/>
          <w:color w:val="000000"/>
          <w:sz w:val="22"/>
          <w:szCs w:val="22"/>
          <w:lang w:eastAsia="zh-CN"/>
        </w:rPr>
        <w:t>oncerns</w:t>
      </w:r>
      <w:r w:rsidR="00073BBD" w:rsidRPr="00A54A5E">
        <w:rPr>
          <w:rFonts w:ascii="Calibri" w:hAnsi="Calibri" w:cs="Times New Roman"/>
          <w:color w:val="000000"/>
          <w:sz w:val="22"/>
          <w:szCs w:val="22"/>
          <w:lang w:eastAsia="zh-CN"/>
        </w:rPr>
        <w:t xml:space="preserve"> </w:t>
      </w:r>
      <w:r w:rsidR="0044596A">
        <w:rPr>
          <w:rFonts w:ascii="Calibri" w:hAnsi="Calibri" w:cs="Times New Roman"/>
          <w:color w:val="000000"/>
          <w:sz w:val="22"/>
          <w:szCs w:val="22"/>
          <w:lang w:eastAsia="zh-CN"/>
        </w:rPr>
        <w:t>for</w:t>
      </w:r>
      <w:r>
        <w:rPr>
          <w:rFonts w:ascii="Calibri" w:hAnsi="Calibri" w:cs="Times New Roman"/>
          <w:color w:val="000000"/>
          <w:sz w:val="22"/>
          <w:szCs w:val="22"/>
          <w:lang w:eastAsia="zh-CN"/>
        </w:rPr>
        <w:t xml:space="preserve"> OCR and scan quality for</w:t>
      </w:r>
      <w:r w:rsidR="0044596A">
        <w:rPr>
          <w:rFonts w:ascii="Calibri" w:hAnsi="Calibri" w:cs="Times New Roman"/>
          <w:color w:val="000000"/>
          <w:sz w:val="22"/>
          <w:szCs w:val="22"/>
          <w:lang w:eastAsia="zh-CN"/>
        </w:rPr>
        <w:t xml:space="preserve"> the accuracy of </w:t>
      </w:r>
      <w:r>
        <w:rPr>
          <w:rFonts w:ascii="Calibri" w:hAnsi="Calibri" w:cs="Times New Roman"/>
          <w:color w:val="000000"/>
          <w:sz w:val="22"/>
          <w:szCs w:val="22"/>
          <w:lang w:eastAsia="zh-CN"/>
        </w:rPr>
        <w:t>its findings</w:t>
      </w:r>
      <w:r w:rsidR="00A27631">
        <w:rPr>
          <w:rFonts w:ascii="Calibri" w:hAnsi="Calibri" w:cs="Times New Roman"/>
          <w:color w:val="000000"/>
          <w:sz w:val="22"/>
          <w:szCs w:val="22"/>
          <w:lang w:eastAsia="zh-CN"/>
        </w:rPr>
        <w:t>.</w:t>
      </w:r>
      <w:r w:rsidR="00073BBD" w:rsidRPr="00A54A5E">
        <w:rPr>
          <w:rFonts w:ascii="Calibri" w:hAnsi="Calibri" w:cs="Times New Roman"/>
          <w:color w:val="000000"/>
          <w:sz w:val="22"/>
          <w:szCs w:val="22"/>
          <w:lang w:eastAsia="zh-CN"/>
        </w:rPr>
        <w:t xml:space="preserve"> </w:t>
      </w:r>
      <w:r>
        <w:rPr>
          <w:rFonts w:ascii="Calibri" w:hAnsi="Calibri" w:cs="Times New Roman"/>
          <w:color w:val="000000"/>
          <w:sz w:val="22"/>
          <w:szCs w:val="22"/>
          <w:lang w:eastAsia="zh-CN"/>
        </w:rPr>
        <w:t xml:space="preserve">Large repositories of digital texts </w:t>
      </w:r>
      <w:r w:rsidR="00A27631">
        <w:rPr>
          <w:rFonts w:ascii="Calibri" w:hAnsi="Calibri" w:cs="Times New Roman"/>
          <w:color w:val="000000"/>
          <w:sz w:val="22"/>
          <w:szCs w:val="22"/>
          <w:lang w:eastAsia="zh-CN"/>
        </w:rPr>
        <w:t>like the “HathiTrust Digital Library</w:t>
      </w:r>
      <w:r w:rsidR="00A27631" w:rsidRPr="00A54A5E">
        <w:rPr>
          <w:rFonts w:ascii="Calibri" w:hAnsi="Calibri" w:cs="Times New Roman"/>
          <w:color w:val="000000"/>
          <w:sz w:val="22"/>
          <w:szCs w:val="22"/>
          <w:lang w:eastAsia="zh-CN"/>
        </w:rPr>
        <w:t>”</w:t>
      </w:r>
      <w:r w:rsidR="00A27631">
        <w:rPr>
          <w:rFonts w:ascii="Calibri" w:hAnsi="Calibri" w:cs="Times New Roman"/>
          <w:color w:val="000000"/>
          <w:sz w:val="22"/>
          <w:szCs w:val="22"/>
          <w:lang w:eastAsia="zh-CN"/>
        </w:rPr>
        <w:t xml:space="preserve"> </w:t>
      </w:r>
      <w:r>
        <w:rPr>
          <w:rFonts w:ascii="Calibri" w:hAnsi="Calibri" w:cs="Times New Roman"/>
          <w:color w:val="000000"/>
          <w:sz w:val="22"/>
          <w:szCs w:val="22"/>
          <w:lang w:eastAsia="zh-CN"/>
        </w:rPr>
        <w:t>have</w:t>
      </w:r>
      <w:r w:rsidR="00A27631">
        <w:rPr>
          <w:rFonts w:ascii="Calibri" w:hAnsi="Calibri" w:cs="Times New Roman"/>
          <w:color w:val="000000"/>
          <w:sz w:val="22"/>
          <w:szCs w:val="22"/>
          <w:lang w:eastAsia="zh-CN"/>
        </w:rPr>
        <w:t xml:space="preserve"> </w:t>
      </w:r>
      <w:r>
        <w:rPr>
          <w:rFonts w:ascii="Calibri" w:hAnsi="Calibri" w:cs="Times New Roman"/>
          <w:color w:val="000000"/>
          <w:sz w:val="22"/>
          <w:szCs w:val="22"/>
          <w:lang w:eastAsia="zh-CN"/>
        </w:rPr>
        <w:t>always been</w:t>
      </w:r>
      <w:r w:rsidR="00073BBD" w:rsidRPr="00A54A5E">
        <w:rPr>
          <w:rFonts w:ascii="Calibri" w:hAnsi="Calibri" w:cs="Times New Roman"/>
          <w:color w:val="000000"/>
          <w:sz w:val="22"/>
          <w:szCs w:val="22"/>
          <w:lang w:eastAsia="zh-CN"/>
        </w:rPr>
        <w:t xml:space="preserve"> concern</w:t>
      </w:r>
      <w:r>
        <w:rPr>
          <w:rFonts w:ascii="Calibri" w:hAnsi="Calibri" w:cs="Times New Roman"/>
          <w:color w:val="000000"/>
          <w:sz w:val="22"/>
          <w:szCs w:val="22"/>
          <w:lang w:eastAsia="zh-CN"/>
        </w:rPr>
        <w:t>ed about this issue, especially</w:t>
      </w:r>
      <w:r w:rsidR="00073BBD" w:rsidRPr="00A54A5E">
        <w:rPr>
          <w:rFonts w:ascii="Calibri" w:hAnsi="Calibri" w:cs="Times New Roman"/>
          <w:color w:val="000000"/>
          <w:sz w:val="22"/>
          <w:szCs w:val="22"/>
          <w:lang w:eastAsia="zh-CN"/>
        </w:rPr>
        <w:t xml:space="preserve"> given that page level access to some of its materials has been restricted (apart from custom requests) due to post-1922 copyright. However, scan and OCR quality is something towards which they continually </w:t>
      </w:r>
      <w:proofErr w:type="gramStart"/>
      <w:r w:rsidR="00073BBD" w:rsidRPr="00A54A5E">
        <w:rPr>
          <w:rFonts w:ascii="Calibri" w:hAnsi="Calibri" w:cs="Times New Roman"/>
          <w:color w:val="000000"/>
          <w:sz w:val="22"/>
          <w:szCs w:val="22"/>
          <w:lang w:eastAsia="zh-CN"/>
        </w:rPr>
        <w:t>strive.</w:t>
      </w:r>
      <w:r w:rsidR="00073BBD" w:rsidRPr="00A54A5E">
        <w:rPr>
          <w:rFonts w:ascii="Calibri" w:hAnsi="Calibri" w:cs="Times New Roman"/>
          <w:color w:val="000000"/>
          <w:lang w:eastAsia="zh-CN"/>
        </w:rPr>
        <w:t>[</w:t>
      </w:r>
      <w:proofErr w:type="gramEnd"/>
      <w:r w:rsidR="00073BBD" w:rsidRPr="00A54A5E">
        <w:rPr>
          <w:rFonts w:ascii="Calibri" w:hAnsi="Calibri" w:cs="Times New Roman"/>
          <w:color w:val="000000"/>
          <w:lang w:eastAsia="zh-CN"/>
        </w:rPr>
        <w:t>1]</w:t>
      </w:r>
      <w:r w:rsidR="00073BBD" w:rsidRPr="00A54A5E">
        <w:rPr>
          <w:rFonts w:ascii="Calibri" w:hAnsi="Calibri" w:cs="Times New Roman"/>
          <w:color w:val="000000"/>
          <w:sz w:val="22"/>
          <w:szCs w:val="22"/>
          <w:lang w:eastAsia="zh-CN"/>
        </w:rPr>
        <w:t xml:space="preserve"> This chapter on data calls attention to two</w:t>
      </w:r>
      <w:r w:rsidR="00D05657">
        <w:rPr>
          <w:rFonts w:ascii="Calibri" w:hAnsi="Calibri" w:cs="Times New Roman"/>
          <w:color w:val="000000"/>
          <w:sz w:val="22"/>
          <w:szCs w:val="22"/>
          <w:lang w:eastAsia="zh-CN"/>
        </w:rPr>
        <w:t xml:space="preserve"> interrelated</w:t>
      </w:r>
      <w:r w:rsidR="00073BBD" w:rsidRPr="00A54A5E">
        <w:rPr>
          <w:rFonts w:ascii="Calibri" w:hAnsi="Calibri" w:cs="Times New Roman"/>
          <w:color w:val="000000"/>
          <w:sz w:val="22"/>
          <w:szCs w:val="22"/>
          <w:lang w:eastAsia="zh-CN"/>
        </w:rPr>
        <w:t xml:space="preserve"> questions</w:t>
      </w:r>
      <w:r>
        <w:rPr>
          <w:rFonts w:ascii="Calibri" w:hAnsi="Calibri" w:cs="Times New Roman"/>
          <w:color w:val="000000"/>
          <w:sz w:val="22"/>
          <w:szCs w:val="22"/>
          <w:lang w:eastAsia="zh-CN"/>
        </w:rPr>
        <w:t>: (1)</w:t>
      </w:r>
      <w:r w:rsidR="00073BBD" w:rsidRPr="00A54A5E">
        <w:rPr>
          <w:rFonts w:ascii="Calibri" w:hAnsi="Calibri" w:cs="Times New Roman"/>
          <w:color w:val="000000"/>
          <w:sz w:val="22"/>
          <w:szCs w:val="22"/>
          <w:lang w:eastAsia="zh-CN"/>
        </w:rPr>
        <w:t xml:space="preserve"> Can a </w:t>
      </w:r>
      <w:proofErr w:type="spellStart"/>
      <w:r w:rsidR="00073BBD" w:rsidRPr="00A54A5E">
        <w:rPr>
          <w:rFonts w:ascii="Calibri" w:hAnsi="Calibri" w:cs="Times New Roman"/>
          <w:color w:val="000000"/>
          <w:sz w:val="22"/>
          <w:szCs w:val="22"/>
          <w:lang w:eastAsia="zh-CN"/>
        </w:rPr>
        <w:t>Franzini</w:t>
      </w:r>
      <w:proofErr w:type="spellEnd"/>
      <w:r w:rsidR="00073BBD" w:rsidRPr="00A54A5E">
        <w:rPr>
          <w:rFonts w:ascii="Calibri" w:hAnsi="Calibri" w:cs="Times New Roman"/>
          <w:color w:val="000000"/>
          <w:sz w:val="22"/>
          <w:szCs w:val="22"/>
          <w:lang w:eastAsia="zh-CN"/>
        </w:rPr>
        <w:t>-like study be conducted on a data set like HathiTrust? And</w:t>
      </w:r>
      <w:r w:rsidR="00D05657">
        <w:rPr>
          <w:rFonts w:ascii="Calibri" w:hAnsi="Calibri" w:cs="Times New Roman"/>
          <w:color w:val="000000"/>
          <w:sz w:val="22"/>
          <w:szCs w:val="22"/>
          <w:lang w:eastAsia="zh-CN"/>
        </w:rPr>
        <w:t xml:space="preserve"> (2)</w:t>
      </w:r>
      <w:r w:rsidR="00073BBD" w:rsidRPr="00A54A5E">
        <w:rPr>
          <w:rFonts w:ascii="Calibri" w:hAnsi="Calibri" w:cs="Times New Roman"/>
          <w:color w:val="000000"/>
          <w:sz w:val="22"/>
          <w:szCs w:val="22"/>
          <w:lang w:eastAsia="zh-CN"/>
        </w:rPr>
        <w:t xml:space="preserve"> can synchronic and emergent qualities of large data sets help redefine and refine </w:t>
      </w:r>
      <w:r w:rsidR="00D05657">
        <w:rPr>
          <w:rFonts w:ascii="Calibri" w:hAnsi="Calibri" w:cs="Times New Roman"/>
          <w:color w:val="000000"/>
          <w:sz w:val="22"/>
          <w:szCs w:val="22"/>
          <w:lang w:eastAsia="zh-CN"/>
        </w:rPr>
        <w:t>humanistic</w:t>
      </w:r>
      <w:r w:rsidR="00073BBD" w:rsidRPr="00A54A5E">
        <w:rPr>
          <w:rFonts w:ascii="Calibri" w:hAnsi="Calibri" w:cs="Times New Roman"/>
          <w:color w:val="000000"/>
          <w:sz w:val="22"/>
          <w:szCs w:val="22"/>
          <w:lang w:eastAsia="zh-CN"/>
        </w:rPr>
        <w:t xml:space="preserve"> </w:t>
      </w:r>
      <w:r w:rsidR="00D05657">
        <w:rPr>
          <w:rFonts w:ascii="Calibri" w:hAnsi="Calibri" w:cs="Times New Roman"/>
          <w:color w:val="000000"/>
          <w:sz w:val="22"/>
          <w:szCs w:val="22"/>
          <w:lang w:eastAsia="zh-CN"/>
        </w:rPr>
        <w:t>valuations</w:t>
      </w:r>
      <w:r w:rsidR="00073BBD" w:rsidRPr="00A54A5E">
        <w:rPr>
          <w:rFonts w:ascii="Calibri" w:hAnsi="Calibri" w:cs="Times New Roman"/>
          <w:color w:val="000000"/>
          <w:sz w:val="22"/>
          <w:szCs w:val="22"/>
          <w:lang w:eastAsia="zh-CN"/>
        </w:rPr>
        <w:t xml:space="preserve"> like the “literary” so as to give a better sense of the historical placement of canonical and non-canonical texts? Ted Underwood and Jordan Sellers have worked within this corpus to see if the existence of a review of a work is predictive of the qualities of the work’s language, a relationship they term “literary prestige.”</w:t>
      </w:r>
      <w:r w:rsidR="00073BBD" w:rsidRPr="00A54A5E">
        <w:rPr>
          <w:rFonts w:ascii="Calibri" w:hAnsi="Calibri" w:cs="Times New Roman"/>
          <w:color w:val="000000"/>
          <w:lang w:eastAsia="zh-CN"/>
        </w:rPr>
        <w:t>[2]</w:t>
      </w:r>
      <w:r w:rsidR="00D05657">
        <w:rPr>
          <w:rFonts w:ascii="Calibri" w:hAnsi="Calibri" w:cs="Times New Roman"/>
          <w:color w:val="000000"/>
          <w:sz w:val="22"/>
          <w:szCs w:val="22"/>
          <w:lang w:eastAsia="zh-CN"/>
        </w:rPr>
        <w:t xml:space="preserve"> </w:t>
      </w:r>
      <w:r w:rsidR="00073BBD" w:rsidRPr="00A54A5E">
        <w:rPr>
          <w:rFonts w:ascii="Calibri" w:hAnsi="Calibri" w:cs="Times New Roman"/>
          <w:color w:val="000000"/>
          <w:sz w:val="22"/>
          <w:szCs w:val="22"/>
          <w:lang w:eastAsia="zh-CN"/>
        </w:rPr>
        <w:t xml:space="preserve">While </w:t>
      </w:r>
      <w:r w:rsidR="00C577E9">
        <w:rPr>
          <w:rFonts w:ascii="Calibri" w:hAnsi="Calibri" w:cs="Times New Roman"/>
          <w:color w:val="000000"/>
          <w:sz w:val="22"/>
          <w:szCs w:val="22"/>
          <w:lang w:eastAsia="zh-CN"/>
        </w:rPr>
        <w:t>“</w:t>
      </w:r>
      <w:r w:rsidR="00073BBD" w:rsidRPr="00A54A5E">
        <w:rPr>
          <w:rFonts w:ascii="Calibri" w:hAnsi="Calibri" w:cs="Times New Roman"/>
          <w:color w:val="000000"/>
          <w:sz w:val="22"/>
          <w:szCs w:val="22"/>
          <w:lang w:eastAsia="zh-CN"/>
        </w:rPr>
        <w:t>canonicity</w:t>
      </w:r>
      <w:r w:rsidR="00C577E9">
        <w:rPr>
          <w:rFonts w:ascii="Calibri" w:hAnsi="Calibri" w:cs="Times New Roman"/>
          <w:color w:val="000000"/>
          <w:sz w:val="22"/>
          <w:szCs w:val="22"/>
          <w:lang w:eastAsia="zh-CN"/>
        </w:rPr>
        <w:t>”</w:t>
      </w:r>
      <w:r w:rsidR="00073BBD" w:rsidRPr="00A54A5E">
        <w:rPr>
          <w:rFonts w:ascii="Calibri" w:hAnsi="Calibri" w:cs="Times New Roman"/>
          <w:color w:val="000000"/>
          <w:sz w:val="22"/>
          <w:szCs w:val="22"/>
          <w:lang w:eastAsia="zh-CN"/>
        </w:rPr>
        <w:t xml:space="preserve"> is a criterion listed in HathiTrust volumes’ metadata, a</w:t>
      </w:r>
      <w:r w:rsidR="00D05657">
        <w:rPr>
          <w:rFonts w:ascii="Calibri" w:hAnsi="Calibri" w:cs="Times New Roman"/>
          <w:color w:val="000000"/>
          <w:sz w:val="22"/>
          <w:szCs w:val="22"/>
          <w:lang w:eastAsia="zh-CN"/>
        </w:rPr>
        <w:t>n additional</w:t>
      </w:r>
      <w:r w:rsidR="00073BBD" w:rsidRPr="00A54A5E">
        <w:rPr>
          <w:rFonts w:ascii="Calibri" w:hAnsi="Calibri" w:cs="Times New Roman"/>
          <w:color w:val="000000"/>
          <w:sz w:val="22"/>
          <w:szCs w:val="22"/>
          <w:lang w:eastAsia="zh-CN"/>
        </w:rPr>
        <w:t xml:space="preserve"> comparative study of canonical works as they exist digitally in individual institutional repositories that actively curate them (and reify their canonicity) may be illuminative of the quality of data that facilitate such large scale studies in the first place.</w:t>
      </w:r>
    </w:p>
    <w:p w14:paraId="273FEAD6" w14:textId="77777777" w:rsidR="00454E26" w:rsidRDefault="00454E26" w:rsidP="00D05657">
      <w:pPr>
        <w:rPr>
          <w:rFonts w:ascii="Calibri" w:hAnsi="Calibri" w:cs="Times New Roman"/>
          <w:color w:val="000000"/>
          <w:sz w:val="22"/>
          <w:szCs w:val="22"/>
          <w:lang w:eastAsia="zh-CN"/>
        </w:rPr>
      </w:pPr>
    </w:p>
    <w:p w14:paraId="5A20D621" w14:textId="77777777" w:rsidR="00454E26" w:rsidRDefault="00454E26" w:rsidP="00D05657">
      <w:pPr>
        <w:rPr>
          <w:rFonts w:ascii="Calibri" w:hAnsi="Calibri" w:cs="Times New Roman"/>
          <w:color w:val="ED7D31" w:themeColor="accent2"/>
          <w:sz w:val="22"/>
          <w:szCs w:val="22"/>
          <w:lang w:eastAsia="zh-CN"/>
        </w:rPr>
      </w:pPr>
      <w:r w:rsidRPr="00454E26">
        <w:rPr>
          <w:rFonts w:ascii="Calibri" w:hAnsi="Calibri" w:cs="Times New Roman"/>
          <w:color w:val="ED7D31" w:themeColor="accent2"/>
          <w:sz w:val="22"/>
          <w:szCs w:val="22"/>
          <w:lang w:eastAsia="zh-CN"/>
        </w:rPr>
        <w:t>Like Tenen, part of speech correlation will be considered, but carefully parametrized topic models and word embedding models will be used over the poems.</w:t>
      </w:r>
    </w:p>
    <w:p w14:paraId="38C38748" w14:textId="77777777" w:rsidR="00454E26" w:rsidRDefault="00454E26" w:rsidP="00D05657">
      <w:pPr>
        <w:rPr>
          <w:rFonts w:ascii="Calibri" w:hAnsi="Calibri" w:cs="Times New Roman"/>
          <w:color w:val="ED7D31" w:themeColor="accent2"/>
          <w:sz w:val="22"/>
          <w:szCs w:val="22"/>
          <w:lang w:eastAsia="zh-CN"/>
        </w:rPr>
      </w:pPr>
    </w:p>
    <w:p w14:paraId="4029A016" w14:textId="77777777" w:rsidR="00454E26" w:rsidRDefault="00454E26" w:rsidP="00D05657">
      <w:pPr>
        <w:rPr>
          <w:rFonts w:ascii="Calibri" w:hAnsi="Calibri" w:cs="Times New Roman"/>
          <w:color w:val="ED7D31" w:themeColor="accent2"/>
          <w:sz w:val="22"/>
          <w:szCs w:val="22"/>
          <w:lang w:eastAsia="zh-CN"/>
        </w:rPr>
      </w:pPr>
    </w:p>
    <w:p w14:paraId="17EF380C" w14:textId="77777777" w:rsidR="00454E26" w:rsidRDefault="00454E26" w:rsidP="00D05657">
      <w:pPr>
        <w:rPr>
          <w:rFonts w:ascii="Calibri" w:hAnsi="Calibri" w:cs="Times New Roman"/>
          <w:color w:val="ED7D31" w:themeColor="accent2"/>
          <w:sz w:val="22"/>
          <w:szCs w:val="22"/>
          <w:lang w:eastAsia="zh-CN"/>
        </w:rPr>
      </w:pPr>
    </w:p>
    <w:p w14:paraId="4F45E5D9" w14:textId="77777777" w:rsidR="00454E26" w:rsidRDefault="00454E26" w:rsidP="00D05657">
      <w:pPr>
        <w:rPr>
          <w:rFonts w:ascii="Calibri" w:hAnsi="Calibri" w:cs="Times New Roman"/>
          <w:color w:val="ED7D31" w:themeColor="accent2"/>
          <w:sz w:val="22"/>
          <w:szCs w:val="22"/>
          <w:lang w:eastAsia="zh-CN"/>
        </w:rPr>
      </w:pPr>
    </w:p>
    <w:p w14:paraId="478F863B" w14:textId="77777777" w:rsidR="00454E26" w:rsidRDefault="00454E26" w:rsidP="00D05657">
      <w:pPr>
        <w:rPr>
          <w:rFonts w:ascii="Calibri" w:hAnsi="Calibri" w:cs="Times New Roman"/>
          <w:color w:val="ED7D31" w:themeColor="accent2"/>
          <w:sz w:val="22"/>
          <w:szCs w:val="22"/>
          <w:lang w:eastAsia="zh-CN"/>
        </w:rPr>
      </w:pPr>
    </w:p>
    <w:p w14:paraId="681D5B73" w14:textId="77777777" w:rsidR="00454E26" w:rsidRDefault="00454E26" w:rsidP="00D05657">
      <w:pPr>
        <w:rPr>
          <w:rFonts w:ascii="Calibri" w:hAnsi="Calibri" w:cs="Times New Roman"/>
          <w:color w:val="ED7D31" w:themeColor="accent2"/>
          <w:sz w:val="22"/>
          <w:szCs w:val="22"/>
          <w:lang w:eastAsia="zh-CN"/>
        </w:rPr>
      </w:pPr>
    </w:p>
    <w:p w14:paraId="494A38B2" w14:textId="77777777" w:rsidR="00454E26" w:rsidRDefault="00454E26" w:rsidP="00D05657">
      <w:pPr>
        <w:rPr>
          <w:rFonts w:ascii="Calibri" w:hAnsi="Calibri" w:cs="Times New Roman"/>
          <w:color w:val="ED7D31" w:themeColor="accent2"/>
          <w:sz w:val="22"/>
          <w:szCs w:val="22"/>
          <w:lang w:eastAsia="zh-CN"/>
        </w:rPr>
      </w:pPr>
    </w:p>
    <w:p w14:paraId="3F6DF069" w14:textId="77777777" w:rsidR="00454E26" w:rsidRDefault="00454E26" w:rsidP="00D05657">
      <w:pPr>
        <w:rPr>
          <w:rFonts w:ascii="Calibri" w:hAnsi="Calibri" w:cs="Times New Roman"/>
          <w:color w:val="ED7D31" w:themeColor="accent2"/>
          <w:sz w:val="22"/>
          <w:szCs w:val="22"/>
          <w:lang w:eastAsia="zh-CN"/>
        </w:rPr>
      </w:pPr>
    </w:p>
    <w:p w14:paraId="77ACCDA0" w14:textId="77777777" w:rsidR="00454E26" w:rsidRDefault="00454E26" w:rsidP="00D05657">
      <w:pPr>
        <w:rPr>
          <w:rFonts w:ascii="Calibri" w:hAnsi="Calibri" w:cs="Times New Roman"/>
          <w:color w:val="ED7D31" w:themeColor="accent2"/>
          <w:sz w:val="22"/>
          <w:szCs w:val="22"/>
          <w:lang w:eastAsia="zh-CN"/>
        </w:rPr>
      </w:pPr>
    </w:p>
    <w:p w14:paraId="3B595907" w14:textId="77777777" w:rsidR="00454E26" w:rsidRDefault="00454E26" w:rsidP="00D05657">
      <w:pPr>
        <w:rPr>
          <w:rFonts w:ascii="Calibri" w:hAnsi="Calibri" w:cs="Times New Roman"/>
          <w:color w:val="ED7D31" w:themeColor="accent2"/>
          <w:sz w:val="22"/>
          <w:szCs w:val="22"/>
          <w:lang w:eastAsia="zh-CN"/>
        </w:rPr>
      </w:pPr>
    </w:p>
    <w:p w14:paraId="6DB93C94" w14:textId="77777777" w:rsidR="00454E26" w:rsidRDefault="00454E26" w:rsidP="00D05657">
      <w:pPr>
        <w:rPr>
          <w:rFonts w:ascii="Calibri" w:hAnsi="Calibri" w:cs="Times New Roman"/>
          <w:color w:val="ED7D31" w:themeColor="accent2"/>
          <w:sz w:val="22"/>
          <w:szCs w:val="22"/>
          <w:lang w:eastAsia="zh-CN"/>
        </w:rPr>
      </w:pPr>
      <w:r>
        <w:rPr>
          <w:rFonts w:ascii="Calibri" w:hAnsi="Calibri" w:cs="Times New Roman"/>
          <w:color w:val="ED7D31" w:themeColor="accent2"/>
          <w:sz w:val="22"/>
          <w:szCs w:val="22"/>
          <w:lang w:eastAsia="zh-CN"/>
        </w:rPr>
        <w:t>==============</w:t>
      </w:r>
    </w:p>
    <w:p w14:paraId="7655EE34" w14:textId="77777777" w:rsidR="00454E26" w:rsidRDefault="00454E26" w:rsidP="00D05657">
      <w:pPr>
        <w:rPr>
          <w:rFonts w:ascii="Calibri" w:hAnsi="Calibri" w:cs="Times New Roman"/>
          <w:color w:val="ED7D31" w:themeColor="accent2"/>
          <w:sz w:val="22"/>
          <w:szCs w:val="22"/>
          <w:lang w:eastAsia="zh-CN"/>
        </w:rPr>
      </w:pPr>
    </w:p>
    <w:p w14:paraId="59A02538" w14:textId="77777777" w:rsidR="00454E26" w:rsidRDefault="00454E26" w:rsidP="00D05657">
      <w:pPr>
        <w:rPr>
          <w:rFonts w:ascii="Calibri" w:hAnsi="Calibri" w:cs="Times New Roman"/>
          <w:color w:val="ED7D31" w:themeColor="accent2"/>
          <w:sz w:val="22"/>
          <w:szCs w:val="22"/>
          <w:lang w:eastAsia="zh-CN"/>
        </w:rPr>
      </w:pPr>
      <w:r w:rsidRPr="00454E26">
        <w:rPr>
          <w:rFonts w:ascii="Calibri" w:hAnsi="Calibri" w:cs="Times New Roman"/>
          <w:color w:val="ED7D31" w:themeColor="accent2"/>
          <w:sz w:val="22"/>
          <w:szCs w:val="22"/>
          <w:lang w:eastAsia="zh-CN"/>
        </w:rPr>
        <w:t xml:space="preserve">Borrowed concepts from science like “internal </w:t>
      </w:r>
      <w:proofErr w:type="gramStart"/>
      <w:r w:rsidRPr="00454E26">
        <w:rPr>
          <w:rFonts w:ascii="Calibri" w:hAnsi="Calibri" w:cs="Times New Roman"/>
          <w:color w:val="ED7D31" w:themeColor="accent2"/>
          <w:sz w:val="22"/>
          <w:szCs w:val="22"/>
          <w:lang w:eastAsia="zh-CN"/>
        </w:rPr>
        <w:t>validity“ and</w:t>
      </w:r>
      <w:proofErr w:type="gramEnd"/>
      <w:r w:rsidRPr="00454E26">
        <w:rPr>
          <w:rFonts w:ascii="Calibri" w:hAnsi="Calibri" w:cs="Times New Roman"/>
          <w:color w:val="ED7D31" w:themeColor="accent2"/>
          <w:sz w:val="22"/>
          <w:szCs w:val="22"/>
          <w:lang w:eastAsia="zh-CN"/>
        </w:rPr>
        <w:t xml:space="preserve"> “external validity” can help  where testing is conducted to vet the plausibility of the state of the model (which variables are dependent) with respect to the book/author/corpus in question and the plausibility of those findings within larger contexts (e.g. cultural or historical) in which those works sit. This, in fact, meshes nicely with notions of synchronic and diachronic study, and such contact points with prior humanities scholarship can prove fruitful.  The task for a cobbled together metric, in this case using parts of speech, a topic model, and word embedding model is to explicate and test the model for error in such a way that that new reading sensibility of “literary” can emerge, but emerge from an informed explanation of the transformations that have taken place.</w:t>
      </w:r>
    </w:p>
    <w:p w14:paraId="6FC0B792" w14:textId="77777777" w:rsidR="00454E26" w:rsidRDefault="00454E26" w:rsidP="00D05657">
      <w:pPr>
        <w:rPr>
          <w:rFonts w:ascii="Calibri" w:hAnsi="Calibri" w:cs="Times New Roman"/>
          <w:color w:val="ED7D31" w:themeColor="accent2"/>
          <w:sz w:val="22"/>
          <w:szCs w:val="22"/>
          <w:lang w:eastAsia="zh-CN"/>
        </w:rPr>
      </w:pPr>
    </w:p>
    <w:p w14:paraId="4F4F6143" w14:textId="77777777" w:rsidR="00454E26" w:rsidRDefault="00454E26" w:rsidP="00454E26">
      <w:pPr>
        <w:rPr>
          <w:rFonts w:ascii="Calibri" w:hAnsi="Calibri" w:cs="Times New Roman"/>
          <w:color w:val="000000"/>
          <w:sz w:val="22"/>
          <w:szCs w:val="22"/>
          <w:lang w:eastAsia="zh-CN"/>
        </w:rPr>
      </w:pPr>
      <w:bookmarkStart w:id="0" w:name="_GoBack"/>
      <w:r>
        <w:rPr>
          <w:rFonts w:ascii="Calibri" w:hAnsi="Calibri" w:cs="Times New Roman"/>
          <w:color w:val="000000"/>
          <w:sz w:val="22"/>
          <w:szCs w:val="22"/>
          <w:lang w:eastAsia="zh-CN"/>
        </w:rPr>
        <w:t>Borrowing</w:t>
      </w:r>
      <w:r w:rsidRPr="00A54A5E">
        <w:rPr>
          <w:rFonts w:ascii="Calibri" w:hAnsi="Calibri" w:cs="Times New Roman"/>
          <w:color w:val="000000"/>
          <w:sz w:val="22"/>
          <w:szCs w:val="22"/>
          <w:lang w:eastAsia="zh-CN"/>
        </w:rPr>
        <w:t xml:space="preserve"> concepts from science like “internal </w:t>
      </w:r>
      <w:proofErr w:type="gramStart"/>
      <w:r w:rsidRPr="00A54A5E">
        <w:rPr>
          <w:rFonts w:ascii="Calibri" w:hAnsi="Calibri" w:cs="Times New Roman"/>
          <w:color w:val="000000"/>
          <w:sz w:val="22"/>
          <w:szCs w:val="22"/>
          <w:lang w:eastAsia="zh-CN"/>
        </w:rPr>
        <w:t>validity“ an</w:t>
      </w:r>
      <w:r>
        <w:rPr>
          <w:rFonts w:ascii="Calibri" w:hAnsi="Calibri" w:cs="Times New Roman"/>
          <w:color w:val="000000"/>
          <w:sz w:val="22"/>
          <w:szCs w:val="22"/>
          <w:lang w:eastAsia="zh-CN"/>
        </w:rPr>
        <w:t>d</w:t>
      </w:r>
      <w:proofErr w:type="gramEnd"/>
      <w:r>
        <w:rPr>
          <w:rFonts w:ascii="Calibri" w:hAnsi="Calibri" w:cs="Times New Roman"/>
          <w:color w:val="000000"/>
          <w:sz w:val="22"/>
          <w:szCs w:val="22"/>
          <w:lang w:eastAsia="zh-CN"/>
        </w:rPr>
        <w:t xml:space="preserve"> “external validity” can help </w:t>
      </w:r>
      <w:r w:rsidRPr="00A54A5E">
        <w:rPr>
          <w:rFonts w:ascii="Calibri" w:hAnsi="Calibri" w:cs="Times New Roman"/>
          <w:color w:val="000000"/>
          <w:sz w:val="22"/>
          <w:szCs w:val="22"/>
          <w:lang w:eastAsia="zh-CN"/>
        </w:rPr>
        <w:t>to vet the plausibility of the state of the model (</w:t>
      </w:r>
      <w:r>
        <w:rPr>
          <w:rFonts w:ascii="Calibri" w:hAnsi="Calibri" w:cs="Times New Roman"/>
          <w:color w:val="000000"/>
          <w:sz w:val="22"/>
          <w:szCs w:val="22"/>
          <w:lang w:eastAsia="zh-CN"/>
        </w:rPr>
        <w:t xml:space="preserve">e.g. </w:t>
      </w:r>
      <w:r w:rsidRPr="00A54A5E">
        <w:rPr>
          <w:rFonts w:ascii="Calibri" w:hAnsi="Calibri" w:cs="Times New Roman"/>
          <w:color w:val="000000"/>
          <w:sz w:val="22"/>
          <w:szCs w:val="22"/>
          <w:lang w:eastAsia="zh-CN"/>
        </w:rPr>
        <w:t xml:space="preserve">which variables are dependent) with respect to the book/author/corpus in question and the plausibility of those findings within larger contexts (e.g. cultural or historical) in which those works sit. </w:t>
      </w:r>
    </w:p>
    <w:p w14:paraId="33531FAE" w14:textId="77777777" w:rsidR="00454E26" w:rsidRDefault="00454E26" w:rsidP="00454E26">
      <w:pPr>
        <w:rPr>
          <w:rFonts w:ascii="Calibri" w:hAnsi="Calibri" w:cs="Times New Roman"/>
          <w:color w:val="000000"/>
          <w:sz w:val="22"/>
          <w:szCs w:val="22"/>
          <w:lang w:eastAsia="zh-CN"/>
        </w:rPr>
      </w:pPr>
    </w:p>
    <w:p w14:paraId="16F335F9" w14:textId="77777777" w:rsidR="00454E26" w:rsidRPr="00454E26" w:rsidRDefault="00454E26" w:rsidP="00454E26">
      <w:pPr>
        <w:rPr>
          <w:rFonts w:ascii="Calibri" w:hAnsi="Calibri" w:cs="Times New Roman"/>
          <w:color w:val="ED7D31" w:themeColor="accent2"/>
          <w:sz w:val="22"/>
          <w:szCs w:val="22"/>
          <w:lang w:eastAsia="zh-CN"/>
        </w:rPr>
      </w:pPr>
      <w:r w:rsidRPr="00A54A5E">
        <w:rPr>
          <w:rFonts w:ascii="Calibri" w:hAnsi="Calibri" w:cs="Times New Roman"/>
          <w:color w:val="000000"/>
          <w:sz w:val="22"/>
          <w:szCs w:val="22"/>
          <w:lang w:eastAsia="zh-CN"/>
        </w:rPr>
        <w:t>This</w:t>
      </w:r>
      <w:r>
        <w:rPr>
          <w:rFonts w:ascii="Calibri" w:hAnsi="Calibri" w:cs="Times New Roman"/>
          <w:color w:val="000000"/>
          <w:sz w:val="22"/>
          <w:szCs w:val="22"/>
          <w:lang w:eastAsia="zh-CN"/>
        </w:rPr>
        <w:t xml:space="preserve"> also </w:t>
      </w:r>
      <w:r w:rsidRPr="00A54A5E">
        <w:rPr>
          <w:rFonts w:ascii="Calibri" w:hAnsi="Calibri" w:cs="Times New Roman"/>
          <w:color w:val="000000"/>
          <w:sz w:val="22"/>
          <w:szCs w:val="22"/>
          <w:lang w:eastAsia="zh-CN"/>
        </w:rPr>
        <w:t>meshes nicely with notions of synchronic and diachronic study, and such contact points with prior humanities scholarship can prove fruitful.  The task for a cobbled together metric</w:t>
      </w:r>
      <w:r>
        <w:rPr>
          <w:rFonts w:ascii="Calibri" w:hAnsi="Calibri" w:cs="Times New Roman"/>
          <w:color w:val="000000"/>
          <w:sz w:val="22"/>
          <w:szCs w:val="22"/>
          <w:lang w:eastAsia="zh-CN"/>
        </w:rPr>
        <w:t xml:space="preserve"> is also t</w:t>
      </w:r>
      <w:r w:rsidRPr="00A54A5E">
        <w:rPr>
          <w:rFonts w:ascii="Calibri" w:hAnsi="Calibri" w:cs="Times New Roman"/>
          <w:color w:val="000000"/>
          <w:sz w:val="22"/>
          <w:szCs w:val="22"/>
          <w:lang w:eastAsia="zh-CN"/>
        </w:rPr>
        <w:t>o explicate and test the model for error in such a way that that new reading sensibility of “literary” can emerge, but emerge from an informed explanation of the transformations that have taken place</w:t>
      </w:r>
      <w:r>
        <w:rPr>
          <w:rFonts w:ascii="Calibri" w:hAnsi="Calibri" w:cs="Times New Roman"/>
          <w:color w:val="000000"/>
          <w:sz w:val="22"/>
          <w:szCs w:val="22"/>
          <w:lang w:eastAsia="zh-CN"/>
        </w:rPr>
        <w:t xml:space="preserve"> over the data set</w:t>
      </w:r>
      <w:r w:rsidRPr="00A54A5E">
        <w:rPr>
          <w:rFonts w:ascii="Calibri" w:hAnsi="Calibri" w:cs="Times New Roman"/>
          <w:color w:val="000000"/>
          <w:sz w:val="22"/>
          <w:szCs w:val="22"/>
          <w:lang w:eastAsia="zh-CN"/>
        </w:rPr>
        <w:t>.</w:t>
      </w:r>
    </w:p>
    <w:bookmarkEnd w:id="0"/>
    <w:sectPr w:rsidR="00454E26" w:rsidRPr="00454E26" w:rsidSect="00F74094">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DengXian Light">
    <w:panose1 w:val="02010600030101010101"/>
    <w:charset w:val="86"/>
    <w:family w:val="script"/>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panose1 w:val="02010600030101010101"/>
    <w:charset w:val="86"/>
    <w:family w:val="script"/>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5"/>
  <w:displayBackgroundShape/>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29A"/>
    <w:rsid w:val="00073BBD"/>
    <w:rsid w:val="00217226"/>
    <w:rsid w:val="002D6D40"/>
    <w:rsid w:val="002F1194"/>
    <w:rsid w:val="002F41DD"/>
    <w:rsid w:val="0044596A"/>
    <w:rsid w:val="00454E26"/>
    <w:rsid w:val="005343A5"/>
    <w:rsid w:val="00596DAF"/>
    <w:rsid w:val="00A27631"/>
    <w:rsid w:val="00A75E17"/>
    <w:rsid w:val="00B3129A"/>
    <w:rsid w:val="00C14418"/>
    <w:rsid w:val="00C577E9"/>
    <w:rsid w:val="00D05657"/>
    <w:rsid w:val="00E667AB"/>
    <w:rsid w:val="00F740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4C7BB2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1115</Words>
  <Characters>6357</Characters>
  <Application>Microsoft Macintosh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Armoza</dc:creator>
  <cp:keywords/>
  <dc:description/>
  <cp:lastModifiedBy>Jonathan Armoza</cp:lastModifiedBy>
  <cp:revision>1</cp:revision>
  <dcterms:created xsi:type="dcterms:W3CDTF">2018-05-21T18:55:00Z</dcterms:created>
  <dcterms:modified xsi:type="dcterms:W3CDTF">2018-05-22T21:21:00Z</dcterms:modified>
</cp:coreProperties>
</file>