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A5C"/>
          <w:sz w:val="40"/>
        </w:rPr>
        <w:t>RAPORT DZIENNY — SYSTEM STEFAN</w:t>
      </w:r>
    </w:p>
    <w:p>
      <w:pPr>
        <w:jc w:val="center"/>
      </w:pPr>
      <w:r>
        <w:rPr>
          <w:i/>
        </w:rPr>
        <w:t>5 września 2026 r. | Audyt rozszerzony, bezpieczeństwo, trwałość danych i dokumentacja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" cy="889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odevil-signature-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8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rPr>
          <w:b/>
        </w:rPr>
        <w:t xml:space="preserve">Status: </w:t>
      </w:r>
      <w:r>
        <w:t>zmiany są przetestowane i zapisane w checkpointach. Aby pojawiły się na domenie publicznej, wymagają użycia przycisku Publish w panelu projektu.</w:t>
      </w:r>
    </w:p>
    <w:p>
      <w:pPr>
        <w:pStyle w:val="Heading1"/>
        <w:spacing w:before="280" w:after="120"/>
      </w:pPr>
      <w:r>
        <w:t>1. Dlaczego audyt został rozszerzony</w:t>
      </w:r>
    </w:p>
    <w:p>
      <w:r>
        <w:t>Planowy przegląd miał sprawdzić zgodność modeli Gemini, testy regresyjne promptu, koszt i zabezpieczenia. Po odtworzeniu Stefana z kopii zapasowej stwierdzono jednak, że sam test modelu nie wystarcza. Zakres objął także integralność odtworzonej wersji, zgodność produkcji z repozytorium, prawdziwość dokumentacji oraz trwałość danych.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AF7"/>
          </w:tcPr>
          <w:p>
            <w:r>
              <w:rPr>
                <w:b/>
              </w:rPr>
              <w:t>Ryzyko</w:t>
            </w:r>
          </w:p>
        </w:tc>
        <w:tc>
          <w:tcPr>
            <w:tcW w:type="dxa" w:w="3324"/>
            <w:shd w:fill="DCEAF7"/>
          </w:tcPr>
          <w:p>
            <w:r>
              <w:rPr>
                <w:b/>
              </w:rPr>
              <w:t>Znaczenie</w:t>
            </w:r>
          </w:p>
        </w:tc>
        <w:tc>
          <w:tcPr>
            <w:tcW w:type="dxa" w:w="3324"/>
            <w:shd w:fill="DCEAF7"/>
          </w:tcPr>
          <w:p>
            <w:r>
              <w:rPr>
                <w:b/>
              </w:rPr>
              <w:t>Działanie</w:t>
            </w:r>
          </w:p>
        </w:tc>
      </w:tr>
      <w:tr>
        <w:tc>
          <w:tcPr>
            <w:tcW w:type="dxa" w:w="3324"/>
            <w:vAlign w:val="center"/>
          </w:tcPr>
          <w:p>
            <w:r>
              <w:t>Rozjazd wersji</w:t>
            </w:r>
          </w:p>
        </w:tc>
        <w:tc>
          <w:tcPr>
            <w:tcW w:type="dxa" w:w="3324"/>
            <w:vAlign w:val="center"/>
          </w:tcPr>
          <w:p>
            <w:r>
              <w:t>Domena publiczna wskazywała v5.1.0 mimo późniejszych zmian w repozytorium.</w:t>
            </w:r>
          </w:p>
        </w:tc>
        <w:tc>
          <w:tcPr>
            <w:tcW w:type="dxa" w:w="3324"/>
            <w:vAlign w:val="center"/>
          </w:tcPr>
          <w:p>
            <w:r>
              <w:t>Ustalono obowiązek publikacji aktualnego checkpointu i kontroli po publikacji.</w:t>
            </w:r>
          </w:p>
        </w:tc>
      </w:tr>
      <w:tr>
        <w:tc>
          <w:tcPr>
            <w:tcW w:type="dxa" w:w="3324"/>
            <w:vAlign w:val="center"/>
          </w:tcPr>
          <w:p>
            <w:r>
              <w:t>Rozjazd modeli</w:t>
            </w:r>
          </w:p>
        </w:tc>
        <w:tc>
          <w:tcPr>
            <w:tcW w:type="dxa" w:w="3324"/>
            <w:vAlign w:val="center"/>
          </w:tcPr>
          <w:p>
            <w:r>
              <w:t>W kodzie, testach i opisach pozostały stare identyfikatory Gemini.</w:t>
            </w:r>
          </w:p>
        </w:tc>
        <w:tc>
          <w:tcPr>
            <w:tcW w:type="dxa" w:w="3324"/>
            <w:vAlign w:val="center"/>
          </w:tcPr>
          <w:p>
            <w:r>
              <w:t>Ujednolicono runtime, helpery, panel, testy i dokumentację.</w:t>
            </w:r>
          </w:p>
        </w:tc>
      </w:tr>
      <w:tr>
        <w:tc>
          <w:tcPr>
            <w:tcW w:type="dxa" w:w="3324"/>
            <w:vAlign w:val="center"/>
          </w:tcPr>
          <w:p>
            <w:r>
              <w:t>Ryzyko odpowiedzi prawnej</w:t>
            </w:r>
          </w:p>
        </w:tc>
        <w:tc>
          <w:tcPr>
            <w:tcW w:type="dxa" w:w="3324"/>
            <w:vAlign w:val="center"/>
          </w:tcPr>
          <w:p>
            <w:r>
              <w:t>Niska temperatura nie jest samodzielną ochroną przed konfabulacją ani injection.</w:t>
            </w:r>
          </w:p>
        </w:tc>
        <w:tc>
          <w:tcPr>
            <w:tcW w:type="dxa" w:w="3324"/>
            <w:vAlign w:val="center"/>
          </w:tcPr>
          <w:p>
            <w:r>
              <w:t>Wdrożono fail-closed i testy kontraktu bezpieczeństwa.</w:t>
            </w:r>
          </w:p>
        </w:tc>
      </w:tr>
      <w:tr>
        <w:tc>
          <w:tcPr>
            <w:tcW w:type="dxa" w:w="3324"/>
            <w:vAlign w:val="center"/>
          </w:tcPr>
          <w:p>
            <w:r>
              <w:t>Błąd runtime</w:t>
            </w:r>
          </w:p>
        </w:tc>
        <w:tc>
          <w:tcPr>
            <w:tcW w:type="dxa" w:w="3324"/>
            <w:vAlign w:val="center"/>
          </w:tcPr>
          <w:p>
            <w:r>
              <w:t>Invalid hook call blokował TRPCProvider po hibernacji.</w:t>
            </w:r>
          </w:p>
        </w:tc>
        <w:tc>
          <w:tcPr>
            <w:tcW w:type="dxa" w:w="3324"/>
            <w:vAlign w:val="center"/>
          </w:tcPr>
          <w:p>
            <w:r>
              <w:t>Ustabilizowano resolucję React/Vite i cache zależności.</w:t>
            </w:r>
          </w:p>
        </w:tc>
      </w:tr>
    </w:tbl>
    <w:p>
      <w:pPr>
        <w:pStyle w:val="Heading1"/>
        <w:spacing w:before="280" w:after="120"/>
      </w:pPr>
      <w:r>
        <w:t>2. Zakres wykonanych prac</w:t>
      </w:r>
    </w:p>
    <w:p>
      <w:pPr>
        <w:pStyle w:val="Heading2"/>
        <w:spacing w:before="280" w:after="120"/>
      </w:pPr>
      <w:r>
        <w:t>KSeF i dane operacyjne</w:t>
      </w:r>
    </w:p>
    <w:p>
      <w:r>
        <w:t>Monitoring KSeF rozszerzono o historyczne dane ELI API. Alerty są utrwalane w bazie i przekazywane do kontekstu pytań KSeF. Dodano kontekstowe pytanie o alert, licznik nieprzeczytanych i sekcję sankcji.</w:t>
      </w:r>
    </w:p>
    <w:p>
      <w:pPr>
        <w:pStyle w:val="Heading2"/>
        <w:spacing w:before="280" w:after="120"/>
      </w:pPr>
      <w:r>
        <w:t>Trwałość danych</w:t>
      </w:r>
    </w:p>
    <w:p>
      <w:r>
        <w:t>Dodano systemCache dla kontrolowanego odświeżania KSeF/RSS. Czat, notatki, dokumenty tworzone z wzorów i karty klientów działają jako trwałe dane użytkownika, a nie jako dane jednorazowe zależne od pamięci urządzenia.</w:t>
      </w:r>
    </w:p>
    <w:p>
      <w:pPr>
        <w:pStyle w:val="Heading2"/>
        <w:spacing w:before="280" w:after="120"/>
      </w:pPr>
      <w:r>
        <w:t>Bezpieczeństwo modeli</w:t>
      </w:r>
    </w:p>
    <w:p>
      <w:r>
        <w:t>Ustalono Gemini 3.1 Pro Preview jako model główny i Gemini 3 Flash Preview jako fallback. Temperatura wynosi 0,1. Odpowiedź niespełniająca warunków weryfikacji lub zawierająca wzorzec prompt injection jest blokowana, zamiast otrzymywać domyślne uzupełnienie.</w:t>
      </w:r>
    </w:p>
    <w:p>
      <w:pPr>
        <w:pStyle w:val="Heading2"/>
        <w:spacing w:before="280" w:after="120"/>
      </w:pPr>
      <w:r>
        <w:t>React/Vite</w:t>
      </w:r>
    </w:p>
    <w:p>
      <w:r>
        <w:t>Usunięto realną przyczynę Invalid hook call przez dokładne aliasy React/React DOM, wspólną optymalizację zależności i reset cache Vite. Błąd WebSocket HMR pozostaje ograniczeniem proxy podglądu, nie błędem aplikacji produkcyjnej. Podczas kontroli końcowej naprawiono też PWA: cache podniesiono do stefan-v5.8.0, nawigacje działają network-first z fallbackiem offline, a rejestracja Service Workera wymusza pobranie bieżącego wydania bez cache. Po restarcie potwierdzono stopkę System Stefan v5.8.0.</w:t>
      </w:r>
    </w:p>
    <w:p>
      <w:pPr>
        <w:pStyle w:val="Heading2"/>
        <w:spacing w:before="280" w:after="120"/>
      </w:pPr>
      <w:r>
        <w:t>Dokumentacja</w:t>
      </w:r>
    </w:p>
    <w:p>
      <w:r>
        <w:t>Strony O Systemie i Pomoc zaktualizowano do stanu 5.7.0. Usunięto przestarzały PDF instrukcji. MANIFEST i Panel Deweloperski dopasowano do realnej polityki runtime, bez pozornej możliwości zmiany krytycznych parametrów z formularza.</w:t>
      </w:r>
    </w:p>
    <w:p>
      <w:pPr>
        <w:pStyle w:val="Heading1"/>
        <w:spacing w:before="280" w:after="120"/>
      </w:pPr>
      <w:r>
        <w:t>3. Wynik walidacji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AF7"/>
          </w:tcPr>
          <w:p>
            <w:r>
              <w:rPr>
                <w:b/>
              </w:rPr>
              <w:t>Obszar</w:t>
            </w:r>
          </w:p>
        </w:tc>
        <w:tc>
          <w:tcPr>
            <w:tcW w:type="dxa" w:w="4986"/>
            <w:shd w:fill="DCEAF7"/>
          </w:tcPr>
          <w:p>
            <w:r>
              <w:rPr>
                <w:b/>
              </w:rPr>
              <w:t>Wynik</w:t>
            </w:r>
          </w:p>
        </w:tc>
      </w:tr>
      <w:tr>
        <w:tc>
          <w:tcPr>
            <w:tcW w:type="dxa" w:w="4986"/>
            <w:vAlign w:val="center"/>
          </w:tcPr>
          <w:p>
            <w:r>
              <w:t>TypeScript</w:t>
            </w:r>
          </w:p>
        </w:tc>
        <w:tc>
          <w:tcPr>
            <w:tcW w:type="dxa" w:w="4986"/>
            <w:vAlign w:val="center"/>
          </w:tcPr>
          <w:p>
            <w:r>
              <w:t>0 błędów</w:t>
            </w:r>
          </w:p>
        </w:tc>
      </w:tr>
      <w:tr>
        <w:tc>
          <w:tcPr>
            <w:tcW w:type="dxa" w:w="4986"/>
            <w:vAlign w:val="center"/>
          </w:tcPr>
          <w:p>
            <w:r>
              <w:t>Testy automatyczne</w:t>
            </w:r>
          </w:p>
        </w:tc>
        <w:tc>
          <w:tcPr>
            <w:tcW w:type="dxa" w:w="4986"/>
            <w:vAlign w:val="center"/>
          </w:tcPr>
          <w:p>
            <w:r>
              <w:t>193/193 zaliczone</w:t>
            </w:r>
          </w:p>
        </w:tc>
      </w:tr>
      <w:tr>
        <w:tc>
          <w:tcPr>
            <w:tcW w:type="dxa" w:w="4986"/>
            <w:vAlign w:val="center"/>
          </w:tcPr>
          <w:p>
            <w:r>
              <w:t>Render stron</w:t>
            </w:r>
          </w:p>
        </w:tc>
        <w:tc>
          <w:tcPr>
            <w:tcW w:type="dxa" w:w="4986"/>
            <w:vAlign w:val="center"/>
          </w:tcPr>
          <w:p>
            <w:r>
              <w:t>/, /about i /help sprawdzone w podglądzie</w:t>
            </w:r>
          </w:p>
        </w:tc>
      </w:tr>
      <w:tr>
        <w:tc>
          <w:tcPr>
            <w:tcW w:type="dxa" w:w="4986"/>
            <w:vAlign w:val="center"/>
          </w:tcPr>
          <w:p>
            <w:r>
              <w:t>Konsola po naprawie React</w:t>
            </w:r>
          </w:p>
        </w:tc>
        <w:tc>
          <w:tcPr>
            <w:tcW w:type="dxa" w:w="4986"/>
            <w:vAlign w:val="center"/>
          </w:tcPr>
          <w:p>
            <w:r>
              <w:t>Brak Invalid hook call i błędu TRPCProvider useState</w:t>
            </w:r>
          </w:p>
        </w:tc>
      </w:tr>
      <w:tr>
        <w:tc>
          <w:tcPr>
            <w:tcW w:type="dxa" w:w="4986"/>
            <w:vAlign w:val="center"/>
          </w:tcPr>
          <w:p>
            <w:r>
              <w:t>KSeF/RSS</w:t>
            </w:r>
          </w:p>
        </w:tc>
        <w:tc>
          <w:tcPr>
            <w:tcW w:type="dxa" w:w="4986"/>
            <w:vAlign w:val="center"/>
          </w:tcPr>
          <w:p>
            <w:r>
              <w:t>Kontrola wieku danych i cache aktywne</w:t>
            </w:r>
          </w:p>
        </w:tc>
      </w:tr>
      <w:tr>
        <w:tc>
          <w:tcPr>
            <w:tcW w:type="dxa" w:w="4986"/>
            <w:vAlign w:val="center"/>
          </w:tcPr>
          <w:p>
            <w:r>
              <w:t>PWA</w:t>
            </w:r>
          </w:p>
        </w:tc>
        <w:tc>
          <w:tcPr>
            <w:tcW w:type="dxa" w:w="4986"/>
            <w:vAlign w:val="center"/>
          </w:tcPr>
          <w:p>
            <w:r>
              <w:t>Świeży shell v5.8.0 potwierdzony po aktualizacji Service Workera</w:t>
            </w:r>
          </w:p>
        </w:tc>
      </w:tr>
    </w:tbl>
    <w:p>
      <w:pPr>
        <w:pStyle w:val="Heading1"/>
        <w:spacing w:before="280" w:after="120"/>
      </w:pPr>
      <w:r>
        <w:t>4. Standard sygnatury Jaro’Devil</w:t>
      </w:r>
    </w:p>
    <w:p>
      <w:r>
        <w:t>Nowy znak Jaro’Devil jest standardową sygnaturą dokumentów, za które odpowiada Pasternak Jarek. Został podpięty przez chroniony proxy magazynu i dodany do aktywnych powierzchni dokumentowych:</w:t>
      </w:r>
    </w:p>
    <w:p>
      <w:pPr>
        <w:pStyle w:val="ListBullet"/>
      </w:pPr>
      <w:r>
        <w:t>podgląd i druk/PDF dokumentów generowanych z wzorów;</w:t>
      </w:r>
    </w:p>
    <w:p>
      <w:pPr>
        <w:pStyle w:val="ListBullet"/>
      </w:pPr>
      <w:r>
        <w:t>PDF Karty Klienta KSeF;</w:t>
      </w:r>
    </w:p>
    <w:p>
      <w:pPr>
        <w:pStyle w:val="ListBullet"/>
      </w:pPr>
      <w:r>
        <w:t>wydruki ogólnych Szablonów Pism;</w:t>
      </w:r>
    </w:p>
    <w:p>
      <w:pPr>
        <w:pStyle w:val="ListBullet"/>
      </w:pPr>
      <w:r>
        <w:t>raport analizy dokumentu;</w:t>
      </w:r>
    </w:p>
    <w:p>
      <w:pPr>
        <w:pStyle w:val="ListBullet"/>
      </w:pPr>
      <w:r>
        <w:t>serwerowy eksport historii czatu do PDF;</w:t>
      </w:r>
    </w:p>
    <w:p>
      <w:pPr>
        <w:pStyle w:val="ListBullet"/>
      </w:pPr>
      <w:r>
        <w:t>niniejszy raport dzienny.</w:t>
      </w:r>
    </w:p>
    <w:p>
      <w:pPr>
        <w:pStyle w:val="Heading1"/>
        <w:spacing w:before="280" w:after="120"/>
      </w:pPr>
      <w:r>
        <w:t>5. Otwarte działania</w:t>
      </w:r>
    </w:p>
    <w:p>
      <w:pPr>
        <w:pStyle w:val="ListBullet"/>
      </w:pPr>
      <w:r>
        <w:t>Opublikować checkpoint 5.8.0 i potwierdzić publicznie strony /about oraz /help.</w:t>
      </w:r>
    </w:p>
    <w:p>
      <w:pPr>
        <w:pStyle w:val="ListBullet"/>
      </w:pPr>
      <w:r>
        <w:t>Po publikacji aktywować harmonogram dziennego testu kompatybilności modeli i obserwować wynik w systemCache.</w:t>
      </w:r>
    </w:p>
    <w:p>
      <w:pPr>
        <w:pStyle w:val="ListBullet"/>
      </w:pPr>
      <w:r>
        <w:t>Naprawić oraz osobno przetestować automatyczną archiwizację sesji; log audytu wskazał jej niepowodzenie.</w:t>
      </w:r>
    </w:p>
    <w:p>
      <w:pPr>
        <w:pStyle w:val="ListBullet"/>
      </w:pPr>
      <w:r>
        <w:t>Przed wysyłką dokumentu lub działaniem na jego podstawie potwierdzić aktualną podstawę prawną w ISAP, podatki.gov.pl lub właściwym źródle urzędowym.</w:t>
      </w:r>
    </w:p>
    <w:p>
      <w:pPr>
        <w:pStyle w:val="IntenseQuote"/>
      </w:pPr>
      <w:r>
        <w:rPr>
          <w:b/>
        </w:rPr>
        <w:t xml:space="preserve">Wniosek: </w:t>
      </w:r>
      <w:r>
        <w:t>rozszerzenie audytu było konieczne. Odtworzenie aplikacji, rozjazd wersji produkcyjnej, nieaktualne identyfikatory modeli, ryzyko błędnej odpowiedzi prawnej i błąd runtime stanowiły jeden problem integralności. Naprawa objęła pełen łańcuch: źródło → baza → prompt → odpowiedź → dokument → publikacja.</w:t>
      </w:r>
    </w:p>
    <w:p>
      <w:pPr>
        <w:jc w:val="right"/>
      </w:pPr>
      <w:r>
        <w:rPr>
          <w:b/>
        </w:rPr>
        <w:t>Pasternak Jarek — Jaro’Devil</w:t>
        <w:br/>
      </w:r>
      <w:r>
        <w:t>Opracowanie techniczne: Manus 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Jaro’Devil — Pasternak Jarek | System Stefan v5.8.0 | 05.09.2026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503999" cy="5191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rodevil-signature-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3999" cy="5191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