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bCs w:val="1"/>
        </w:rPr>
      </w:pPr>
      <w:bookmarkStart w:colFirst="0" w:colLast="0" w:name="_u5kgsavmjtsr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Planificación y Blueprint Técnico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5 de marzo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minutos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Andrés Ortega (Scrum Master / UI-UX):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Finalicé la redacción de la Visión del Proyecto y el Análisis del Caso de negocio (HU45).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Trabajaré en el desglose de las Épicas y las Historias de Usuario con sus respectivos criterios de aceptación y estimación inicial.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Terminé</w:t>
      </w:r>
      <w:r w:rsidDel="00000000" w:rsidR="00000000" w:rsidRPr="00000000">
        <w:rPr>
          <w:rtl w:val="0"/>
        </w:rPr>
        <w:t xml:space="preserve"> el Diagrama de Flujo y Actores.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Construir el User Story Mapping y elaborar el Diagrama de Arquitectura del Sistema (HU40) para definir la comunicación entre el cliente y el servidor.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López (Product Owner / DBA):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Identificación de entidades y PKs terminada.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Definir relaciones, cardinalidades y aplicar la normalización a las tablas.(HU41)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