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xg3o9j9c55lv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2:</w:t>
      </w:r>
      <w:r w:rsidDel="00000000" w:rsidR="00000000" w:rsidRPr="00000000">
        <w:rPr>
          <w:rtl w:val="0"/>
        </w:rPr>
        <w:t xml:space="preserve"> Persistencia, Seguridad y Entornos Base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30 de Marzo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minutos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la implementación de los endpoints necesarios, realizando pruebas para ver el comportamiento en la BBDD.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Implementar captura de excepciones para devolver respuestas HTTP coherentes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la validación de expiración de los JWT (HU30) y empecé a configurar el filtro de seguridad por roles (HU25).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Cerrar el interceptor del API Gateway para que bloquee peticiones sin token. Revisar la base de datos del backend core para que las entidades se poblen correctamente..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terminó la interfaz visual del Login y las relaciones de las tablas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 para asegurar que el dashboard pueda consumir esos datos correctamente.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Trabajar en la lógica de React para capturar y guardar el JWT en el </w:t>
      </w:r>
      <w:r w:rsidDel="00000000" w:rsidR="00000000" w:rsidRPr="00000000">
        <w:rPr>
          <w:i w:val="1"/>
          <w:i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 del navegador de forma segura (HU30).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