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9</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9: Calidad y Auditoría Final</w:t>
        <w:br w:type="textWrapping"/>
      </w:r>
      <w:r w:rsidDel="00000000" w:rsidR="00000000" w:rsidRPr="00000000">
        <w:rPr>
          <w:b w:val="1"/>
          <w:bCs w:val="1"/>
          <w:rtl w:val="0"/>
        </w:rPr>
        <w:t xml:space="preserve">Fecha:</w:t>
      </w:r>
      <w:r w:rsidDel="00000000" w:rsidR="00000000" w:rsidRPr="00000000">
        <w:rPr>
          <w:rtl w:val="0"/>
        </w:rPr>
        <w:t xml:space="preserve"> 16 de Junio.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Lograr la estabilidad operacional y probidad administrativa del sistema SIFA antes de la entrega final. Este sprint se enfocará en tres pilares: asegurar la integridad de los datos mediante una auditoría completa de acciones, garantizar la continuidad operativa para los fiscalizadores mediante un modo de sincronización offline (trabajo sin conexión), y validar la robustez técnica del sistema ante carga real, cumpliendo con los estándares de escalabilidad y monitoreo definidos para un entorno de producción en AWS.</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pStyle w:val="Heading4"/>
        <w:keepNext w:val="0"/>
        <w:keepLines w:val="0"/>
        <w:numPr>
          <w:ilvl w:val="0"/>
          <w:numId w:val="3"/>
        </w:numPr>
        <w:spacing w:after="0" w:afterAutospacing="0" w:before="240" w:lineRule="auto"/>
        <w:ind w:left="720" w:hanging="360"/>
        <w:rPr>
          <w:color w:val="000000"/>
          <w:sz w:val="24"/>
          <w:szCs w:val="24"/>
        </w:rPr>
      </w:pPr>
      <w:bookmarkStart w:colFirst="0" w:colLast="0" w:name="_7av927j944cd" w:id="3"/>
      <w:bookmarkEnd w:id="3"/>
      <w:r w:rsidDel="00000000" w:rsidR="00000000" w:rsidRPr="00000000">
        <w:rPr>
          <w:b w:val="1"/>
          <w:bCs w:val="1"/>
          <w:color w:val="000000"/>
          <w:sz w:val="22"/>
          <w:szCs w:val="22"/>
          <w:rtl w:val="0"/>
        </w:rPr>
        <w:t xml:space="preserve">HU24:</w:t>
      </w:r>
      <w:r w:rsidDel="00000000" w:rsidR="00000000" w:rsidRPr="00000000">
        <w:rPr>
          <w:color w:val="000000"/>
          <w:sz w:val="22"/>
          <w:szCs w:val="22"/>
          <w:rtl w:val="0"/>
        </w:rPr>
        <w:t xml:space="preserve"> Implementación de Log de Auditoría y Probidad</w:t>
      </w:r>
      <w:r w:rsidDel="00000000" w:rsidR="00000000" w:rsidRPr="00000000">
        <w:rPr>
          <w:rtl w:val="0"/>
        </w:rPr>
      </w:r>
    </w:p>
    <w:p w:rsidR="00000000" w:rsidDel="00000000" w:rsidP="00000000" w:rsidRDefault="00000000" w:rsidRPr="00000000" w14:paraId="00000009">
      <w:pPr>
        <w:pStyle w:val="Heading4"/>
        <w:numPr>
          <w:ilvl w:val="0"/>
          <w:numId w:val="3"/>
        </w:numPr>
        <w:spacing w:after="0" w:afterAutospacing="0" w:before="0" w:beforeAutospacing="0"/>
        <w:ind w:left="720" w:hanging="360"/>
        <w:rPr>
          <w:color w:val="000000"/>
          <w:sz w:val="24"/>
          <w:szCs w:val="24"/>
        </w:rPr>
      </w:pPr>
      <w:bookmarkStart w:colFirst="0" w:colLast="0" w:name="_4y0wb4cu3pwn" w:id="4"/>
      <w:bookmarkEnd w:id="4"/>
      <w:r w:rsidDel="00000000" w:rsidR="00000000" w:rsidRPr="00000000">
        <w:rPr>
          <w:b w:val="1"/>
          <w:bCs w:val="1"/>
          <w:color w:val="000000"/>
          <w:sz w:val="22"/>
          <w:szCs w:val="22"/>
          <w:rtl w:val="0"/>
        </w:rPr>
        <w:t xml:space="preserve">HU48: </w:t>
      </w:r>
      <w:r w:rsidDel="00000000" w:rsidR="00000000" w:rsidRPr="00000000">
        <w:rPr>
          <w:color w:val="000000"/>
          <w:sz w:val="22"/>
          <w:szCs w:val="22"/>
          <w:rtl w:val="0"/>
        </w:rPr>
        <w:t xml:space="preserve">Consulta de auditorías del sistema</w:t>
      </w:r>
      <w:r w:rsidDel="00000000" w:rsidR="00000000" w:rsidRPr="00000000">
        <w:rPr>
          <w:rtl w:val="0"/>
        </w:rPr>
      </w:r>
    </w:p>
    <w:p w:rsidR="00000000" w:rsidDel="00000000" w:rsidP="00000000" w:rsidRDefault="00000000" w:rsidRPr="00000000" w14:paraId="0000000A">
      <w:pPr>
        <w:pStyle w:val="Heading4"/>
        <w:numPr>
          <w:ilvl w:val="0"/>
          <w:numId w:val="3"/>
        </w:numPr>
        <w:spacing w:after="0" w:afterAutospacing="0" w:before="0" w:beforeAutospacing="0" w:lineRule="auto"/>
        <w:ind w:left="720" w:hanging="360"/>
        <w:rPr>
          <w:color w:val="000000"/>
          <w:sz w:val="24"/>
          <w:szCs w:val="24"/>
        </w:rPr>
      </w:pPr>
      <w:bookmarkStart w:colFirst="0" w:colLast="0" w:name="_gws7zs71san0" w:id="5"/>
      <w:bookmarkEnd w:id="5"/>
      <w:r w:rsidDel="00000000" w:rsidR="00000000" w:rsidRPr="00000000">
        <w:rPr>
          <w:b w:val="1"/>
          <w:bCs w:val="1"/>
          <w:color w:val="000000"/>
          <w:sz w:val="22"/>
          <w:szCs w:val="22"/>
          <w:rtl w:val="0"/>
        </w:rPr>
        <w:t xml:space="preserve">HU08:</w:t>
      </w:r>
      <w:r w:rsidDel="00000000" w:rsidR="00000000" w:rsidRPr="00000000">
        <w:rPr>
          <w:color w:val="000000"/>
          <w:sz w:val="22"/>
          <w:szCs w:val="22"/>
          <w:rtl w:val="0"/>
        </w:rPr>
        <w:t xml:space="preserve"> Sincronización y Modo Offline</w:t>
      </w:r>
      <w:r w:rsidDel="00000000" w:rsidR="00000000" w:rsidRPr="00000000">
        <w:rPr>
          <w:rtl w:val="0"/>
        </w:rPr>
      </w:r>
    </w:p>
    <w:p w:rsidR="00000000" w:rsidDel="00000000" w:rsidP="00000000" w:rsidRDefault="00000000" w:rsidRPr="00000000" w14:paraId="0000000B">
      <w:pPr>
        <w:pStyle w:val="Heading4"/>
        <w:keepNext w:val="0"/>
        <w:keepLines w:val="0"/>
        <w:numPr>
          <w:ilvl w:val="0"/>
          <w:numId w:val="3"/>
        </w:numPr>
        <w:spacing w:after="40" w:before="0" w:lineRule="auto"/>
        <w:ind w:left="720" w:hanging="360"/>
        <w:rPr>
          <w:color w:val="000000"/>
          <w:sz w:val="24"/>
          <w:szCs w:val="24"/>
        </w:rPr>
      </w:pPr>
      <w:bookmarkStart w:colFirst="0" w:colLast="0" w:name="_57rgi2jop6yc" w:id="6"/>
      <w:bookmarkEnd w:id="6"/>
      <w:r w:rsidDel="00000000" w:rsidR="00000000" w:rsidRPr="00000000">
        <w:rPr>
          <w:b w:val="1"/>
          <w:bCs w:val="1"/>
          <w:color w:val="000000"/>
          <w:sz w:val="22"/>
          <w:szCs w:val="22"/>
          <w:rtl w:val="0"/>
        </w:rPr>
        <w:t xml:space="preserve">HU39:</w:t>
      </w:r>
      <w:r w:rsidDel="00000000" w:rsidR="00000000" w:rsidRPr="00000000">
        <w:rPr>
          <w:color w:val="000000"/>
          <w:sz w:val="22"/>
          <w:szCs w:val="22"/>
          <w:rtl w:val="0"/>
        </w:rPr>
        <w:t xml:space="preserve"> Monitoreo y Escalabilidad del Sistema</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7z0pzwftcnl" w:id="7"/>
      <w:bookmarkEnd w:id="7"/>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0E">
      <w:pPr>
        <w:numPr>
          <w:ilvl w:val="0"/>
          <w:numId w:val="2"/>
        </w:numPr>
        <w:spacing w:after="0" w:afterAutospacing="0" w:lineRule="auto"/>
        <w:ind w:left="720" w:hanging="360"/>
        <w:rPr>
          <w:b w:val="1"/>
          <w:bCs w:val="1"/>
        </w:rPr>
      </w:pPr>
      <w:r w:rsidDel="00000000" w:rsidR="00000000" w:rsidRPr="00000000">
        <w:rPr>
          <w:b w:val="1"/>
          <w:bCs w:val="1"/>
          <w:rtl w:val="0"/>
        </w:rPr>
        <w:t xml:space="preserve">Trazabilidad y Logs de Auditoría Inmutables (HU24):</w:t>
      </w:r>
      <w:r w:rsidDel="00000000" w:rsidR="00000000" w:rsidRPr="00000000">
        <w:rPr>
          <w:rtl w:val="0"/>
        </w:rPr>
        <w:t xml:space="preserve"> Se implementó exitosamente el motor de logs de auditoría en el backend para asegurar la probidad del sistema. En el microservicio </w:t>
      </w:r>
      <w:r w:rsidDel="00000000" w:rsidR="00000000" w:rsidRPr="00000000">
        <w:rPr>
          <w:i w:val="1"/>
          <w:iCs w:val="1"/>
          <w:rtl w:val="0"/>
        </w:rPr>
        <w:t xml:space="preserve">Auth</w:t>
      </w:r>
      <w:r w:rsidDel="00000000" w:rsidR="00000000" w:rsidRPr="00000000">
        <w:rPr>
          <w:rtl w:val="0"/>
        </w:rPr>
        <w:t xml:space="preserve">, se configuró la lógica asíncrona mediante </w:t>
      </w:r>
      <w:r w:rsidDel="00000000" w:rsidR="00000000" w:rsidRPr="00000000">
        <w:rPr>
          <w:rtl w:val="0"/>
        </w:rPr>
        <w:t xml:space="preserve">@EnableAsync</w:t>
      </w:r>
      <w:r w:rsidDel="00000000" w:rsidR="00000000" w:rsidRPr="00000000">
        <w:rPr>
          <w:rtl w:val="0"/>
        </w:rPr>
        <w:t xml:space="preserve"> y clientes </w:t>
      </w:r>
      <w:r w:rsidDel="00000000" w:rsidR="00000000" w:rsidRPr="00000000">
        <w:rPr>
          <w:i w:val="1"/>
          <w:iCs w:val="1"/>
          <w:rtl w:val="0"/>
        </w:rPr>
        <w:t xml:space="preserve">“OpenFeign”</w:t>
      </w:r>
      <w:r w:rsidDel="00000000" w:rsidR="00000000" w:rsidRPr="00000000">
        <w:rPr>
          <w:rtl w:val="0"/>
        </w:rPr>
        <w:t xml:space="preserve"> para enviar reportes directos al </w:t>
      </w:r>
      <w:r w:rsidDel="00000000" w:rsidR="00000000" w:rsidRPr="00000000">
        <w:rPr>
          <w:i w:val="1"/>
          <w:iCs w:val="1"/>
          <w:rtl w:val="0"/>
        </w:rPr>
        <w:t xml:space="preserve">Core Service</w:t>
      </w:r>
      <w:r w:rsidDel="00000000" w:rsidR="00000000" w:rsidRPr="00000000">
        <w:rPr>
          <w:rtl w:val="0"/>
        </w:rPr>
        <w:t xml:space="preserve"> durante eventos de sesión (gestión de usuarios, recuperación de contraseñas y asignación de roles). En el </w:t>
      </w:r>
      <w:r w:rsidDel="00000000" w:rsidR="00000000" w:rsidRPr="00000000">
        <w:rPr>
          <w:i w:val="1"/>
          <w:iCs w:val="1"/>
          <w:rtl w:val="0"/>
        </w:rPr>
        <w:t xml:space="preserve">Core Service</w:t>
      </w:r>
      <w:r w:rsidDel="00000000" w:rsidR="00000000" w:rsidRPr="00000000">
        <w:rPr>
          <w:rtl w:val="0"/>
        </w:rPr>
        <w:t xml:space="preserve">, se integraron disparadores transaccionales para capturar modificaciones críticas de infracciones, guardando los registros de forma inmutable. </w:t>
      </w:r>
    </w:p>
    <w:p w:rsidR="00000000" w:rsidDel="00000000" w:rsidP="00000000" w:rsidRDefault="00000000" w:rsidRPr="00000000" w14:paraId="0000000F">
      <w:pPr>
        <w:numPr>
          <w:ilvl w:val="0"/>
          <w:numId w:val="2"/>
        </w:numPr>
        <w:spacing w:after="240" w:lineRule="auto"/>
        <w:ind w:left="720" w:hanging="360"/>
        <w:rPr>
          <w:b w:val="1"/>
          <w:bCs w:val="1"/>
        </w:rPr>
      </w:pPr>
      <w:r w:rsidDel="00000000" w:rsidR="00000000" w:rsidRPr="00000000">
        <w:rPr>
          <w:b w:val="1"/>
          <w:bCs w:val="1"/>
          <w:rtl w:val="0"/>
        </w:rPr>
        <w:t xml:space="preserve">Panel Visual de Fiscalización Interna (HU48):</w:t>
      </w:r>
      <w:r w:rsidDel="00000000" w:rsidR="00000000" w:rsidRPr="00000000">
        <w:rPr>
          <w:rtl w:val="0"/>
        </w:rPr>
        <w:t xml:space="preserve"> En el Dashboard Web de React, se construyó e integró la interfaz completa </w:t>
      </w:r>
      <w:r w:rsidDel="00000000" w:rsidR="00000000" w:rsidRPr="00000000">
        <w:rPr>
          <w:rtl w:val="0"/>
        </w:rPr>
        <w:t xml:space="preserve">AuditLogView</w:t>
      </w:r>
      <w:r w:rsidDel="00000000" w:rsidR="00000000" w:rsidRPr="00000000">
        <w:rPr>
          <w:rtl w:val="0"/>
        </w:rPr>
        <w:t xml:space="preserve"> dentro del panel de administración, restringiendo su visibilidad en el menú principal únicamente si el JWT del usuario autenticado posee el rol de Administrador. Este módulo consume eficientemente el endpoint paginado del backend mediante servicios Axios/Fetch y renderiza las acciones en una tabla interactiva (DataGrid) que transforma las estampas de tiempo ISO a formato local, desglosando de forma amigable el objeto JSON de detalles (mostrando estados anteriores y nuevos).</w:t>
      </w:r>
      <w:r w:rsidDel="00000000" w:rsidR="00000000" w:rsidRPr="00000000">
        <w:rPr>
          <w:rtl w:val="0"/>
        </w:rPr>
      </w:r>
    </w:p>
    <w:p w:rsidR="00000000" w:rsidDel="00000000" w:rsidP="00000000" w:rsidRDefault="00000000" w:rsidRPr="00000000" w14:paraId="0000001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rppyblezbsr" w:id="8"/>
      <w:bookmarkEnd w:id="8"/>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Completado:</w:t>
      </w:r>
    </w:p>
    <w:p w:rsidR="00000000" w:rsidDel="00000000" w:rsidP="00000000" w:rsidRDefault="00000000" w:rsidRPr="00000000" w14:paraId="00000013">
      <w:pPr>
        <w:numPr>
          <w:ilvl w:val="0"/>
          <w:numId w:val="4"/>
        </w:numPr>
        <w:spacing w:after="0" w:afterAutospacing="0" w:before="240" w:lineRule="auto"/>
        <w:ind w:left="720" w:hanging="360"/>
        <w:rPr/>
      </w:pPr>
      <w:r w:rsidDel="00000000" w:rsidR="00000000" w:rsidRPr="00000000">
        <w:rPr>
          <w:b w:val="1"/>
          <w:bCs w:val="1"/>
          <w:rtl w:val="0"/>
        </w:rPr>
        <w:t xml:space="preserve">HU24:</w:t>
      </w:r>
      <w:r w:rsidDel="00000000" w:rsidR="00000000" w:rsidRPr="00000000">
        <w:rPr>
          <w:rtl w:val="0"/>
        </w:rPr>
        <w:t xml:space="preserve"> Implementación de Log de Auditoría y Probidad (100% de subtareas completadas).</w:t>
      </w:r>
    </w:p>
    <w:p w:rsidR="00000000" w:rsidDel="00000000" w:rsidP="00000000" w:rsidRDefault="00000000" w:rsidRPr="00000000" w14:paraId="00000014">
      <w:pPr>
        <w:numPr>
          <w:ilvl w:val="0"/>
          <w:numId w:val="4"/>
        </w:numPr>
        <w:spacing w:after="240" w:before="0" w:beforeAutospacing="0" w:lineRule="auto"/>
        <w:ind w:left="720" w:hanging="360"/>
        <w:rPr/>
      </w:pPr>
      <w:r w:rsidDel="00000000" w:rsidR="00000000" w:rsidRPr="00000000">
        <w:rPr>
          <w:b w:val="1"/>
          <w:bCs w:val="1"/>
          <w:rtl w:val="0"/>
        </w:rPr>
        <w:t xml:space="preserve">HU48:</w:t>
      </w:r>
      <w:r w:rsidDel="00000000" w:rsidR="00000000" w:rsidRPr="00000000">
        <w:rPr>
          <w:rtl w:val="0"/>
        </w:rPr>
        <w:t xml:space="preserve"> Consulta de auditorías del sistema - Vista Web Administrador (100% de subtareas completadas).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Incompleto (Traspasado al Backlog de Deuda Técnica):</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b w:val="1"/>
          <w:bCs w:val="1"/>
          <w:rtl w:val="0"/>
        </w:rPr>
        <w:t xml:space="preserve">HU08: Sincronización y Modo Offline:</w:t>
      </w:r>
      <w:r w:rsidDel="00000000" w:rsidR="00000000" w:rsidRPr="00000000">
        <w:rPr>
          <w:rtl w:val="0"/>
        </w:rPr>
        <w:t xml:space="preserve"> No se alcanzó a iniciar la persistencia local con Room Database, el manejo de excepciones de red (</w:t>
      </w:r>
      <w:r w:rsidDel="00000000" w:rsidR="00000000" w:rsidRPr="00000000">
        <w:rPr>
          <w:rtl w:val="0"/>
        </w:rPr>
        <w:t xml:space="preserve">IOException</w:t>
      </w:r>
      <w:r w:rsidDel="00000000" w:rsidR="00000000" w:rsidRPr="00000000">
        <w:rPr>
          <w:rtl w:val="0"/>
        </w:rPr>
        <w:t xml:space="preserve">/</w:t>
      </w:r>
      <w:r w:rsidDel="00000000" w:rsidR="00000000" w:rsidRPr="00000000">
        <w:rPr>
          <w:rtl w:val="0"/>
        </w:rPr>
        <w:t xml:space="preserve">SocketTimeoutException</w:t>
      </w:r>
      <w:r w:rsidDel="00000000" w:rsidR="00000000" w:rsidRPr="00000000">
        <w:rPr>
          <w:rtl w:val="0"/>
        </w:rPr>
        <w:t xml:space="preserve">) en el botón de generación, ni el desarrollo del proceso en segundo plano con </w:t>
      </w:r>
      <w:r w:rsidDel="00000000" w:rsidR="00000000" w:rsidRPr="00000000">
        <w:rPr>
          <w:rtl w:val="0"/>
        </w:rPr>
        <w:t xml:space="preserve">WorkManager</w:t>
      </w:r>
      <w:r w:rsidDel="00000000" w:rsidR="00000000" w:rsidRPr="00000000">
        <w:rPr>
          <w:rtl w:val="0"/>
        </w:rPr>
        <w:t xml:space="preserve"> para el envío síncrono.</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b w:val="1"/>
          <w:bCs w:val="1"/>
          <w:rtl w:val="0"/>
        </w:rPr>
        <w:t xml:space="preserve">HU39: Monitoreo y Escalabilidad del Sistema:</w:t>
      </w:r>
      <w:r w:rsidDel="00000000" w:rsidR="00000000" w:rsidRPr="00000000">
        <w:rPr>
          <w:rtl w:val="0"/>
        </w:rPr>
        <w:t xml:space="preserve"> Quedó pendiente la integración de </w:t>
      </w:r>
      <w:r w:rsidDel="00000000" w:rsidR="00000000" w:rsidRPr="00000000">
        <w:rPr>
          <w:rtl w:val="0"/>
        </w:rPr>
        <w:t xml:space="preserve">spring-boot-starter-actuator</w:t>
      </w:r>
      <w:r w:rsidDel="00000000" w:rsidR="00000000" w:rsidRPr="00000000">
        <w:rPr>
          <w:rtl w:val="0"/>
        </w:rPr>
        <w:t xml:space="preserve"> en el ecosistema, la ejecución y documentación de las pruebas de estrés (K6/JMeter) contra el API Gateway, la configuración de la redirección permanente HTTP 301 a HTTPS en el puerto 80, y la auditoría del certificado SSL de borde en Netlify.</w: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we256yppnj" w:id="9"/>
      <w:bookmarkEnd w:id="9"/>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1A">
      <w:pPr>
        <w:numPr>
          <w:ilvl w:val="0"/>
          <w:numId w:val="6"/>
        </w:numPr>
        <w:spacing w:after="0" w:afterAutospacing="0" w:before="240" w:lineRule="auto"/>
        <w:ind w:left="720" w:hanging="360"/>
        <w:rPr/>
      </w:pPr>
      <w:r w:rsidDel="00000000" w:rsidR="00000000" w:rsidRPr="00000000">
        <w:rPr>
          <w:b w:val="1"/>
          <w:bCs w:val="1"/>
          <w:rtl w:val="0"/>
        </w:rPr>
        <w:t xml:space="preserve">Impedimento:</w:t>
      </w:r>
      <w:r w:rsidDel="00000000" w:rsidR="00000000" w:rsidRPr="00000000">
        <w:rPr>
          <w:rtl w:val="0"/>
        </w:rPr>
        <w:t xml:space="preserve"> Al modificar el token JWT permite de igual forma entrar a una sesión con acceso al contenido</w:t>
      </w:r>
    </w:p>
    <w:p w:rsidR="00000000" w:rsidDel="00000000" w:rsidP="00000000" w:rsidRDefault="00000000" w:rsidRPr="00000000" w14:paraId="0000001B">
      <w:pPr>
        <w:numPr>
          <w:ilvl w:val="0"/>
          <w:numId w:val="6"/>
        </w:numPr>
        <w:spacing w:after="240" w:before="0" w:beforeAutospacing="0" w:lineRule="auto"/>
        <w:ind w:left="720" w:hanging="360"/>
        <w:rPr/>
      </w:pPr>
      <w:r w:rsidDel="00000000" w:rsidR="00000000" w:rsidRPr="00000000">
        <w:rPr>
          <w:b w:val="1"/>
          <w:bCs w:val="1"/>
          <w:rtl w:val="0"/>
        </w:rPr>
        <w:t xml:space="preserve">Medida Tomada: </w:t>
      </w:r>
      <w:r w:rsidDel="00000000" w:rsidR="00000000" w:rsidRPr="00000000">
        <w:rPr>
          <w:rtl w:val="0"/>
        </w:rPr>
        <w:t xml:space="preserve">Investigar el storage de la web y si se está guardando el token allí, también investigar cómo se está manejando las validaciones del token ante modificaciones</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6smju81xqz4" w:id="10"/>
      <w:bookmarkEnd w:id="10"/>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1E">
      <w:pPr>
        <w:numPr>
          <w:ilvl w:val="0"/>
          <w:numId w:val="5"/>
        </w:numPr>
        <w:spacing w:after="0" w:afterAutospacing="0" w:lineRule="auto"/>
        <w:ind w:left="720" w:hanging="360"/>
        <w:rPr/>
      </w:pPr>
      <w:r w:rsidDel="00000000" w:rsidR="00000000" w:rsidRPr="00000000">
        <w:rPr>
          <w:b w:val="1"/>
          <w:bCs w:val="1"/>
          <w:rtl w:val="0"/>
        </w:rPr>
        <w:t xml:space="preserve">Garantía de Probidad Administrativa Exitosa:</w:t>
      </w:r>
      <w:r w:rsidDel="00000000" w:rsidR="00000000" w:rsidRPr="00000000">
        <w:rPr>
          <w:rtl w:val="0"/>
        </w:rPr>
        <w:t xml:space="preserve"> El cierre de las historias asociadas a la auditoría (HU24 y HU48) provee al sistema SIFA de una capa de seguridad forense crítica para entornos estatales o municipales. La capacidad de rastrear qué administrador modificó un dato, cuándo ocurrió y qué valor alteró cumple con las exigencias del modelo de negocio de fiscalización.</w:t>
      </w:r>
    </w:p>
    <w:p w:rsidR="00000000" w:rsidDel="00000000" w:rsidP="00000000" w:rsidRDefault="00000000" w:rsidRPr="00000000" w14:paraId="0000001F">
      <w:pPr>
        <w:numPr>
          <w:ilvl w:val="0"/>
          <w:numId w:val="5"/>
        </w:numPr>
        <w:spacing w:after="240" w:lineRule="auto"/>
        <w:ind w:left="720" w:hanging="360"/>
        <w:rPr/>
      </w:pPr>
      <w:r w:rsidDel="00000000" w:rsidR="00000000" w:rsidRPr="00000000">
        <w:rPr>
          <w:b w:val="1"/>
          <w:bCs w:val="1"/>
          <w:rtl w:val="0"/>
        </w:rPr>
        <w:t xml:space="preserve">Sinceramiento del Alcance de Cierre:</w:t>
      </w:r>
      <w:r w:rsidDel="00000000" w:rsidR="00000000" w:rsidRPr="00000000">
        <w:rPr>
          <w:rtl w:val="0"/>
        </w:rPr>
        <w:t xml:space="preserve"> El aplazamiento de las historias de sincronización offline (HU08) y monitoreo cloud (HU39) evidencia que la complejidad de la persistencia móvil nativa y la infraestructura de redes seguras requería un tiempo de desarrollo superior al margen del sprint. No obstante, el core transaccional del sistema web y los flujos perimetrales de seguridad del Gateway se mantienen estables y auditados para los entregables principales del software.</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