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4"/>
        </w:numPr>
        <w:spacing w:after="0" w:afterAutospacing="0" w:before="240" w:lineRule="auto"/>
        <w:ind w:left="720" w:hanging="360"/>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4"/>
        </w:numPr>
        <w:spacing w:after="0" w:afterAutospacing="0" w:before="0" w:beforeAutospacing="0" w:lineRule="auto"/>
        <w:ind w:left="720" w:hanging="360"/>
        <w:rPr/>
      </w:pPr>
      <w:r w:rsidDel="00000000" w:rsidR="00000000" w:rsidRPr="00000000">
        <w:rPr>
          <w:b w:val="1"/>
          <w:bCs w:val="1"/>
          <w:rtl w:val="0"/>
        </w:rPr>
        <w:t xml:space="preserve">Sprint Analizado:</w:t>
      </w:r>
      <w:r w:rsidDel="00000000" w:rsidR="00000000" w:rsidRPr="00000000">
        <w:rPr>
          <w:rtl w:val="0"/>
        </w:rPr>
        <w:t xml:space="preserve"> Sprint  9 - Calidad y Auditoría Final</w:t>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b w:val="1"/>
          <w:bCs w:val="1"/>
          <w:rtl w:val="0"/>
        </w:rPr>
        <w:t xml:space="preserve">Fecha de Retrospectiva:</w:t>
      </w:r>
      <w:r w:rsidDel="00000000" w:rsidR="00000000" w:rsidRPr="00000000">
        <w:rPr>
          <w:rtl w:val="0"/>
        </w:rPr>
        <w:t xml:space="preserve"> 16 de Junio de 2026</w:t>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4"/>
        </w:numPr>
        <w:spacing w:after="0" w:afterAutospacing="0" w:before="0" w:beforeAutospacing="0" w:lineRule="auto"/>
        <w:ind w:left="720" w:hanging="360"/>
        <w:rPr/>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4"/>
        </w:numPr>
        <w:spacing w:after="240" w:before="0" w:beforeAutospacing="0" w:lineRule="auto"/>
        <w:ind w:left="720" w:hanging="360"/>
        <w:rPr/>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keepNext w:val="0"/>
        <w:keepLines w:val="0"/>
        <w:spacing w:before="0" w:lineRule="auto"/>
        <w:rPr>
          <w:b w:val="1"/>
          <w:bCs w:val="1"/>
        </w:rPr>
      </w:pPr>
      <w:r w:rsidDel="00000000" w:rsidR="00000000" w:rsidRPr="00000000">
        <w:rPr>
          <w:b w:val="1"/>
          <w:bCs w:val="1"/>
          <w:rtl w:val="0"/>
        </w:rPr>
        <w:t xml:space="preserve">Continuar haciendo (Lo que salió bien y debemos mantener)</w:t>
      </w:r>
    </w:p>
    <w:p w:rsidR="00000000" w:rsidDel="00000000" w:rsidP="00000000" w:rsidRDefault="00000000" w:rsidRPr="00000000" w14:paraId="0000000C">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0D">
      <w:pPr>
        <w:numPr>
          <w:ilvl w:val="0"/>
          <w:numId w:val="10"/>
        </w:numPr>
        <w:ind w:left="720" w:hanging="360"/>
        <w:rPr/>
      </w:pPr>
      <w:r w:rsidDel="00000000" w:rsidR="00000000" w:rsidRPr="00000000">
        <w:rPr>
          <w:b w:val="1"/>
          <w:bCs w:val="1"/>
          <w:rtl w:val="0"/>
        </w:rPr>
        <w:t xml:space="preserve">Desacoplamiento asíncrono inter-servicio para procesos transversales: </w:t>
      </w:r>
      <w:r w:rsidDel="00000000" w:rsidR="00000000" w:rsidRPr="00000000">
        <w:rPr>
          <w:rtl w:val="0"/>
        </w:rPr>
        <w:t xml:space="preserve">Mantener el uso de la anotación </w:t>
      </w:r>
      <w:r w:rsidDel="00000000" w:rsidR="00000000" w:rsidRPr="00000000">
        <w:rPr>
          <w:rtl w:val="0"/>
        </w:rPr>
        <w:t xml:space="preserve">@Async</w:t>
      </w:r>
      <w:r w:rsidDel="00000000" w:rsidR="00000000" w:rsidRPr="00000000">
        <w:rPr>
          <w:rtl w:val="0"/>
        </w:rPr>
        <w:t xml:space="preserve"> y la comunicación mediante hilos secundarios con clientes OpenFeign para tareas de soporte (como la auditoría). Aislar el registro de logs del hilo principal de autenticación en </w:t>
      </w:r>
      <w:r w:rsidDel="00000000" w:rsidR="00000000" w:rsidRPr="00000000">
        <w:rPr>
          <w:i w:val="1"/>
          <w:iCs w:val="1"/>
          <w:rtl w:val="0"/>
        </w:rPr>
        <w:t xml:space="preserve">Auth</w:t>
      </w:r>
      <w:r w:rsidDel="00000000" w:rsidR="00000000" w:rsidRPr="00000000">
        <w:rPr>
          <w:rtl w:val="0"/>
        </w:rPr>
        <w:t xml:space="preserve"> evitó que problemas de latencia o persistencia en el </w:t>
      </w:r>
      <w:r w:rsidDel="00000000" w:rsidR="00000000" w:rsidRPr="00000000">
        <w:rPr>
          <w:i w:val="1"/>
          <w:iCs w:val="1"/>
          <w:rtl w:val="0"/>
        </w:rPr>
        <w:t xml:space="preserve">Core Service</w:t>
      </w:r>
      <w:r w:rsidDel="00000000" w:rsidR="00000000" w:rsidRPr="00000000">
        <w:rPr>
          <w:rtl w:val="0"/>
        </w:rPr>
        <w:t xml:space="preserve"> bloquearan los inicios de sesión de los usuarios.</w:t>
      </w:r>
    </w:p>
    <w:p w:rsidR="00000000" w:rsidDel="00000000" w:rsidP="00000000" w:rsidRDefault="00000000" w:rsidRPr="00000000" w14:paraId="0000000E">
      <w:pPr>
        <w:numPr>
          <w:ilvl w:val="0"/>
          <w:numId w:val="10"/>
        </w:numPr>
        <w:ind w:left="720" w:hanging="360"/>
        <w:rPr/>
      </w:pPr>
      <w:r w:rsidDel="00000000" w:rsidR="00000000" w:rsidRPr="00000000">
        <w:rPr>
          <w:b w:val="1"/>
          <w:bCs w:val="1"/>
          <w:rtl w:val="0"/>
        </w:rPr>
        <w:t xml:space="preserve">Control perimetral e inmutabilidad estricta de datos:</w:t>
      </w:r>
      <w:r w:rsidDel="00000000" w:rsidR="00000000" w:rsidRPr="00000000">
        <w:rPr>
          <w:rtl w:val="0"/>
        </w:rPr>
        <w:t xml:space="preserve"> Seguir aplicando restricciones de acceso a nivel de API Gateway utilizando anotaciones de seguridad granulares (</w:t>
      </w:r>
      <w:r w:rsidDel="00000000" w:rsidR="00000000" w:rsidRPr="00000000">
        <w:rPr>
          <w:rtl w:val="0"/>
        </w:rPr>
        <w:t xml:space="preserve">@PreAuthorize("hasAuthority('USER_ADMIN')")</w:t>
      </w:r>
      <w:r w:rsidDel="00000000" w:rsidR="00000000" w:rsidRPr="00000000">
        <w:rPr>
          <w:rtl w:val="0"/>
        </w:rPr>
        <w:t xml:space="preserve">). El bloqueo de operaciones de mutación (</w:t>
      </w:r>
      <w:r w:rsidDel="00000000" w:rsidR="00000000" w:rsidRPr="00000000">
        <w:rPr>
          <w:rtl w:val="0"/>
        </w:rPr>
        <w:t xml:space="preserve">UPDATE</w:t>
      </w:r>
      <w:r w:rsidDel="00000000" w:rsidR="00000000" w:rsidRPr="00000000">
        <w:rPr>
          <w:rtl w:val="0"/>
        </w:rPr>
        <w:t xml:space="preserve">/</w:t>
      </w:r>
      <w:r w:rsidDel="00000000" w:rsidR="00000000" w:rsidRPr="00000000">
        <w:rPr>
          <w:rtl w:val="0"/>
        </w:rPr>
        <w:t xml:space="preserve">DELETE</w:t>
      </w:r>
      <w:r w:rsidDel="00000000" w:rsidR="00000000" w:rsidRPr="00000000">
        <w:rPr>
          <w:rtl w:val="0"/>
        </w:rPr>
        <w:t xml:space="preserve">) directamente sobre la estructura de persistencia JPA para logs garantizó la inmutabilidad de la información exigida para auditorías gubernamentales.</w:t>
      </w:r>
    </w:p>
    <w:p w:rsidR="00000000" w:rsidDel="00000000" w:rsidP="00000000" w:rsidRDefault="00000000" w:rsidRPr="00000000" w14:paraId="0000000F">
      <w:pPr>
        <w:numPr>
          <w:ilvl w:val="0"/>
          <w:numId w:val="10"/>
        </w:numPr>
        <w:ind w:left="720" w:hanging="360"/>
        <w:rPr/>
      </w:pPr>
      <w:r w:rsidDel="00000000" w:rsidR="00000000" w:rsidRPr="00000000">
        <w:rPr>
          <w:b w:val="1"/>
          <w:bCs w:val="1"/>
          <w:rtl w:val="0"/>
        </w:rPr>
        <w:t xml:space="preserve">Mapeo iterativo y dinámico de payloads JSON en el Frontend:</w:t>
      </w:r>
      <w:r w:rsidDel="00000000" w:rsidR="00000000" w:rsidRPr="00000000">
        <w:rPr>
          <w:rtl w:val="0"/>
        </w:rPr>
        <w:t xml:space="preserve"> Mantener la estrategia de diseñar componentes en React capaces de iterar y parsear objetos estructurados dinámicos (Maps/JSON anidados). Esto resolvió el problema de visualizar registros heterogéneos provenientes de diferentes microservicios en una sola interfaz limpia (</w:t>
      </w:r>
      <w:r w:rsidDel="00000000" w:rsidR="00000000" w:rsidRPr="00000000">
        <w:rPr>
          <w:rtl w:val="0"/>
        </w:rPr>
        <w:t xml:space="preserve">AuditLogView</w:t>
      </w:r>
      <w:r w:rsidDel="00000000" w:rsidR="00000000" w:rsidRPr="00000000">
        <w:rPr>
          <w:rtl w:val="0"/>
        </w:rPr>
        <w:t xml:space="preserve">) para el administrador.</w:t>
      </w:r>
    </w:p>
    <w:p w:rsidR="00000000" w:rsidDel="00000000" w:rsidP="00000000" w:rsidRDefault="00000000" w:rsidRPr="00000000" w14:paraId="00000010">
      <w:pPr>
        <w:keepNext w:val="0"/>
        <w:keepLines w:val="0"/>
        <w:spacing w:before="0" w:lineRule="auto"/>
        <w:rPr/>
      </w:pPr>
      <w:r w:rsidDel="00000000" w:rsidR="00000000" w:rsidRPr="00000000">
        <w:rPr>
          <w:rtl w:val="0"/>
        </w:rPr>
      </w:r>
    </w:p>
    <w:p w:rsidR="00000000" w:rsidDel="00000000" w:rsidP="00000000" w:rsidRDefault="00000000" w:rsidRPr="00000000" w14:paraId="00000011">
      <w:pPr>
        <w:keepNext w:val="0"/>
        <w:keepLines w:val="0"/>
        <w:spacing w:before="0" w:lineRule="auto"/>
        <w:rPr>
          <w:b w:val="1"/>
          <w:bCs w:val="1"/>
        </w:rPr>
      </w:pPr>
      <w:r w:rsidDel="00000000" w:rsidR="00000000" w:rsidRPr="00000000">
        <w:rPr>
          <w:b w:val="1"/>
          <w:bCs w:val="1"/>
          <w:rtl w:val="0"/>
        </w:rPr>
        <w:t xml:space="preserve">Dejar de hacer (Lo que no funcionó y debemos eliminar)</w:t>
      </w:r>
    </w:p>
    <w:p w:rsidR="00000000" w:rsidDel="00000000" w:rsidP="00000000" w:rsidRDefault="00000000" w:rsidRPr="00000000" w14:paraId="00000012">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3">
      <w:pPr>
        <w:numPr>
          <w:ilvl w:val="0"/>
          <w:numId w:val="7"/>
        </w:numPr>
        <w:spacing w:after="0" w:afterAutospacing="0" w:lineRule="auto"/>
        <w:ind w:left="720" w:hanging="360"/>
        <w:rPr/>
      </w:pPr>
      <w:r w:rsidDel="00000000" w:rsidR="00000000" w:rsidRPr="00000000">
        <w:rPr>
          <w:b w:val="1"/>
          <w:bCs w:val="1"/>
          <w:rtl w:val="0"/>
        </w:rPr>
        <w:t xml:space="preserve">Subestimar la curva de aprendizaje de la persistencia nativa en Android: </w:t>
      </w:r>
      <w:r w:rsidDel="00000000" w:rsidR="00000000" w:rsidRPr="00000000">
        <w:rPr>
          <w:rtl w:val="0"/>
        </w:rPr>
        <w:t xml:space="preserve">Debemos dejar de planificar tareas complejas que involucren el ciclo de vida del hardware de Android y almacenamiento permanente (como Room Database y la API </w:t>
      </w:r>
      <w:r w:rsidDel="00000000" w:rsidR="00000000" w:rsidRPr="00000000">
        <w:rPr>
          <w:rtl w:val="0"/>
        </w:rPr>
        <w:t xml:space="preserve">WorkManager</w:t>
      </w:r>
      <w:r w:rsidDel="00000000" w:rsidR="00000000" w:rsidRPr="00000000">
        <w:rPr>
          <w:rtl w:val="0"/>
        </w:rPr>
        <w:t xml:space="preserve">) en periodos de tiempo excesivamente cortos. La complejidad de gestionar estados de red intermitentes y el aislamiento de archivos multimedia en subredes locales requería una investigación previa más profunda.</w:t>
      </w:r>
    </w:p>
    <w:p w:rsidR="00000000" w:rsidDel="00000000" w:rsidP="00000000" w:rsidRDefault="00000000" w:rsidRPr="00000000" w14:paraId="00000014">
      <w:pPr>
        <w:numPr>
          <w:ilvl w:val="0"/>
          <w:numId w:val="7"/>
        </w:numPr>
        <w:spacing w:after="240" w:lineRule="auto"/>
        <w:ind w:left="720" w:hanging="360"/>
        <w:rPr/>
      </w:pPr>
      <w:r w:rsidDel="00000000" w:rsidR="00000000" w:rsidRPr="00000000">
        <w:rPr>
          <w:b w:val="1"/>
          <w:bCs w:val="1"/>
          <w:rtl w:val="0"/>
        </w:rPr>
        <w:t xml:space="preserve">Postergar la configuración de infraestructuras críticas y pruebas de estrés para el cierre: </w:t>
      </w:r>
      <w:r w:rsidDel="00000000" w:rsidR="00000000" w:rsidRPr="00000000">
        <w:rPr>
          <w:rtl w:val="0"/>
        </w:rPr>
        <w:t xml:space="preserve">Eliminar el supuesto de que el aprovisionamiento de entornos seguros de red (configuración de redirecciones HTTP 301 a HTTPS) y las pruebas de carga automatizadas (K6/JMeter) se pueden ejecutar rápidamente en paralelo al desarrollo de software. Estas actividades DevOps deben tratarse con prioridad de bloqueo en sprints tempranos.</w:t>
      </w:r>
    </w:p>
    <w:p w:rsidR="00000000" w:rsidDel="00000000" w:rsidP="00000000" w:rsidRDefault="00000000" w:rsidRPr="00000000" w14:paraId="00000015">
      <w:pPr>
        <w:keepNext w:val="0"/>
        <w:keepLines w:val="0"/>
        <w:spacing w:before="0" w:lineRule="auto"/>
        <w:rPr>
          <w:b w:val="1"/>
          <w:bCs w:val="1"/>
        </w:rPr>
      </w:pPr>
      <w:r w:rsidDel="00000000" w:rsidR="00000000" w:rsidRPr="00000000">
        <w:rPr>
          <w:b w:val="1"/>
          <w:bCs w:val="1"/>
          <w:rtl w:val="0"/>
        </w:rPr>
        <w:t xml:space="preserve">Comenzar a hacer (Lo que implementaremos para mejorar en el Sprint 7)</w:t>
      </w:r>
    </w:p>
    <w:p w:rsidR="00000000" w:rsidDel="00000000" w:rsidP="00000000" w:rsidRDefault="00000000" w:rsidRPr="00000000" w14:paraId="00000016">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7">
      <w:pPr>
        <w:numPr>
          <w:ilvl w:val="0"/>
          <w:numId w:val="3"/>
        </w:numPr>
        <w:spacing w:after="0" w:afterAutospacing="0" w:lineRule="auto"/>
        <w:ind w:left="720" w:hanging="360"/>
        <w:rPr/>
      </w:pPr>
      <w:r w:rsidDel="00000000" w:rsidR="00000000" w:rsidRPr="00000000">
        <w:rPr>
          <w:b w:val="1"/>
          <w:bCs w:val="1"/>
          <w:rtl w:val="0"/>
        </w:rPr>
        <w:t xml:space="preserve">Sinceramiento del alcance y documentación transparente de Deuda Técnica: </w:t>
      </w:r>
      <w:r w:rsidDel="00000000" w:rsidR="00000000" w:rsidRPr="00000000">
        <w:rPr>
          <w:rtl w:val="0"/>
        </w:rPr>
        <w:t xml:space="preserve">Establecer como protocolo institucional de cierre que toda Historia de Usuario no completada (HU08 y HU39) sea formalmente tipificada, analizada y documentada bajo la categoría de "Trabajos Futuros" y "Deuda Técnica" en el informe final. Esto demuestra madurez ingenieril ante la comisión evaluadora.</w:t>
      </w:r>
    </w:p>
    <w:p w:rsidR="00000000" w:rsidDel="00000000" w:rsidP="00000000" w:rsidRDefault="00000000" w:rsidRPr="00000000" w14:paraId="00000018">
      <w:pPr>
        <w:numPr>
          <w:ilvl w:val="0"/>
          <w:numId w:val="3"/>
        </w:numPr>
        <w:spacing w:after="240" w:lineRule="auto"/>
        <w:ind w:left="720" w:hanging="360"/>
        <w:rPr/>
      </w:pPr>
      <w:r w:rsidDel="00000000" w:rsidR="00000000" w:rsidRPr="00000000">
        <w:rPr>
          <w:b w:val="1"/>
          <w:bCs w:val="1"/>
          <w:rtl w:val="0"/>
        </w:rPr>
        <w:t xml:space="preserve">Diseño preventivo de contingencias para demostraciones en vivo (Demos): </w:t>
      </w:r>
      <w:r w:rsidDel="00000000" w:rsidR="00000000" w:rsidRPr="00000000">
        <w:rPr>
          <w:rtl w:val="0"/>
        </w:rPr>
        <w:t xml:space="preserve">Comenzar a planificar y estructurar de inmediato un guion estructurado para la demo de la defensa de título que mitigue las ausencias de las funcionalidades offline. Se debe diseñar un "camino feliz" que explote al máximo las capacidades de seguridad perimetral, la inteligencia del </w:t>
      </w:r>
      <w:r w:rsidDel="00000000" w:rsidR="00000000" w:rsidRPr="00000000">
        <w:rPr>
          <w:i w:val="1"/>
          <w:iCs w:val="1"/>
          <w:rtl w:val="0"/>
        </w:rPr>
        <w:t xml:space="preserve">Plate Detector</w:t>
      </w:r>
      <w:r w:rsidDel="00000000" w:rsidR="00000000" w:rsidRPr="00000000">
        <w:rPr>
          <w:rtl w:val="0"/>
        </w:rPr>
        <w:t xml:space="preserve"> y la integridad de los logs que fueron finalizados con éxito.</w:t>
      </w:r>
    </w:p>
    <w:p w:rsidR="00000000" w:rsidDel="00000000" w:rsidP="00000000" w:rsidRDefault="00000000" w:rsidRPr="00000000" w14:paraId="00000019">
      <w:pPr>
        <w:keepNext w:val="0"/>
        <w:keepLines w:val="0"/>
        <w:spacing w:after="80" w:lineRule="auto"/>
        <w:rPr/>
      </w:pPr>
      <w:r w:rsidDel="00000000" w:rsidR="00000000" w:rsidRPr="00000000">
        <w:rPr>
          <w:b w:val="1"/>
          <w:bCs w:val="1"/>
          <w:rtl w:val="0"/>
        </w:rPr>
        <w:t xml:space="preserve">2. Plan de Acción para el Cierre del Proyecto (Preparación de la Defensa)</w:t>
      </w:r>
      <w:r w:rsidDel="00000000" w:rsidR="00000000" w:rsidRPr="00000000">
        <w:rPr>
          <w:rtl w:val="0"/>
        </w:rPr>
      </w:r>
    </w:p>
    <w:p w:rsidR="00000000" w:rsidDel="00000000" w:rsidP="00000000" w:rsidRDefault="00000000" w:rsidRPr="00000000" w14:paraId="0000001A">
      <w:pPr>
        <w:keepNext w:val="0"/>
        <w:keepLines w:val="0"/>
        <w:numPr>
          <w:ilvl w:val="0"/>
          <w:numId w:val="8"/>
        </w:numPr>
        <w:spacing w:after="0" w:afterAutospacing="0" w:before="280" w:lineRule="auto"/>
        <w:ind w:left="720" w:hanging="360"/>
        <w:rPr>
          <w:b w:val="1"/>
          <w:bCs w:val="1"/>
        </w:rPr>
      </w:pPr>
      <w:r w:rsidDel="00000000" w:rsidR="00000000" w:rsidRPr="00000000">
        <w:rPr>
          <w:b w:val="1"/>
          <w:bCs w:val="1"/>
          <w:rtl w:val="0"/>
        </w:rPr>
        <w:t xml:space="preserve">Acción 1: Congelamiento de Código (Code Freeze) y Etiquetado en GitHub</w:t>
      </w:r>
    </w:p>
    <w:p w:rsidR="00000000" w:rsidDel="00000000" w:rsidP="00000000" w:rsidRDefault="00000000" w:rsidRPr="00000000" w14:paraId="0000001B">
      <w:pPr>
        <w:numPr>
          <w:ilvl w:val="0"/>
          <w:numId w:val="9"/>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Realizar el proceso de integración definitivo (</w:t>
      </w:r>
      <w:r w:rsidDel="00000000" w:rsidR="00000000" w:rsidRPr="00000000">
        <w:rPr>
          <w:i w:val="1"/>
          <w:iCs w:val="1"/>
          <w:rtl w:val="0"/>
        </w:rPr>
        <w:t xml:space="preserve">merge</w:t>
      </w:r>
      <w:r w:rsidDel="00000000" w:rsidR="00000000" w:rsidRPr="00000000">
        <w:rPr>
          <w:rtl w:val="0"/>
        </w:rPr>
        <w:t xml:space="preserve">) de todas las ramas funcionales estables hacia la rama principal (</w:t>
      </w:r>
      <w:r w:rsidDel="00000000" w:rsidR="00000000" w:rsidRPr="00000000">
        <w:rPr>
          <w:rtl w:val="0"/>
        </w:rPr>
        <w:t xml:space="preserve">main</w:t>
      </w:r>
      <w:r w:rsidDel="00000000" w:rsidR="00000000" w:rsidRPr="00000000">
        <w:rPr>
          <w:rtl w:val="0"/>
        </w:rPr>
        <w:t xml:space="preserve">), resolver cualquier conflicto menor y generar un lanzamiento oficial etiquetado (Release </w:t>
      </w:r>
      <w:r w:rsidDel="00000000" w:rsidR="00000000" w:rsidRPr="00000000">
        <w:rPr>
          <w:rtl w:val="0"/>
        </w:rPr>
        <w:t xml:space="preserve">v1.0.0-final</w:t>
      </w:r>
      <w:r w:rsidDel="00000000" w:rsidR="00000000" w:rsidRPr="00000000">
        <w:rPr>
          <w:rtl w:val="0"/>
        </w:rPr>
        <w:t xml:space="preserve">) en el repositorio. Esto garantizará que el código fuente quede inalterable para las evaluaciones de la comisión.</w:t>
      </w:r>
    </w:p>
    <w:p w:rsidR="00000000" w:rsidDel="00000000" w:rsidP="00000000" w:rsidRDefault="00000000" w:rsidRPr="00000000" w14:paraId="0000001C">
      <w:pPr>
        <w:numPr>
          <w:ilvl w:val="0"/>
          <w:numId w:val="9"/>
        </w:numPr>
        <w:spacing w:after="240" w:before="0" w:beforeAutospacing="0" w:lineRule="auto"/>
        <w:ind w:left="1440" w:hanging="360"/>
        <w:rPr/>
      </w:pPr>
      <w:r w:rsidDel="00000000" w:rsidR="00000000" w:rsidRPr="00000000">
        <w:rPr>
          <w:b w:val="1"/>
          <w:bCs w:val="1"/>
          <w:rtl w:val="0"/>
        </w:rPr>
        <w:t xml:space="preserve">Responsable:</w:t>
      </w:r>
      <w:r w:rsidDel="00000000" w:rsidR="00000000" w:rsidRPr="00000000">
        <w:rPr>
          <w:rtl w:val="0"/>
        </w:rPr>
        <w:t xml:space="preserve"> Equipo de Desarrollo.</w:t>
      </w:r>
      <w:r w:rsidDel="00000000" w:rsidR="00000000" w:rsidRPr="00000000">
        <w:rPr>
          <w:rtl w:val="0"/>
        </w:rPr>
      </w:r>
    </w:p>
    <w:p w:rsidR="00000000" w:rsidDel="00000000" w:rsidP="00000000" w:rsidRDefault="00000000" w:rsidRPr="00000000" w14:paraId="0000001D">
      <w:pPr>
        <w:keepNext w:val="0"/>
        <w:keepLines w:val="0"/>
        <w:spacing w:before="280" w:lineRule="auto"/>
        <w:ind w:left="0" w:firstLine="0"/>
        <w:rPr>
          <w:b w:val="1"/>
          <w:bCs w:val="1"/>
        </w:rPr>
      </w:pPr>
      <w:r w:rsidDel="00000000" w:rsidR="00000000" w:rsidRPr="00000000">
        <w:rPr>
          <w:rtl w:val="0"/>
        </w:rPr>
      </w:r>
    </w:p>
    <w:p w:rsidR="00000000" w:rsidDel="00000000" w:rsidP="00000000" w:rsidRDefault="00000000" w:rsidRPr="00000000" w14:paraId="0000001E">
      <w:pPr>
        <w:keepNext w:val="0"/>
        <w:keepLines w:val="0"/>
        <w:numPr>
          <w:ilvl w:val="0"/>
          <w:numId w:val="2"/>
        </w:numPr>
        <w:spacing w:after="0" w:afterAutospacing="0" w:before="280" w:lineRule="auto"/>
        <w:ind w:left="720" w:hanging="360"/>
        <w:rPr>
          <w:b w:val="1"/>
          <w:bCs w:val="1"/>
        </w:rPr>
      </w:pPr>
      <w:r w:rsidDel="00000000" w:rsidR="00000000" w:rsidRPr="00000000">
        <w:rPr>
          <w:b w:val="1"/>
          <w:bCs w:val="1"/>
          <w:rtl w:val="0"/>
        </w:rPr>
        <w:t xml:space="preserve">Acción 2: Preparación del Entorno Productivo y Datos de Prueba en AWS</w:t>
      </w:r>
    </w:p>
    <w:p w:rsidR="00000000" w:rsidDel="00000000" w:rsidP="00000000" w:rsidRDefault="00000000" w:rsidRPr="00000000" w14:paraId="0000001F">
      <w:pPr>
        <w:numPr>
          <w:ilvl w:val="0"/>
          <w:numId w:val="6"/>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Asegurar la estabilidad de las instancias EC2 en AWS y ejecutar una limpieza controlada de las tablas transaccionales mediante DBeaver, aplicando el script de aislamiento de claves foráneas (</w:t>
      </w:r>
      <w:r w:rsidDel="00000000" w:rsidR="00000000" w:rsidRPr="00000000">
        <w:rPr>
          <w:rtl w:val="0"/>
        </w:rPr>
        <w:t xml:space="preserve">SET FOREIGN_KEY_CHECKS = 0</w:t>
      </w:r>
      <w:r w:rsidDel="00000000" w:rsidR="00000000" w:rsidRPr="00000000">
        <w:rPr>
          <w:rtl w:val="0"/>
        </w:rPr>
        <w:t xml:space="preserve">) para poblar la base de datos MySQL con registros limpios, realistas y fidedignos que sirvan como insumo directo para la presentación en vivo.</w:t>
      </w:r>
    </w:p>
    <w:p w:rsidR="00000000" w:rsidDel="00000000" w:rsidP="00000000" w:rsidRDefault="00000000" w:rsidRPr="00000000" w14:paraId="00000020">
      <w:pPr>
        <w:numPr>
          <w:ilvl w:val="0"/>
          <w:numId w:val="6"/>
        </w:numPr>
        <w:spacing w:after="240" w:before="0" w:beforeAutospacing="0" w:lineRule="auto"/>
        <w:ind w:left="1440" w:hanging="360"/>
        <w:rPr/>
      </w:pPr>
      <w:r w:rsidDel="00000000" w:rsidR="00000000" w:rsidRPr="00000000">
        <w:rPr>
          <w:b w:val="1"/>
          <w:bCs w:val="1"/>
          <w:rtl w:val="0"/>
        </w:rPr>
        <w:t xml:space="preserve">Responsable:</w:t>
      </w:r>
      <w:r w:rsidDel="00000000" w:rsidR="00000000" w:rsidRPr="00000000">
        <w:rPr>
          <w:rtl w:val="0"/>
        </w:rPr>
        <w:t xml:space="preserve"> Equipo de Desarrollo.</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keepNext w:val="0"/>
        <w:keepLines w:val="0"/>
        <w:numPr>
          <w:ilvl w:val="0"/>
          <w:numId w:val="1"/>
        </w:numPr>
        <w:spacing w:after="0" w:afterAutospacing="0" w:before="280" w:lineRule="auto"/>
        <w:ind w:left="720" w:hanging="360"/>
        <w:rPr>
          <w:b w:val="1"/>
          <w:bCs w:val="1"/>
        </w:rPr>
      </w:pPr>
      <w:r w:rsidDel="00000000" w:rsidR="00000000" w:rsidRPr="00000000">
        <w:rPr>
          <w:b w:val="1"/>
          <w:bCs w:val="1"/>
          <w:rtl w:val="0"/>
        </w:rPr>
        <w:t xml:space="preserve">Acción 3: Confección del Guion de la Demo y Ensayo Técnico</w:t>
      </w:r>
    </w:p>
    <w:p w:rsidR="00000000" w:rsidDel="00000000" w:rsidP="00000000" w:rsidRDefault="00000000" w:rsidRPr="00000000" w14:paraId="00000023">
      <w:pPr>
        <w:numPr>
          <w:ilvl w:val="0"/>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Elaborar un guion cronológico paso a paso para la defensa de título que demuestre la solvencia del sistema en línea (Creación de funcionario -&gt; Fiscalización en terreno -&gt; Lectura de patente con IA -&gt; Validación en JPL -&gt; Registro visual en la pantalla de auditoría del Administrador), asegurando la correcta sincronización entre la aplicación móvil Android y el Dashboard Web de React.</w:t>
      </w:r>
    </w:p>
    <w:p w:rsidR="00000000" w:rsidDel="00000000" w:rsidP="00000000" w:rsidRDefault="00000000" w:rsidRPr="00000000" w14:paraId="00000024">
      <w:pPr>
        <w:numPr>
          <w:ilvl w:val="0"/>
          <w:numId w:val="5"/>
        </w:numPr>
        <w:spacing w:after="240" w:before="0" w:beforeAutospacing="0" w:lineRule="auto"/>
        <w:ind w:left="1440" w:hanging="360"/>
        <w:rPr/>
      </w:pPr>
      <w:r w:rsidDel="00000000" w:rsidR="00000000" w:rsidRPr="00000000">
        <w:rPr>
          <w:b w:val="1"/>
          <w:bCs w:val="1"/>
          <w:rtl w:val="0"/>
        </w:rPr>
        <w:t xml:space="preserve">Responsable:</w:t>
      </w:r>
      <w:r w:rsidDel="00000000" w:rsidR="00000000" w:rsidRPr="00000000">
        <w:rPr>
          <w:rtl w:val="0"/>
        </w:rPr>
        <w:t xml:space="preserve"> Equipo de Desarrollo.</w:t>
      </w:r>
    </w:p>
    <w:p w:rsidR="00000000" w:rsidDel="00000000" w:rsidP="00000000" w:rsidRDefault="00000000" w:rsidRPr="00000000" w14:paraId="00000025">
      <w:pPr>
        <w:spacing w:after="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