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3397" w14:textId="2BE7F827" w:rsidR="00F24260" w:rsidRDefault="00504AFD" w:rsidP="00362FCA">
      <w:pPr>
        <w:pStyle w:val="Heading1"/>
      </w:pPr>
      <w:r>
        <w:t>User Input</w:t>
      </w:r>
    </w:p>
    <w:p w14:paraId="766CEF36" w14:textId="46DEBD32" w:rsidR="00504AFD" w:rsidRDefault="006147F1" w:rsidP="00504AFD">
      <w:pPr>
        <w:pStyle w:val="ListParagraph"/>
        <w:numPr>
          <w:ilvl w:val="0"/>
          <w:numId w:val="1"/>
        </w:numPr>
      </w:pPr>
      <w:r>
        <w:t>Feedstock to Commodity Buildout: year to year resource buildout</w:t>
      </w:r>
      <w:r w:rsidR="001E04DA">
        <w:t xml:space="preserve"> specified by </w:t>
      </w:r>
      <w:r w:rsidR="00867308">
        <w:t>user.</w:t>
      </w:r>
    </w:p>
    <w:p w14:paraId="364771FE" w14:textId="1C3E54BE" w:rsidR="003612EF" w:rsidRDefault="006147F1" w:rsidP="003612EF">
      <w:pPr>
        <w:pStyle w:val="ListParagraph"/>
        <w:numPr>
          <w:ilvl w:val="0"/>
          <w:numId w:val="1"/>
        </w:numPr>
      </w:pPr>
      <w:r>
        <w:t xml:space="preserve">Commodity to Use Buildout: </w:t>
      </w:r>
      <w:r w:rsidR="001E04DA">
        <w:t>year to year</w:t>
      </w:r>
      <w:r w:rsidR="003612EF">
        <w:t xml:space="preserve">: </w:t>
      </w:r>
      <w:r w:rsidR="00867308">
        <w:t xml:space="preserve">User can specify the </w:t>
      </w:r>
      <w:r w:rsidR="007D4736">
        <w:t xml:space="preserve">proportion of how much of </w:t>
      </w:r>
      <w:r w:rsidR="00867308">
        <w:t xml:space="preserve">each </w:t>
      </w:r>
      <w:r w:rsidR="007D4736">
        <w:t>commodity</w:t>
      </w:r>
      <w:r w:rsidR="00867308">
        <w:t>’s use case (i.e., transportation</w:t>
      </w:r>
      <w:r w:rsidR="00B06786">
        <w:t>= 0.4</w:t>
      </w:r>
      <w:r w:rsidR="00867308">
        <w:t xml:space="preserve"> vs. </w:t>
      </w:r>
      <w:r w:rsidR="00B06786">
        <w:t>industrial process= 0.6)</w:t>
      </w:r>
      <w:r w:rsidR="007D4736">
        <w:t xml:space="preserve">. </w:t>
      </w:r>
      <w:r w:rsidR="00867308">
        <w:t>Each category proportions should sum to 1.</w:t>
      </w:r>
    </w:p>
    <w:p w14:paraId="7367DD34" w14:textId="4AB78094" w:rsidR="00867308" w:rsidRDefault="00B06786" w:rsidP="00B06786">
      <w:pPr>
        <w:pStyle w:val="Heading1"/>
      </w:pPr>
      <w:r>
        <w:t>Water Use Calculation</w:t>
      </w:r>
      <w:r w:rsidR="00372F6C">
        <w:t xml:space="preserve"> (hydrogen for now)</w:t>
      </w:r>
    </w:p>
    <w:p w14:paraId="60F09AFB" w14:textId="58DC597F" w:rsidR="009171CB" w:rsidRDefault="00360B09" w:rsidP="00B06786">
      <w:r>
        <w:t xml:space="preserve">Output </w:t>
      </w:r>
      <w:r w:rsidR="00B06786">
        <w:t xml:space="preserve">Metric: </w:t>
      </w:r>
      <w:r w:rsidR="009171CB">
        <w:t>Two metrics for water use. Consumption (loss or incorporated in the product) vs. withdrawal (diverted from the water source)</w:t>
      </w:r>
    </w:p>
    <w:p w14:paraId="7C8E0054" w14:textId="1D124513" w:rsidR="00B06786" w:rsidRDefault="000425FE" w:rsidP="009171CB">
      <w:pPr>
        <w:ind w:left="720"/>
      </w:pPr>
      <w:r>
        <w:t xml:space="preserve">acre-feet </w:t>
      </w:r>
      <w:r w:rsidR="00BF5D50">
        <w:t xml:space="preserve">consumed </w:t>
      </w:r>
      <w:r>
        <w:t>by year per feedstock &amp; commodity</w:t>
      </w:r>
      <w:r w:rsidR="00360B09">
        <w:t xml:space="preserve"> (I.e., 10 acre-feet for</w:t>
      </w:r>
      <w:r w:rsidR="00D00F6B">
        <w:t xml:space="preserve"> producing</w:t>
      </w:r>
      <w:r w:rsidR="00360B09">
        <w:t xml:space="preserve"> hydrogen using solar</w:t>
      </w:r>
      <w:r w:rsidR="00D00F6B">
        <w:t xml:space="preserve">). Nidhi will use the output in Tableau so long table with different feedstock and commodity category </w:t>
      </w:r>
      <w:r w:rsidR="00732DFB">
        <w:t xml:space="preserve">by year </w:t>
      </w:r>
      <w:r w:rsidR="00D00F6B">
        <w:t xml:space="preserve">may work. Check with Nidhi on the output </w:t>
      </w:r>
      <w:r w:rsidR="00732DFB">
        <w:t>structure.</w:t>
      </w:r>
    </w:p>
    <w:p w14:paraId="196257A2" w14:textId="68B06377" w:rsidR="00732DFB" w:rsidRDefault="00E1356B" w:rsidP="008C0E60">
      <w:pPr>
        <w:ind w:left="720"/>
      </w:pPr>
      <w:r>
        <w:t>Previously “</w:t>
      </w:r>
      <w:r w:rsidRPr="00E1356B">
        <w:t>CATF Dashboard A 11.29.23</w:t>
      </w:r>
      <w:r>
        <w:t>.xlsx file “</w:t>
      </w:r>
      <w:proofErr w:type="spellStart"/>
      <w:r w:rsidR="008C0E60" w:rsidRPr="008C0E60">
        <w:t>UserMade_Scenario</w:t>
      </w:r>
      <w:proofErr w:type="spellEnd"/>
      <w:r w:rsidR="008C0E60">
        <w:t>” tab column A to X is used for Tableau.</w:t>
      </w:r>
    </w:p>
    <w:p w14:paraId="512A3933" w14:textId="4064EEDC" w:rsidR="008C0E60" w:rsidRDefault="00BF5D50" w:rsidP="00BB0BCE">
      <w:pPr>
        <w:pStyle w:val="ListParagraph"/>
        <w:numPr>
          <w:ilvl w:val="0"/>
          <w:numId w:val="2"/>
        </w:numPr>
      </w:pPr>
      <w:r>
        <w:t>Water consumption</w:t>
      </w:r>
      <w:r w:rsidR="00D04FD8">
        <w:t xml:space="preserve">: </w:t>
      </w:r>
      <w:r w:rsidR="005D12C0">
        <w:t>“Feedstock to Commodity Buildout</w:t>
      </w:r>
      <w:r w:rsidR="00125452">
        <w:t xml:space="preserve">” inputs (i.e., </w:t>
      </w:r>
      <w:proofErr w:type="gramStart"/>
      <w:r w:rsidR="00125452">
        <w:t>100 ton</w:t>
      </w:r>
      <w:proofErr w:type="gramEnd"/>
      <w:r w:rsidR="00125452">
        <w:t xml:space="preserve"> hydrogen</w:t>
      </w:r>
      <w:r w:rsidR="009171CB">
        <w:t xml:space="preserve"> per year</w:t>
      </w:r>
      <w:r w:rsidR="00125452">
        <w:t>)</w:t>
      </w:r>
      <w:r w:rsidR="005D12C0">
        <w:t xml:space="preserve"> x </w:t>
      </w:r>
      <w:r w:rsidR="00A16A2A">
        <w:t xml:space="preserve">“F2C Water” column </w:t>
      </w:r>
      <w:r w:rsidR="00125452">
        <w:t>F “Value”</w:t>
      </w:r>
      <w:r w:rsidR="009171CB">
        <w:t xml:space="preserve"> (i.e., 1 acre-feet per ton hydrogen)</w:t>
      </w:r>
      <w:r w:rsidR="00125452">
        <w:t xml:space="preserve"> = </w:t>
      </w:r>
      <w:r w:rsidR="009171CB">
        <w:t xml:space="preserve">100 </w:t>
      </w:r>
      <w:r w:rsidR="00125452">
        <w:t>acre-feet</w:t>
      </w:r>
      <w:r w:rsidR="009171CB">
        <w:t xml:space="preserve"> per year</w:t>
      </w:r>
    </w:p>
    <w:p w14:paraId="72F549EB" w14:textId="0FAD1927" w:rsidR="00BF5D50" w:rsidRDefault="00BF5D50" w:rsidP="00D04FD8">
      <w:pPr>
        <w:pStyle w:val="ListParagraph"/>
        <w:numPr>
          <w:ilvl w:val="0"/>
          <w:numId w:val="2"/>
        </w:numPr>
      </w:pPr>
      <w:r>
        <w:t>Water withdrawal</w:t>
      </w:r>
      <w:r w:rsidR="009171CB">
        <w:t>: Same as above</w:t>
      </w:r>
    </w:p>
    <w:p w14:paraId="59BCDB6A" w14:textId="5AAA1C3C" w:rsidR="009171CB" w:rsidRDefault="009171CB" w:rsidP="009171CB">
      <w:pPr>
        <w:pStyle w:val="Heading1"/>
      </w:pPr>
      <w:r>
        <w:t>Land Use Calculation</w:t>
      </w:r>
      <w:r w:rsidR="00372F6C">
        <w:t xml:space="preserve"> (for solar (hydrogen and grid) and wind for now)</w:t>
      </w:r>
    </w:p>
    <w:p w14:paraId="50B3A220" w14:textId="7C405303" w:rsidR="009171CB" w:rsidRDefault="009171CB" w:rsidP="009171CB">
      <w:r>
        <w:t xml:space="preserve">Output Metric: Two metrics for land use. </w:t>
      </w:r>
      <w:r w:rsidR="00A23615">
        <w:t>Land impacted (with</w:t>
      </w:r>
      <w:r w:rsidR="006B043B">
        <w:t>in</w:t>
      </w:r>
      <w:r w:rsidR="00A23615">
        <w:t xml:space="preserve"> the </w:t>
      </w:r>
      <w:r w:rsidR="006B043B">
        <w:t>fence</w:t>
      </w:r>
      <w:r w:rsidR="00A23615">
        <w:t>/</w:t>
      </w:r>
      <w:r w:rsidR="006B043B">
        <w:t>or</w:t>
      </w:r>
      <w:r w:rsidR="00A23615">
        <w:t xml:space="preserve"> leased </w:t>
      </w:r>
      <w:r w:rsidR="006B043B">
        <w:t>area</w:t>
      </w:r>
      <w:r w:rsidR="00605D29">
        <w:t>. Some of area can be co-located with other activities</w:t>
      </w:r>
      <w:r w:rsidR="00A23615">
        <w:t>) vs. Land consumed (directly occupied by arrays or turbine)</w:t>
      </w:r>
    </w:p>
    <w:p w14:paraId="4FC80C92" w14:textId="7063CF64" w:rsidR="00C7459A" w:rsidRDefault="00C7459A" w:rsidP="009171CB">
      <w:r>
        <w:tab/>
      </w:r>
      <w:r w:rsidR="00AB654C">
        <w:t>A</w:t>
      </w:r>
      <w:r>
        <w:t>cres</w:t>
      </w:r>
      <w:r w:rsidR="00AB654C">
        <w:t xml:space="preserve"> by year</w:t>
      </w:r>
      <w:r w:rsidR="006B043B">
        <w:t xml:space="preserve"> per feedstock &amp; commodity</w:t>
      </w:r>
    </w:p>
    <w:p w14:paraId="2343C1D3" w14:textId="018D9AAB" w:rsidR="00C8079B" w:rsidRDefault="00C8079B" w:rsidP="009171CB">
      <w:r>
        <w:tab/>
        <w:t>Notes:</w:t>
      </w:r>
    </w:p>
    <w:p w14:paraId="406C0F62" w14:textId="1A53A2DB" w:rsidR="006473E2" w:rsidRPr="006473E2" w:rsidRDefault="006473E2" w:rsidP="006473E2">
      <w:pPr>
        <w:ind w:left="720"/>
        <w:rPr>
          <w:color w:val="FF0000"/>
        </w:rPr>
      </w:pPr>
      <w:r>
        <w:rPr>
          <w:color w:val="FF0000"/>
        </w:rPr>
        <w:t>*</w:t>
      </w:r>
      <w:r w:rsidRPr="006473E2">
        <w:rPr>
          <w:color w:val="FF0000"/>
        </w:rPr>
        <w:t xml:space="preserve">New land is needed </w:t>
      </w:r>
      <w:r w:rsidR="00692C56">
        <w:rPr>
          <w:color w:val="FF0000"/>
        </w:rPr>
        <w:t xml:space="preserve">only </w:t>
      </w:r>
      <w:r w:rsidRPr="006473E2">
        <w:rPr>
          <w:color w:val="FF0000"/>
        </w:rPr>
        <w:t xml:space="preserve">when we build more resources. If the resource production stays the same from </w:t>
      </w:r>
      <w:r w:rsidR="00C8079B">
        <w:rPr>
          <w:color w:val="FF0000"/>
        </w:rPr>
        <w:t>the previous</w:t>
      </w:r>
      <w:r w:rsidRPr="006473E2">
        <w:rPr>
          <w:color w:val="FF0000"/>
        </w:rPr>
        <w:t xml:space="preserve"> year, there will be no new land needed.</w:t>
      </w:r>
    </w:p>
    <w:p w14:paraId="21D3166B" w14:textId="66C0F0C3" w:rsidR="002673E4" w:rsidRDefault="00BB0BCE" w:rsidP="00BB0BCE">
      <w:pPr>
        <w:pStyle w:val="ListParagraph"/>
        <w:numPr>
          <w:ilvl w:val="0"/>
          <w:numId w:val="3"/>
        </w:numPr>
      </w:pPr>
      <w:r>
        <w:t xml:space="preserve">Land </w:t>
      </w:r>
      <w:r w:rsidR="006F1AF8">
        <w:t xml:space="preserve">Impacted: </w:t>
      </w:r>
      <w:r w:rsidR="00F8227A">
        <w:t xml:space="preserve">If </w:t>
      </w:r>
      <w:r w:rsidR="00372F6C" w:rsidRPr="007717E3">
        <w:rPr>
          <w:color w:val="FF0000"/>
        </w:rPr>
        <w:t>resource(t)-resource(t-1)&gt;0</w:t>
      </w:r>
      <w:r w:rsidR="00372F6C">
        <w:t xml:space="preserve">, </w:t>
      </w:r>
      <w:r w:rsidR="000B3FF2">
        <w:t xml:space="preserve">“Feedstock to Commodity Buildout” inputs </w:t>
      </w:r>
      <w:r w:rsidR="006473E2">
        <w:t xml:space="preserve">differences from </w:t>
      </w:r>
      <w:r w:rsidR="00FB7D62">
        <w:t xml:space="preserve">the </w:t>
      </w:r>
      <w:r w:rsidR="006473E2">
        <w:t xml:space="preserve">previous year </w:t>
      </w:r>
      <w:r w:rsidR="000B3FF2">
        <w:t xml:space="preserve">(i.e., 100 </w:t>
      </w:r>
      <w:r w:rsidR="007717E3" w:rsidRPr="007717E3">
        <w:rPr>
          <w:color w:val="FF0000"/>
        </w:rPr>
        <w:t>additional</w:t>
      </w:r>
      <w:r w:rsidR="006473E2">
        <w:rPr>
          <w:color w:val="FF0000"/>
        </w:rPr>
        <w:t xml:space="preserve"> ton of</w:t>
      </w:r>
      <w:r w:rsidR="000B3FF2" w:rsidRPr="007717E3">
        <w:rPr>
          <w:color w:val="FF0000"/>
        </w:rPr>
        <w:t xml:space="preserve"> hydrogen </w:t>
      </w:r>
      <w:r w:rsidR="007717E3" w:rsidRPr="007717E3">
        <w:rPr>
          <w:color w:val="FF0000"/>
        </w:rPr>
        <w:t>from last year</w:t>
      </w:r>
      <w:r w:rsidR="000B3FF2">
        <w:t xml:space="preserve">) x “F2C </w:t>
      </w:r>
      <w:r w:rsidR="004C1AB1">
        <w:t>Land</w:t>
      </w:r>
      <w:r w:rsidR="000B3FF2">
        <w:t xml:space="preserve">” column </w:t>
      </w:r>
      <w:r w:rsidR="006E6F38">
        <w:t>G</w:t>
      </w:r>
      <w:r w:rsidR="000B3FF2">
        <w:t xml:space="preserve"> “Value” (i.e., </w:t>
      </w:r>
      <w:r w:rsidR="00EA42F7">
        <w:t>2 acres per hydrogen ton</w:t>
      </w:r>
      <w:r w:rsidR="000B3FF2">
        <w:t>) =</w:t>
      </w:r>
      <w:r w:rsidR="00EA42F7">
        <w:t xml:space="preserve"> </w:t>
      </w:r>
      <w:r w:rsidR="007717E3">
        <w:t>200 acres</w:t>
      </w:r>
    </w:p>
    <w:p w14:paraId="2B8861E4" w14:textId="78585ACA" w:rsidR="006F1AF8" w:rsidRDefault="006F1AF8" w:rsidP="00BB0BCE">
      <w:pPr>
        <w:pStyle w:val="ListParagraph"/>
        <w:numPr>
          <w:ilvl w:val="0"/>
          <w:numId w:val="3"/>
        </w:numPr>
      </w:pPr>
      <w:r>
        <w:t xml:space="preserve">Land Consumed: </w:t>
      </w:r>
      <w:r w:rsidR="006473E2">
        <w:t xml:space="preserve">same as </w:t>
      </w:r>
      <w:proofErr w:type="gramStart"/>
      <w:r w:rsidR="006473E2">
        <w:t>above</w:t>
      </w:r>
      <w:proofErr w:type="gramEnd"/>
    </w:p>
    <w:p w14:paraId="50BBEED5" w14:textId="3C8F4F86" w:rsidR="006473E2" w:rsidRDefault="006473E2" w:rsidP="006473E2">
      <w:pPr>
        <w:pStyle w:val="Heading1"/>
      </w:pPr>
      <w:r>
        <w:t>Job Calculation (for solar (hydrogen and grid) and wind for now)</w:t>
      </w:r>
    </w:p>
    <w:p w14:paraId="25C74B88" w14:textId="4650BD96" w:rsidR="006473E2" w:rsidRDefault="006473E2" w:rsidP="006473E2">
      <w:r>
        <w:t xml:space="preserve">Output Metric: </w:t>
      </w:r>
      <w:commentRangeStart w:id="0"/>
      <w:r>
        <w:t xml:space="preserve">Six metrics (4 by </w:t>
      </w:r>
      <w:r w:rsidR="00B15139">
        <w:t xml:space="preserve">education and skill level, </w:t>
      </w:r>
      <w:r w:rsidR="001E0FCF">
        <w:t xml:space="preserve">1 for total, 2 for </w:t>
      </w:r>
      <w:r w:rsidR="00FB7D62">
        <w:t>upper</w:t>
      </w:r>
      <w:r w:rsidR="00AB28FC">
        <w:t xml:space="preserve"> bound)</w:t>
      </w:r>
      <w:commentRangeEnd w:id="0"/>
      <w:r w:rsidR="00DC1C60">
        <w:rPr>
          <w:rStyle w:val="CommentReference"/>
        </w:rPr>
        <w:commentReference w:id="0"/>
      </w:r>
    </w:p>
    <w:p w14:paraId="354A1D1C" w14:textId="42445A9A" w:rsidR="00762181" w:rsidRDefault="003F4EB3" w:rsidP="00762181">
      <w:r>
        <w:tab/>
      </w:r>
      <w:r w:rsidR="00762181">
        <w:t>Jobs by year per feedstock &amp; commodity</w:t>
      </w:r>
    </w:p>
    <w:p w14:paraId="4289B2FE" w14:textId="51E354C8" w:rsidR="00C8079B" w:rsidRDefault="00C8079B" w:rsidP="00762181">
      <w:r>
        <w:tab/>
        <w:t>Notes:</w:t>
      </w:r>
    </w:p>
    <w:p w14:paraId="434178D8" w14:textId="7DB3BE8F" w:rsidR="00D55517" w:rsidRDefault="00762181" w:rsidP="00FB7D62">
      <w:pPr>
        <w:ind w:left="720"/>
        <w:rPr>
          <w:color w:val="FF0000"/>
        </w:rPr>
      </w:pPr>
      <w:r w:rsidRPr="00FF254A">
        <w:rPr>
          <w:color w:val="FF0000"/>
        </w:rPr>
        <w:t>*</w:t>
      </w:r>
      <w:r w:rsidR="00B95E14" w:rsidRPr="00FF254A">
        <w:rPr>
          <w:color w:val="FF0000"/>
        </w:rPr>
        <w:t xml:space="preserve">Solar and wind jobs </w:t>
      </w:r>
      <w:r w:rsidR="00FF254A" w:rsidRPr="00FF254A">
        <w:rPr>
          <w:color w:val="FF0000"/>
        </w:rPr>
        <w:t xml:space="preserve">are </w:t>
      </w:r>
      <w:r w:rsidR="006F4C3D">
        <w:rPr>
          <w:color w:val="FF0000"/>
        </w:rPr>
        <w:t xml:space="preserve">temporary jobs meaning new jobs are </w:t>
      </w:r>
      <w:r w:rsidR="00692C56">
        <w:rPr>
          <w:color w:val="FF0000"/>
        </w:rPr>
        <w:t>created</w:t>
      </w:r>
      <w:r w:rsidR="00FF254A" w:rsidRPr="00FF254A">
        <w:rPr>
          <w:color w:val="FF0000"/>
        </w:rPr>
        <w:t xml:space="preserve"> when we build new resources</w:t>
      </w:r>
      <w:r w:rsidR="00A32AB4">
        <w:rPr>
          <w:color w:val="FF0000"/>
        </w:rPr>
        <w:t xml:space="preserve"> (</w:t>
      </w:r>
      <w:r w:rsidR="00543988">
        <w:rPr>
          <w:color w:val="FF0000"/>
        </w:rPr>
        <w:t xml:space="preserve">because our data is based on the </w:t>
      </w:r>
      <w:r w:rsidR="000545C2">
        <w:rPr>
          <w:color w:val="FF0000"/>
        </w:rPr>
        <w:t>rapid expansion period</w:t>
      </w:r>
      <w:r w:rsidR="002D7C80">
        <w:rPr>
          <w:color w:val="FF0000"/>
        </w:rPr>
        <w:t xml:space="preserve"> and solar/wind projects are </w:t>
      </w:r>
      <w:r w:rsidR="002D7C80">
        <w:rPr>
          <w:color w:val="FF0000"/>
        </w:rPr>
        <w:lastRenderedPageBreak/>
        <w:t>construction heavy.</w:t>
      </w:r>
      <w:r w:rsidR="000545C2">
        <w:rPr>
          <w:color w:val="FF0000"/>
        </w:rPr>
        <w:t>)</w:t>
      </w:r>
      <w:r w:rsidR="00FF254A" w:rsidRPr="00FF254A">
        <w:rPr>
          <w:color w:val="FF0000"/>
        </w:rPr>
        <w:t xml:space="preserve">. If </w:t>
      </w:r>
      <w:r w:rsidR="00FF254A" w:rsidRPr="006473E2">
        <w:rPr>
          <w:color w:val="FF0000"/>
        </w:rPr>
        <w:t>the resource production stays the same from last year, there will be no new</w:t>
      </w:r>
      <w:r w:rsidR="00FF254A">
        <w:rPr>
          <w:color w:val="FF0000"/>
        </w:rPr>
        <w:t xml:space="preserve"> jobs </w:t>
      </w:r>
      <w:r w:rsidR="000545C2">
        <w:rPr>
          <w:color w:val="FF0000"/>
        </w:rPr>
        <w:t>created.</w:t>
      </w:r>
    </w:p>
    <w:p w14:paraId="052D5DBB" w14:textId="08566970" w:rsidR="00604FB5" w:rsidRDefault="00604FB5" w:rsidP="00FB7D62">
      <w:pPr>
        <w:ind w:left="720"/>
        <w:rPr>
          <w:color w:val="FF0000"/>
        </w:rPr>
      </w:pPr>
      <w:r>
        <w:rPr>
          <w:color w:val="FF0000"/>
        </w:rPr>
        <w:t>*Operation and Maintenance related jobs will sustain throughout the periods (i.e., hydrogen production</w:t>
      </w:r>
      <w:r w:rsidR="002D7C80">
        <w:rPr>
          <w:color w:val="FF0000"/>
        </w:rPr>
        <w:t xml:space="preserve">, renewable jet fuel production, </w:t>
      </w:r>
      <w:proofErr w:type="spellStart"/>
      <w:r w:rsidR="002D7C80"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14:paraId="267319CA" w14:textId="353693AC" w:rsidR="00604FB5" w:rsidRDefault="00604FB5" w:rsidP="00FB7D62">
      <w:pPr>
        <w:ind w:left="720"/>
        <w:rPr>
          <w:color w:val="FF0000"/>
        </w:rPr>
      </w:pPr>
      <w:r>
        <w:rPr>
          <w:color w:val="FF0000"/>
        </w:rPr>
        <w:t>*Hydrogen using electrolysis</w:t>
      </w:r>
      <w:r w:rsidR="00C8079B">
        <w:rPr>
          <w:color w:val="FF0000"/>
        </w:rPr>
        <w:t xml:space="preserve"> with solar power</w:t>
      </w:r>
      <w:r>
        <w:rPr>
          <w:color w:val="FF0000"/>
        </w:rPr>
        <w:t xml:space="preserve"> will have two types of jobs: temporary jobs for solar construction and permanent jobs for hydrogen production facility</w:t>
      </w:r>
      <w:r w:rsidR="002D7C80">
        <w:rPr>
          <w:color w:val="FF0000"/>
        </w:rPr>
        <w:t xml:space="preserve"> operation</w:t>
      </w:r>
      <w:r>
        <w:rPr>
          <w:color w:val="FF0000"/>
        </w:rPr>
        <w:t>.</w:t>
      </w:r>
    </w:p>
    <w:p w14:paraId="056044FC" w14:textId="60B25BDB" w:rsidR="002D7C80" w:rsidRDefault="002D7C80" w:rsidP="00FB7D62">
      <w:pPr>
        <w:ind w:left="720"/>
        <w:rPr>
          <w:color w:val="FF0000"/>
        </w:rPr>
      </w:pPr>
      <w:r>
        <w:rPr>
          <w:color w:val="FF0000"/>
        </w:rPr>
        <w:t xml:space="preserve">*Hydrogen using Natural Gas </w:t>
      </w:r>
      <w:r w:rsidR="00C8079B">
        <w:rPr>
          <w:color w:val="FF0000"/>
        </w:rPr>
        <w:t>SMR will have permanent jobs for hydrogen production facility operation (unless we have data for SMR plant construction jobs)</w:t>
      </w:r>
    </w:p>
    <w:p w14:paraId="16FC9BB2" w14:textId="130790DF" w:rsidR="000E5341" w:rsidRDefault="000E5341" w:rsidP="00FB7D62">
      <w:pPr>
        <w:pStyle w:val="ListParagraph"/>
        <w:numPr>
          <w:ilvl w:val="0"/>
          <w:numId w:val="3"/>
        </w:numPr>
      </w:pPr>
      <w:r>
        <w:t xml:space="preserve">Jobs: </w:t>
      </w:r>
      <w:r w:rsidR="009D60A3">
        <w:t xml:space="preserve">If </w:t>
      </w:r>
      <w:r w:rsidR="009D60A3" w:rsidRPr="007717E3">
        <w:rPr>
          <w:color w:val="FF0000"/>
        </w:rPr>
        <w:t>resource(t)-resource(t-1)&gt;0</w:t>
      </w:r>
      <w:r w:rsidR="009D60A3">
        <w:t xml:space="preserve">, “Feedstock to Commodity Buildout” inputs differences from </w:t>
      </w:r>
      <w:r w:rsidR="00FB7D62">
        <w:t xml:space="preserve">the </w:t>
      </w:r>
      <w:r w:rsidR="009D60A3">
        <w:t xml:space="preserve">previous year (i.e., 100 </w:t>
      </w:r>
      <w:r w:rsidR="009D60A3" w:rsidRPr="007717E3">
        <w:rPr>
          <w:color w:val="FF0000"/>
        </w:rPr>
        <w:t>additional</w:t>
      </w:r>
      <w:r w:rsidR="009D60A3">
        <w:rPr>
          <w:color w:val="FF0000"/>
        </w:rPr>
        <w:t xml:space="preserve"> </w:t>
      </w:r>
      <w:r w:rsidR="00BD7DD2">
        <w:rPr>
          <w:color w:val="FF0000"/>
        </w:rPr>
        <w:t>MW of solar</w:t>
      </w:r>
      <w:r w:rsidR="009D60A3" w:rsidRPr="007717E3">
        <w:rPr>
          <w:color w:val="FF0000"/>
        </w:rPr>
        <w:t xml:space="preserve"> from last year</w:t>
      </w:r>
      <w:r w:rsidR="009D60A3">
        <w:t xml:space="preserve">) x “F2C </w:t>
      </w:r>
      <w:r w:rsidR="00BD7DD2">
        <w:t>Jobs</w:t>
      </w:r>
      <w:r w:rsidR="009D60A3">
        <w:t xml:space="preserve">” column </w:t>
      </w:r>
      <w:r w:rsidR="00BD7DD2">
        <w:t>F</w:t>
      </w:r>
      <w:r w:rsidR="009D60A3">
        <w:t xml:space="preserve"> “Value” (i.e., </w:t>
      </w:r>
      <w:r w:rsidR="00BD7DD2">
        <w:t>0.5 jobs per MW</w:t>
      </w:r>
      <w:r w:rsidR="009D60A3">
        <w:t xml:space="preserve">) = </w:t>
      </w:r>
      <w:r w:rsidR="00FB7D62">
        <w:t>50 jobs</w:t>
      </w:r>
    </w:p>
    <w:p w14:paraId="1AEB12E2" w14:textId="12810AD7" w:rsidR="00FB7D62" w:rsidRDefault="00FB7D62" w:rsidP="00FB7D62">
      <w:pPr>
        <w:pStyle w:val="ListParagraph"/>
        <w:numPr>
          <w:ilvl w:val="0"/>
          <w:numId w:val="3"/>
        </w:numPr>
      </w:pPr>
      <w:r>
        <w:t xml:space="preserve">For lower bound: sum of jobs from above </w:t>
      </w:r>
    </w:p>
    <w:p w14:paraId="4AC25581" w14:textId="3084972C" w:rsidR="00FB7D62" w:rsidRPr="000E5341" w:rsidRDefault="00FB7D62" w:rsidP="00FB7D62">
      <w:pPr>
        <w:pStyle w:val="ListParagraph"/>
        <w:numPr>
          <w:ilvl w:val="0"/>
          <w:numId w:val="3"/>
        </w:numPr>
      </w:pPr>
      <w:r>
        <w:t xml:space="preserve">For upper bound: multiply </w:t>
      </w:r>
      <w:commentRangeStart w:id="1"/>
      <w:r>
        <w:t xml:space="preserve">the factor </w:t>
      </w:r>
      <w:commentRangeEnd w:id="1"/>
      <w:r w:rsidR="00414348">
        <w:rPr>
          <w:rStyle w:val="CommentReference"/>
        </w:rPr>
        <w:commentReference w:id="1"/>
      </w:r>
      <w:r w:rsidR="002F1BA4">
        <w:t>to the lower bound</w:t>
      </w:r>
      <w:r>
        <w:t xml:space="preserve">. </w:t>
      </w:r>
    </w:p>
    <w:p w14:paraId="2307BE50" w14:textId="1D622E7F" w:rsidR="00AB28FC" w:rsidRDefault="001C64E2" w:rsidP="001C64E2">
      <w:pPr>
        <w:pStyle w:val="Heading1"/>
      </w:pPr>
      <w:r>
        <w:t xml:space="preserve">Avoided carbon </w:t>
      </w:r>
      <w:proofErr w:type="gramStart"/>
      <w:r>
        <w:t>emissions</w:t>
      </w:r>
      <w:proofErr w:type="gramEnd"/>
    </w:p>
    <w:p w14:paraId="10087134" w14:textId="73DAB7CC" w:rsidR="001C64E2" w:rsidRDefault="00F6718F" w:rsidP="001C64E2">
      <w:r>
        <w:t>Output Metric: Avoided carbon emissions (tCO2e per year)</w:t>
      </w:r>
    </w:p>
    <w:p w14:paraId="7F678302" w14:textId="1C26F83A" w:rsidR="005D392F" w:rsidRDefault="00F13C79" w:rsidP="00F13C79">
      <w:pPr>
        <w:pStyle w:val="ListParagraph"/>
        <w:numPr>
          <w:ilvl w:val="0"/>
          <w:numId w:val="6"/>
        </w:numPr>
      </w:pPr>
      <w:r>
        <w:t xml:space="preserve">Calculate avoided carbon intensity (tCO2e per </w:t>
      </w:r>
      <w:r w:rsidR="003908C0">
        <w:t xml:space="preserve">unit of energy) by </w:t>
      </w:r>
    </w:p>
    <w:p w14:paraId="2994DC3D" w14:textId="7795F191" w:rsidR="003908C0" w:rsidRDefault="00350DBB" w:rsidP="003908C0">
      <w:pPr>
        <w:pStyle w:val="ListParagraph"/>
        <w:numPr>
          <w:ilvl w:val="1"/>
          <w:numId w:val="6"/>
        </w:numPr>
      </w:pPr>
      <w:r>
        <w:t xml:space="preserve">In general, </w:t>
      </w:r>
      <w:r w:rsidR="00E6132C">
        <w:t xml:space="preserve">C2U CI (displaced carbon) </w:t>
      </w:r>
      <w:r>
        <w:t>minus</w:t>
      </w:r>
      <w:r w:rsidR="00E6132C">
        <w:t xml:space="preserve"> F2C CI (carbon released from the process)</w:t>
      </w:r>
    </w:p>
    <w:p w14:paraId="5FB916FD" w14:textId="4F1435C6" w:rsidR="00350DBB" w:rsidRDefault="00350DBB" w:rsidP="003908C0">
      <w:pPr>
        <w:pStyle w:val="ListParagraph"/>
        <w:numPr>
          <w:ilvl w:val="1"/>
          <w:numId w:val="6"/>
        </w:numPr>
      </w:pPr>
      <w:r>
        <w:t xml:space="preserve">C2U CI can be calculated </w:t>
      </w:r>
      <w:r w:rsidR="00AD60B1">
        <w:t>using</w:t>
      </w:r>
      <w:r>
        <w:t xml:space="preserve"> the weighted average of </w:t>
      </w:r>
      <w:r w:rsidR="00AD60B1">
        <w:t xml:space="preserve">different use case for the same commodity. </w:t>
      </w:r>
      <w:r w:rsidR="00533EBB">
        <w:t xml:space="preserve">Some CI varies each year (i.e., grid electricity </w:t>
      </w:r>
      <w:r w:rsidR="00E017CD">
        <w:t>will be</w:t>
      </w:r>
      <w:r w:rsidR="00533EBB">
        <w:t xml:space="preserve"> getting cleaner every year due to the</w:t>
      </w:r>
      <w:r w:rsidR="00F97F72">
        <w:t xml:space="preserve"> state’s</w:t>
      </w:r>
      <w:r w:rsidR="00533EBB">
        <w:t xml:space="preserve"> </w:t>
      </w:r>
      <w:r w:rsidR="00E017CD">
        <w:t>policy and legal targets (RPS).</w:t>
      </w:r>
      <w:r w:rsidR="00533EBB">
        <w:t>)</w:t>
      </w:r>
    </w:p>
    <w:p w14:paraId="7E149A3E" w14:textId="6E53387B" w:rsidR="00AD60B1" w:rsidRDefault="00FF2BC8" w:rsidP="00AD60B1">
      <w:pPr>
        <w:pStyle w:val="ListParagraph"/>
        <w:numPr>
          <w:ilvl w:val="2"/>
          <w:numId w:val="6"/>
        </w:numPr>
      </w:pPr>
      <w:r>
        <w:t>Weight</w:t>
      </w:r>
      <w:r w:rsidR="00D221A8">
        <w:t>s</w:t>
      </w:r>
      <w:r>
        <w:t xml:space="preserve"> </w:t>
      </w:r>
      <w:r w:rsidR="00D221A8">
        <w:t>come</w:t>
      </w:r>
      <w:r>
        <w:t xml:space="preserve"> from</w:t>
      </w:r>
      <w:r w:rsidR="00D221A8">
        <w:t xml:space="preserve"> user input from the</w:t>
      </w:r>
      <w:r>
        <w:t xml:space="preserve"> “</w:t>
      </w:r>
      <w:r w:rsidRPr="00FF2BC8">
        <w:t>Commodity to Use Buildout</w:t>
      </w:r>
      <w:r>
        <w:t xml:space="preserve">” </w:t>
      </w:r>
      <w:r w:rsidR="00D221A8">
        <w:t>tab</w:t>
      </w:r>
      <w:r>
        <w:t xml:space="preserve"> (i.e., </w:t>
      </w:r>
      <w:r w:rsidR="001C3A75">
        <w:t>Natural gas</w:t>
      </w:r>
      <w:r>
        <w:t xml:space="preserve"> can be used for Surface Transport Fuel</w:t>
      </w:r>
      <w:r w:rsidR="000702BB">
        <w:t xml:space="preserve"> (STF)</w:t>
      </w:r>
      <w:r w:rsidR="001C3A75">
        <w:t xml:space="preserve"> or Pipeline gas</w:t>
      </w:r>
      <w:r w:rsidR="00D221A8">
        <w:t xml:space="preserve">. User will specify </w:t>
      </w:r>
      <w:r w:rsidR="000702BB">
        <w:t>20% for STF and 80% for pipeline gas</w:t>
      </w:r>
      <w:r w:rsidR="001C3A75">
        <w:t>)</w:t>
      </w:r>
    </w:p>
    <w:p w14:paraId="1CFB331D" w14:textId="1422E628" w:rsidR="001C3A75" w:rsidRDefault="008A246C" w:rsidP="00AD60B1">
      <w:pPr>
        <w:pStyle w:val="ListParagraph"/>
        <w:numPr>
          <w:ilvl w:val="2"/>
          <w:numId w:val="6"/>
        </w:numPr>
      </w:pPr>
      <w:r>
        <w:t>“C2U CI” tab has different carbon intensities for each use case (i.e., pipeline gas</w:t>
      </w:r>
      <w:r w:rsidR="000702BB">
        <w:t xml:space="preserve"> and STF</w:t>
      </w:r>
      <w:r>
        <w:t xml:space="preserve"> is 0 </w:t>
      </w:r>
      <w:r w:rsidR="001D6FC0">
        <w:t>g</w:t>
      </w:r>
      <w:r>
        <w:t xml:space="preserve">CO2e/MJ because </w:t>
      </w:r>
      <w:r w:rsidR="00E90DD8">
        <w:t>it doesn’t reduce any carbon emissions from the baseline)</w:t>
      </w:r>
    </w:p>
    <w:p w14:paraId="03A63525" w14:textId="60212A1B" w:rsidR="00D22E53" w:rsidRDefault="00D22E53" w:rsidP="007069F3">
      <w:pPr>
        <w:pStyle w:val="ListParagraph"/>
        <w:numPr>
          <w:ilvl w:val="2"/>
          <w:numId w:val="6"/>
        </w:numPr>
      </w:pPr>
      <w:commentRangeStart w:id="2"/>
      <w:r w:rsidRPr="00CB0BC5">
        <w:rPr>
          <w:highlight w:val="yellow"/>
        </w:rPr>
        <w:t xml:space="preserve">Useful output adjustments </w:t>
      </w:r>
      <w:commentRangeEnd w:id="2"/>
      <w:r w:rsidR="00727D1F" w:rsidRPr="00CB0BC5">
        <w:rPr>
          <w:rStyle w:val="CommentReference"/>
          <w:highlight w:val="yellow"/>
        </w:rPr>
        <w:commentReference w:id="2"/>
      </w:r>
      <w:r>
        <w:t>(</w:t>
      </w:r>
      <w:r w:rsidR="00727D1F">
        <w:t>for electricity, MWh can be replaced with MWh. F</w:t>
      </w:r>
      <w:r>
        <w:t>or ground transportation</w:t>
      </w:r>
      <w:r w:rsidR="002A555C">
        <w:t xml:space="preserve">, </w:t>
      </w:r>
      <w:r w:rsidR="001D6A6C">
        <w:t>useful output may differ by fuel-vehicle technology. For example,</w:t>
      </w:r>
      <w:r w:rsidR="002C0102">
        <w:t xml:space="preserve"> battery</w:t>
      </w:r>
      <w:r w:rsidR="001D6A6C">
        <w:t xml:space="preserve"> e</w:t>
      </w:r>
      <w:r w:rsidR="00727D1F">
        <w:t xml:space="preserve">lectric </w:t>
      </w:r>
      <w:r w:rsidR="002A555C">
        <w:t>vehicle</w:t>
      </w:r>
      <w:r w:rsidR="001D6A6C">
        <w:t xml:space="preserve"> displacing internal </w:t>
      </w:r>
      <w:r w:rsidR="002C0102">
        <w:t xml:space="preserve">combustion vehicle can be </w:t>
      </w:r>
      <w:r w:rsidR="00B66854">
        <w:t>compared for the</w:t>
      </w:r>
      <w:r w:rsidR="002A555C">
        <w:t xml:space="preserve"> </w:t>
      </w:r>
      <w:r w:rsidR="005A444F">
        <w:t xml:space="preserve">useful output which is </w:t>
      </w:r>
      <w:r w:rsidR="007069F3">
        <w:t>miles travelled by the vehicle per unit of energy of fuel (miles/MJ)</w:t>
      </w:r>
      <w:r w:rsidR="007069F3">
        <w:rPr>
          <w:rStyle w:val="FootnoteReference"/>
        </w:rPr>
        <w:footnoteReference w:id="2"/>
      </w:r>
    </w:p>
    <w:p w14:paraId="5034AFE9" w14:textId="645D81BC" w:rsidR="00573766" w:rsidRPr="00A25605" w:rsidRDefault="00573766" w:rsidP="00573766">
      <w:pPr>
        <w:pStyle w:val="ListParagraph"/>
        <w:ind w:left="2160"/>
        <w:rPr>
          <w:rFonts w:cstheme="minorHAnsi"/>
        </w:rPr>
      </w:pPr>
      <w:r>
        <w:t>CARB L</w:t>
      </w:r>
      <w:r w:rsidR="004A064C">
        <w:t xml:space="preserve">ow Carbon Fuel Standard (LCFS) </w:t>
      </w:r>
      <w:r w:rsidR="00693DD6">
        <w:t xml:space="preserve">estimates carbon intensity </w:t>
      </w:r>
      <w:r w:rsidR="004A064C">
        <w:t>adjust</w:t>
      </w:r>
      <w:r w:rsidR="00693DD6">
        <w:t>ed</w:t>
      </w:r>
      <w:r w:rsidR="004A064C">
        <w:t xml:space="preserve"> for </w:t>
      </w:r>
      <w:r w:rsidR="005B06EA" w:rsidRPr="00A25605">
        <w:rPr>
          <w:rFonts w:cstheme="minorHAnsi"/>
        </w:rPr>
        <w:t>Energy Economy Ratio (EER)</w:t>
      </w:r>
      <w:r w:rsidR="00693DD6" w:rsidRPr="00A25605">
        <w:rPr>
          <w:rFonts w:cstheme="minorHAnsi"/>
        </w:rPr>
        <w:t xml:space="preserve">. </w:t>
      </w:r>
      <w:r w:rsidR="00A25605" w:rsidRPr="00A25605">
        <w:rPr>
          <w:rFonts w:cstheme="minorHAnsi"/>
        </w:rPr>
        <w:t>E</w:t>
      </w:r>
      <w:r w:rsidR="00153216" w:rsidRPr="00A25605">
        <w:rPr>
          <w:rFonts w:cstheme="minorHAnsi"/>
        </w:rPr>
        <w:t>ER is 2.5 for H2 fuel cell vehicles, relative to gasoline, and 3.4 for electric vehicles, relative to gasoline.</w:t>
      </w:r>
    </w:p>
    <w:p w14:paraId="04105CF5" w14:textId="60C69DD3" w:rsidR="00545A48" w:rsidRPr="007F4D65" w:rsidRDefault="00B02272" w:rsidP="00545A48">
      <w:pPr>
        <w:pStyle w:val="ListParagraph"/>
        <w:ind w:left="21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CI</m:t>
              </m:r>
            </m:e>
            <m:sup>
              <m:r>
                <w:rPr>
                  <w:rFonts w:ascii="Cambria Math" w:hAnsi="Cambria Math"/>
                </w:rPr>
                <m:t>displaced fuel</m:t>
              </m:r>
            </m:sup>
          </m:sSup>
          <m:r>
            <w:rPr>
              <w:rFonts w:ascii="Cambria Math" w:hAnsi="Cambria Math"/>
            </w:rPr>
            <m:t>×EER-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CI</m:t>
              </m:r>
            </m:e>
            <m:sup>
              <m:r>
                <w:rPr>
                  <w:rFonts w:ascii="Cambria Math" w:hAnsi="Cambria Math"/>
                </w:rPr>
                <m:t>clean fuel</m:t>
              </m:r>
            </m:sup>
          </m:sSup>
        </m:oMath>
      </m:oMathPara>
    </w:p>
    <w:p w14:paraId="3425A684" w14:textId="77777777" w:rsidR="007F4D65" w:rsidRDefault="007F4D65" w:rsidP="007F4D65">
      <w:pPr>
        <w:pStyle w:val="ListParagraph"/>
        <w:numPr>
          <w:ilvl w:val="2"/>
          <w:numId w:val="6"/>
        </w:numPr>
      </w:pPr>
      <w:r>
        <w:t>Weighted average will be using those two inputs: 0*20%+0*80% =0</w:t>
      </w:r>
      <w:r w:rsidRPr="001D6FC0">
        <w:t xml:space="preserve"> </w:t>
      </w:r>
      <w:r>
        <w:t>gCO2e/MJ</w:t>
      </w:r>
    </w:p>
    <w:p w14:paraId="27925723" w14:textId="77777777" w:rsidR="007F4D65" w:rsidRDefault="007F4D65" w:rsidP="00545A48">
      <w:pPr>
        <w:pStyle w:val="ListParagraph"/>
        <w:ind w:left="2160"/>
      </w:pPr>
    </w:p>
    <w:p w14:paraId="6F181CB7" w14:textId="0CFC6385" w:rsidR="001D6FC0" w:rsidRDefault="00F97F72" w:rsidP="001D6FC0">
      <w:pPr>
        <w:pStyle w:val="ListParagraph"/>
        <w:numPr>
          <w:ilvl w:val="1"/>
          <w:numId w:val="6"/>
        </w:numPr>
      </w:pPr>
      <w:r>
        <w:t xml:space="preserve">F2C CI </w:t>
      </w:r>
      <w:r w:rsidR="00B87D96">
        <w:t>is on the column I “Natural Value”)</w:t>
      </w:r>
      <w:r w:rsidR="009666DD">
        <w:t xml:space="preserve"> with the unit of gCO2e per MJ.</w:t>
      </w:r>
    </w:p>
    <w:p w14:paraId="34CFF707" w14:textId="787B4472" w:rsidR="009666DD" w:rsidRDefault="009666DD" w:rsidP="001D6FC0">
      <w:pPr>
        <w:pStyle w:val="ListParagraph"/>
        <w:numPr>
          <w:ilvl w:val="1"/>
          <w:numId w:val="6"/>
        </w:numPr>
      </w:pPr>
      <w:r>
        <w:lastRenderedPageBreak/>
        <w:t xml:space="preserve">Subtracting b-c will </w:t>
      </w:r>
      <w:r w:rsidR="00C30B1D">
        <w:t>calculate the</w:t>
      </w:r>
      <w:r>
        <w:t xml:space="preserve"> avoided CI in gCO2</w:t>
      </w:r>
      <w:r w:rsidR="00C30B1D">
        <w:t xml:space="preserve">e per </w:t>
      </w:r>
      <w:proofErr w:type="gramStart"/>
      <w:r w:rsidR="00C30B1D">
        <w:t>MJ</w:t>
      </w:r>
      <w:proofErr w:type="gramEnd"/>
    </w:p>
    <w:p w14:paraId="069256FC" w14:textId="0C911180" w:rsidR="003908C0" w:rsidRPr="001C64E2" w:rsidRDefault="003908C0" w:rsidP="00F13C79">
      <w:pPr>
        <w:pStyle w:val="ListParagraph"/>
        <w:numPr>
          <w:ilvl w:val="0"/>
          <w:numId w:val="6"/>
        </w:numPr>
      </w:pPr>
      <w:r>
        <w:t>Multiply 1</w:t>
      </w:r>
      <w:r w:rsidR="00C30B1D">
        <w:t xml:space="preserve"> (avoided CI)</w:t>
      </w:r>
      <w:r>
        <w:t xml:space="preserve"> with the resource buildout </w:t>
      </w:r>
      <w:r w:rsidR="00C30B1D">
        <w:t xml:space="preserve">will give us </w:t>
      </w:r>
      <w:r w:rsidR="00806B01">
        <w:t>“tCO2e per year” with some unit conversion. Resource buildout is in the natural unit (ton of H2)</w:t>
      </w:r>
      <w:r w:rsidR="00AE5469">
        <w:t xml:space="preserve"> while the avoided CI is in gCO2e per MJ. We need unit conversion of MJ H2 to </w:t>
      </w:r>
      <w:proofErr w:type="spellStart"/>
      <w:r w:rsidR="00AE5469">
        <w:t>ton</w:t>
      </w:r>
      <w:proofErr w:type="spellEnd"/>
      <w:r w:rsidR="00AE5469">
        <w:t xml:space="preserve"> H2, gCO2e to ton CO2e. </w:t>
      </w:r>
      <w:commentRangeStart w:id="3"/>
      <w:r w:rsidR="00AE5469">
        <w:t>Conversion factors can be found in …</w:t>
      </w:r>
      <w:r w:rsidR="00AE5469" w:rsidRPr="002B6DA0">
        <w:rPr>
          <w:highlight w:val="yellow"/>
        </w:rPr>
        <w:t>…</w:t>
      </w:r>
      <w:r w:rsidR="002B6DA0" w:rsidRPr="002B6DA0">
        <w:rPr>
          <w:highlight w:val="yellow"/>
        </w:rPr>
        <w:t>TBD</w:t>
      </w:r>
      <w:commentRangeEnd w:id="3"/>
      <w:r w:rsidR="002B6DA0">
        <w:rPr>
          <w:rStyle w:val="CommentReference"/>
        </w:rPr>
        <w:commentReference w:id="3"/>
      </w:r>
    </w:p>
    <w:sectPr w:rsidR="003908C0" w:rsidRPr="001C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ye Min Park" w:date="2023-12-18T13:32:00Z" w:initials="HMP">
    <w:p w14:paraId="327B21CC" w14:textId="77777777" w:rsidR="00DC1C60" w:rsidRDefault="00DC1C60" w:rsidP="000545C2">
      <w:pPr>
        <w:pStyle w:val="CommentText"/>
      </w:pPr>
      <w:r>
        <w:rPr>
          <w:rStyle w:val="CommentReference"/>
        </w:rPr>
        <w:annotationRef/>
      </w:r>
      <w:r>
        <w:t>I assume we still use these metrics? Can you confirm with Rob?</w:t>
      </w:r>
    </w:p>
  </w:comment>
  <w:comment w:id="1" w:author="Hye Min Park" w:date="2023-12-19T14:43:00Z" w:initials="HP">
    <w:p w14:paraId="605BCBF6" w14:textId="77777777" w:rsidR="00414348" w:rsidRDefault="00414348" w:rsidP="00B67883">
      <w:pPr>
        <w:pStyle w:val="CommentText"/>
      </w:pPr>
      <w:r>
        <w:rPr>
          <w:rStyle w:val="CommentReference"/>
        </w:rPr>
        <w:annotationRef/>
      </w:r>
      <w:r>
        <w:t>I used x60 for solar and x8 for wind. I think Rob yesterday mentioned a different factor for solar came from Greg after the workshop?</w:t>
      </w:r>
    </w:p>
  </w:comment>
  <w:comment w:id="2" w:author="Hye Min Park" w:date="2023-12-20T10:24:00Z" w:initials="HP">
    <w:p w14:paraId="19AB1778" w14:textId="77777777" w:rsidR="00727D1F" w:rsidRDefault="00727D1F" w:rsidP="002D3D7B">
      <w:pPr>
        <w:pStyle w:val="CommentText"/>
      </w:pPr>
      <w:r>
        <w:rPr>
          <w:rStyle w:val="CommentReference"/>
        </w:rPr>
        <w:annotationRef/>
      </w:r>
      <w:r>
        <w:t>I am still figuring this out.</w:t>
      </w:r>
    </w:p>
  </w:comment>
  <w:comment w:id="3" w:author="Hye Min Park" w:date="2023-12-19T14:45:00Z" w:initials="HP">
    <w:p w14:paraId="28F2D7F7" w14:textId="4255A50C" w:rsidR="002B6DA0" w:rsidRDefault="002B6DA0" w:rsidP="00867070">
      <w:pPr>
        <w:pStyle w:val="CommentText"/>
      </w:pPr>
      <w:r>
        <w:rPr>
          <w:rStyle w:val="CommentReference"/>
        </w:rPr>
        <w:annotationRef/>
      </w:r>
      <w:r>
        <w:t>What would be the best way to deal with unit conversion? Should I create another table with conversion factors? Ton h2-&gt; MJ, MW solar -&gt; MJ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B21CC" w15:done="0"/>
  <w15:commentEx w15:paraId="605BCBF6" w15:done="0"/>
  <w15:commentEx w15:paraId="19AB1778" w15:done="0"/>
  <w15:commentEx w15:paraId="28F2D7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06B1E1" w16cex:dateUtc="2023-12-18T21:32:00Z"/>
  <w16cex:commentExtensible w16cex:durableId="06BABE5D" w16cex:dateUtc="2023-12-19T22:43:00Z"/>
  <w16cex:commentExtensible w16cex:durableId="16C4E67B" w16cex:dateUtc="2023-12-20T18:24:00Z"/>
  <w16cex:commentExtensible w16cex:durableId="003BD0E3" w16cex:dateUtc="2023-12-19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B21CC" w16cid:durableId="2206B1E1"/>
  <w16cid:commentId w16cid:paraId="605BCBF6" w16cid:durableId="06BABE5D"/>
  <w16cid:commentId w16cid:paraId="19AB1778" w16cid:durableId="16C4E67B"/>
  <w16cid:commentId w16cid:paraId="28F2D7F7" w16cid:durableId="003BD0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971D" w14:textId="77777777" w:rsidR="00F836CD" w:rsidRDefault="00F836CD" w:rsidP="007069F3">
      <w:pPr>
        <w:spacing w:after="0" w:line="240" w:lineRule="auto"/>
      </w:pPr>
      <w:r>
        <w:separator/>
      </w:r>
    </w:p>
  </w:endnote>
  <w:endnote w:type="continuationSeparator" w:id="0">
    <w:p w14:paraId="081A351C" w14:textId="77777777" w:rsidR="00F836CD" w:rsidRDefault="00F836CD" w:rsidP="007069F3">
      <w:pPr>
        <w:spacing w:after="0" w:line="240" w:lineRule="auto"/>
      </w:pPr>
      <w:r>
        <w:continuationSeparator/>
      </w:r>
    </w:p>
  </w:endnote>
  <w:endnote w:type="continuationNotice" w:id="1">
    <w:p w14:paraId="034FB578" w14:textId="77777777" w:rsidR="007003A7" w:rsidRDefault="00700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D299" w14:textId="77777777" w:rsidR="00F836CD" w:rsidRDefault="00F836CD" w:rsidP="007069F3">
      <w:pPr>
        <w:spacing w:after="0" w:line="240" w:lineRule="auto"/>
      </w:pPr>
      <w:r>
        <w:separator/>
      </w:r>
    </w:p>
  </w:footnote>
  <w:footnote w:type="continuationSeparator" w:id="0">
    <w:p w14:paraId="420C29B6" w14:textId="77777777" w:rsidR="00F836CD" w:rsidRDefault="00F836CD" w:rsidP="007069F3">
      <w:pPr>
        <w:spacing w:after="0" w:line="240" w:lineRule="auto"/>
      </w:pPr>
      <w:r>
        <w:continuationSeparator/>
      </w:r>
    </w:p>
  </w:footnote>
  <w:footnote w:type="continuationNotice" w:id="1">
    <w:p w14:paraId="3659ECCA" w14:textId="77777777" w:rsidR="007003A7" w:rsidRDefault="007003A7">
      <w:pPr>
        <w:spacing w:after="0" w:line="240" w:lineRule="auto"/>
      </w:pPr>
    </w:p>
  </w:footnote>
  <w:footnote w:id="2">
    <w:p w14:paraId="7E856E6A" w14:textId="05F81786" w:rsidR="007069F3" w:rsidRDefault="007069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727D1F" w:rsidRPr="00D12959">
          <w:rPr>
            <w:rStyle w:val="Hyperlink"/>
          </w:rPr>
          <w:t>https://ww2.arb.ca.gov/sites/default/files/2020-09/lcfsguidance_20-04.pdf</w:t>
        </w:r>
      </w:hyperlink>
      <w:r w:rsidR="00727D1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6C8"/>
    <w:multiLevelType w:val="hybridMultilevel"/>
    <w:tmpl w:val="5FA8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1610"/>
    <w:multiLevelType w:val="hybridMultilevel"/>
    <w:tmpl w:val="41968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C65497"/>
    <w:multiLevelType w:val="hybridMultilevel"/>
    <w:tmpl w:val="B3B6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57660"/>
    <w:multiLevelType w:val="hybridMultilevel"/>
    <w:tmpl w:val="0CB4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3411"/>
    <w:multiLevelType w:val="hybridMultilevel"/>
    <w:tmpl w:val="721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85092"/>
    <w:multiLevelType w:val="hybridMultilevel"/>
    <w:tmpl w:val="77AA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250433">
    <w:abstractNumId w:val="5"/>
  </w:num>
  <w:num w:numId="2" w16cid:durableId="1924103724">
    <w:abstractNumId w:val="0"/>
  </w:num>
  <w:num w:numId="3" w16cid:durableId="1045250751">
    <w:abstractNumId w:val="4"/>
  </w:num>
  <w:num w:numId="4" w16cid:durableId="269629244">
    <w:abstractNumId w:val="1"/>
  </w:num>
  <w:num w:numId="5" w16cid:durableId="1482577426">
    <w:abstractNumId w:val="2"/>
  </w:num>
  <w:num w:numId="6" w16cid:durableId="15776632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ye Min Park">
    <w15:presenceInfo w15:providerId="AD" w15:userId="S::hmpark@rand.org::380e67d9-72aa-4687-aab4-f75703f719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CA"/>
    <w:rsid w:val="000425FE"/>
    <w:rsid w:val="000545C2"/>
    <w:rsid w:val="000702BB"/>
    <w:rsid w:val="000B3FF2"/>
    <w:rsid w:val="000E5341"/>
    <w:rsid w:val="00125452"/>
    <w:rsid w:val="00153216"/>
    <w:rsid w:val="001C3A75"/>
    <w:rsid w:val="001C64E2"/>
    <w:rsid w:val="001D6A6C"/>
    <w:rsid w:val="001D6FC0"/>
    <w:rsid w:val="001E04DA"/>
    <w:rsid w:val="001E0FCF"/>
    <w:rsid w:val="002673E4"/>
    <w:rsid w:val="002A555C"/>
    <w:rsid w:val="002B6DA0"/>
    <w:rsid w:val="002C0102"/>
    <w:rsid w:val="002D7C80"/>
    <w:rsid w:val="002F1BA4"/>
    <w:rsid w:val="003252B1"/>
    <w:rsid w:val="00350DBB"/>
    <w:rsid w:val="00360B09"/>
    <w:rsid w:val="003612EF"/>
    <w:rsid w:val="00362FCA"/>
    <w:rsid w:val="00372F6C"/>
    <w:rsid w:val="003908C0"/>
    <w:rsid w:val="003F4EB3"/>
    <w:rsid w:val="00414348"/>
    <w:rsid w:val="004A064C"/>
    <w:rsid w:val="004C1AB1"/>
    <w:rsid w:val="00504AFD"/>
    <w:rsid w:val="00506B36"/>
    <w:rsid w:val="00533EBB"/>
    <w:rsid w:val="00543988"/>
    <w:rsid w:val="00545A48"/>
    <w:rsid w:val="00573766"/>
    <w:rsid w:val="005A444F"/>
    <w:rsid w:val="005B06EA"/>
    <w:rsid w:val="005D12C0"/>
    <w:rsid w:val="005D392F"/>
    <w:rsid w:val="00604FB5"/>
    <w:rsid w:val="00605D29"/>
    <w:rsid w:val="006147F1"/>
    <w:rsid w:val="006344C9"/>
    <w:rsid w:val="006473E2"/>
    <w:rsid w:val="00660875"/>
    <w:rsid w:val="00692C56"/>
    <w:rsid w:val="00693DD6"/>
    <w:rsid w:val="006962CE"/>
    <w:rsid w:val="006B043B"/>
    <w:rsid w:val="006E6F38"/>
    <w:rsid w:val="006F1AF8"/>
    <w:rsid w:val="006F4C3D"/>
    <w:rsid w:val="007003A7"/>
    <w:rsid w:val="007069F3"/>
    <w:rsid w:val="00727D1F"/>
    <w:rsid w:val="00732DFB"/>
    <w:rsid w:val="00762181"/>
    <w:rsid w:val="007717E3"/>
    <w:rsid w:val="007D4736"/>
    <w:rsid w:val="007F4D65"/>
    <w:rsid w:val="00806B01"/>
    <w:rsid w:val="00837366"/>
    <w:rsid w:val="00852147"/>
    <w:rsid w:val="00862CDC"/>
    <w:rsid w:val="00867308"/>
    <w:rsid w:val="008A246C"/>
    <w:rsid w:val="008C0E60"/>
    <w:rsid w:val="009171CB"/>
    <w:rsid w:val="009666DD"/>
    <w:rsid w:val="009D60A3"/>
    <w:rsid w:val="00A16A2A"/>
    <w:rsid w:val="00A23615"/>
    <w:rsid w:val="00A25605"/>
    <w:rsid w:val="00A25D00"/>
    <w:rsid w:val="00A32AB4"/>
    <w:rsid w:val="00AB28FC"/>
    <w:rsid w:val="00AB654C"/>
    <w:rsid w:val="00AD60B1"/>
    <w:rsid w:val="00AE5469"/>
    <w:rsid w:val="00B06786"/>
    <w:rsid w:val="00B15139"/>
    <w:rsid w:val="00B44E1E"/>
    <w:rsid w:val="00B5486E"/>
    <w:rsid w:val="00B66854"/>
    <w:rsid w:val="00B87D96"/>
    <w:rsid w:val="00B95E14"/>
    <w:rsid w:val="00BB0BCE"/>
    <w:rsid w:val="00BD7DD2"/>
    <w:rsid w:val="00BF5D50"/>
    <w:rsid w:val="00C30B1D"/>
    <w:rsid w:val="00C7459A"/>
    <w:rsid w:val="00C8079B"/>
    <w:rsid w:val="00CB0BC5"/>
    <w:rsid w:val="00CC1D4F"/>
    <w:rsid w:val="00D00F6B"/>
    <w:rsid w:val="00D04FD8"/>
    <w:rsid w:val="00D221A8"/>
    <w:rsid w:val="00D22E53"/>
    <w:rsid w:val="00D3482F"/>
    <w:rsid w:val="00D55517"/>
    <w:rsid w:val="00D5639C"/>
    <w:rsid w:val="00DC1C60"/>
    <w:rsid w:val="00E017CD"/>
    <w:rsid w:val="00E1356B"/>
    <w:rsid w:val="00E5347D"/>
    <w:rsid w:val="00E6132C"/>
    <w:rsid w:val="00E90DD8"/>
    <w:rsid w:val="00EA42F7"/>
    <w:rsid w:val="00F13C79"/>
    <w:rsid w:val="00F24260"/>
    <w:rsid w:val="00F6718F"/>
    <w:rsid w:val="00F8227A"/>
    <w:rsid w:val="00F836CD"/>
    <w:rsid w:val="00F97F72"/>
    <w:rsid w:val="00FB7D62"/>
    <w:rsid w:val="00FF254A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D300"/>
  <w15:chartTrackingRefBased/>
  <w15:docId w15:val="{EE47CE87-2C34-4844-B239-AC5D7A9A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A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1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1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1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C6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9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9F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D1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5D0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0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3A7"/>
  </w:style>
  <w:style w:type="paragraph" w:styleId="Footer">
    <w:name w:val="footer"/>
    <w:basedOn w:val="Normal"/>
    <w:link w:val="FooterChar"/>
    <w:uiPriority w:val="99"/>
    <w:semiHidden/>
    <w:unhideWhenUsed/>
    <w:rsid w:val="0070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2.arb.ca.gov/sites/default/files/2020-09/lcfsguidance_20-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A62D-C493-476D-840F-190C89529D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 Min Park</dc:creator>
  <cp:keywords/>
  <dc:description/>
  <cp:lastModifiedBy>Hye Min Park</cp:lastModifiedBy>
  <cp:revision>2</cp:revision>
  <dcterms:created xsi:type="dcterms:W3CDTF">2023-12-21T15:13:00Z</dcterms:created>
  <dcterms:modified xsi:type="dcterms:W3CDTF">2023-12-21T15:13:00Z</dcterms:modified>
</cp:coreProperties>
</file>