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Przewodnik Best Practices: Konfiguracja Google Tag w GTM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Poniższy dokument przedstawia rekomendowaną konfigurację zaawansowanych ustawień taga Google (Google Tag Settings) w Google Tag Managerze (GTM) w sytuacjach, gdy analityka i e-commerce są wdrażane bezpośrednio przez GTM i Data Layer.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Szczegółowe zestawienie ustawień (Ustawienie po ustawieniu)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Nazwa Ustawienia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Rekomendacja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Opis i Uzasadnienie (Best Practice)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Automatische Ereignisermittlung verwalten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(Zarządzanie ulepszonym pomiarem)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WYŁĄCZ LUB BARDZO MOCNO OGRANICZ</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Automatyczny pomiar GA4 próbuje sam wykrywać kliknięcia, formularze czy przewijanie. Jeśli wdrażasz e-commerce i zdarzenia przez GTM, te automatyczne skrypty mogą dublować zdarzenia lub wysyłać błędne dane.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Jak weryfikować:</w:t>
            </w:r>
            <w:r w:rsidDel="00000000" w:rsidR="00000000" w:rsidRPr="00000000">
              <w:rPr>
                <w:rtl w:val="0"/>
              </w:rPr>
              <w:t xml:space="preserve"> Włącz GA4 DebugView i sprawdź, czy pojedyncza akcja na stronie (np. kliknięcie przycisku) wyzwala dokładnie jedno zdarzenie.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Domains konfigurieren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(Konfiguracja domen)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KONFIGURUJ (jeśli dotyczy)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Niezbędne do śledzenia międzydomenowego (Cross-domain tracking). Jeśli ścieżka zakupowa przechodzi przez inną domenę (np. z sklep.pl do platnosc.pl), wpisz tu obie domeny, aby uniknąć utraty sesji.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Jak weryfikować:</w:t>
            </w:r>
            <w:r w:rsidDel="00000000" w:rsidR="00000000" w:rsidRPr="00000000">
              <w:rPr>
                <w:rtl w:val="0"/>
              </w:rPr>
              <w:t xml:space="preserve"> Przejdź między domenami i upewnij się, że w adresie URL docelowej strony pojawia się parametr _gl=....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Funktionen für von Nutzern bereitgestellte Daten zulassen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(Dane przekazywane przez użytkownika)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WŁĄCZ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Umożliwia działanie Ulepszonych Konwersji (Enhanced Conversions) w Google Ads oraz wysyłanie zaszyfrowanych danych użytkownika (email, telefon). Zwiększa dokładność przypisywania konwersji.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Jak weryfikować:</w:t>
            </w:r>
            <w:r w:rsidDel="00000000" w:rsidR="00000000" w:rsidRPr="00000000">
              <w:rPr>
                <w:rtl w:val="0"/>
              </w:rPr>
              <w:t xml:space="preserve"> W podglądzie GTM sprawdź, czy w wywołaniach taga Google Ads przesyłany jest obiekt z danymi użytkownika (user_data).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Universal Analytics-Ereignisse erfassen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(Przechwytywanie zdarzeń UA)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WYŁĄCZ</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Próbuje przechwytywać stare wywołania skryptu ga() Universal Analytics. Ponieważ UA zostało wyłączone, ta opcja niepotrzebnie obciąża przeglądarkę i wprowadza chaos w danych.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Extract data from your page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(Wyciąganie danych ze strony)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WYŁĄCZ (Używaj GTM Data Layer)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Automatyczny skaner kodu HTML często wyciąga błędne adresy e-mail lub dane z formularzy. Zdecydowanie bezpieczniej i precyzyjniej jest przekazywać dane użytkownika bezpośrednio z Data Layer w GTM.</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Internen Traffic definieren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(Definiowanie ruchu wewnętrznego)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KONFIGURUJ</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Pozwala podać adresy IP biura lub zespołu deweloperskiego. Dzięki temu można odfiltrować ruch wewnętrzny w raportach GA4.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Jak weryfikować:</w:t>
            </w:r>
            <w:r w:rsidDel="00000000" w:rsidR="00000000" w:rsidRPr="00000000">
              <w:rPr>
                <w:rtl w:val="0"/>
              </w:rPr>
              <w:t xml:space="preserve"> W GA4 sprawdź, czy ruch z Twojego IP ma przypisany parametr traffic_type = internal.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Liste unerwünschter Verweise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(Wykluczenia witryn odsyłających)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KONFIGURUJ (Dodaj bramki płatności)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Wprowadź tutaj domeny bramek płatności (np. payu.pl, przelewy24.pl, paypal.com). Zapobiega to sytuacji, w której powrót klienta po płatności nadpisuje oryginalne źródło odwiedzin jako nowy odsyłacz.</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Zeitüberschreitung für Sitzungen anpassen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(Czas trwania sesji)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DOMYŚLNIE (30 min) / DOSTOSUJ</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Domyślny czas trwania sesji wynosi 30 minut. Warto go wydłużyć (np. do 2–4 godzin), jeśli Twój serwis zawiera długie formularze lub materiały wideo.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Cookie-Einstellungen überschreiben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(Ustawienia plików cookie)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DOMYŚLNIE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Pozostaw domyślne, chyba że przepisy prawne lub specyficzna architektura domen wymaga zmiany czasu ważności plików cookie lub ich przedrostków.</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Datenübertragung verwalten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(Zarządzanie przesyłaniem danych)</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DOMYŚLNIE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Kontroluje przesyłanie sygnałów reklamowych przed uzyskaniem zgody użytkownika.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Standardeinstellungen für den Einwilligungsmodus überschreiben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(Nadpisywanie trybu zgody)</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WYŁĄCZ / DOMYŚLNIE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Zarządzanie zgodami powinno odbywać się bezpośrednio przez Baner Cookie (CMP) i natywne ustawienia Consent Mode w GTM, a nie ręczne nadpisywanie w tym panelu.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Standardeinstellungen für die Einwilligung zur Datenerhebung verwalten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(Ustawienia domyślne zgód)</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KONFIGURUJ PRZEZ CMP</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Dlaczego:</w:t>
            </w:r>
            <w:r w:rsidDel="00000000" w:rsidR="00000000" w:rsidRPr="00000000">
              <w:rPr>
                <w:rtl w:val="0"/>
              </w:rPr>
              <w:t xml:space="preserve"> Służy do określania domyślnych stanów zgód (np. ad_storage, analytics_storage). Powinno być zintegrowane ze stanem faktycznym banera zgód RODO na stronie.</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Czy łączyć Google Tag (Google Tags combining)?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Google oferuje możliwość łączenia tagów (Combine Google Tags), co pozwala używać jednego identyfikatora tagu do wysyłania danych do wielu usług (np. kilku usług GA4 lub Google Ads). Oto rekomendacje dotyczące tego podejścia:</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Kiedy NIE łączyć tagów (Rekomendowane w większości przypadków):</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Różne firmy, marki lub odrębne projekty:</w:t>
      </w:r>
      <w:r w:rsidDel="00000000" w:rsidR="00000000" w:rsidRPr="00000000">
        <w:rPr>
          <w:rtl w:val="0"/>
        </w:rPr>
        <w:t xml:space="preserve"> Jeśli masz osobne usługi GA4 dla różnych stron/marek, łączenie tagów spowoduje wymieszanie danych i zdarzeń, co utrudni analizę.</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Złożone wdrożenia GTM:</w:t>
      </w:r>
      <w:r w:rsidDel="00000000" w:rsidR="00000000" w:rsidRPr="00000000">
        <w:rPr>
          <w:rtl w:val="0"/>
        </w:rPr>
        <w:t xml:space="preserve"> Zdecydowanie łatwiej i bezpieczniej jest kontrolować przesyłanie danych bezpośrednio z poziomu kontenera GTM. Tworząc osobne tagi GA4 Event dla poszczególnych Identyfikatorów Pomiaru (Measurement ID), masz pełną kontrolę nad tym, dokąd trafia każde zdarzenie.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Kiedy WARTO połączyć tagi:</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Migracja ze starego tagu bez dostępu do kodu strony:</w:t>
      </w:r>
      <w:r w:rsidDel="00000000" w:rsidR="00000000" w:rsidRPr="00000000">
        <w:rPr>
          <w:rtl w:val="0"/>
        </w:rPr>
        <w:t xml:space="preserve"> Jeśli na stronie zaszyty jest stary tag (np. Google Ads), a chcesz podpiąć pod niego nową usługę GA4 bez edycji kodu źródłowego witryny.</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Multi-channel marketing na tej samej usłudze:</w:t>
      </w:r>
      <w:r w:rsidDel="00000000" w:rsidR="00000000" w:rsidRPr="00000000">
        <w:rPr>
          <w:rtl w:val="0"/>
        </w:rPr>
        <w:t xml:space="preserve"> Gdy chcesz wysyłać dokładnie te same sygnały i zdarzenia jednocześnie do Google Ads i GA4 z jednego głównego wyzwolenia.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Podsumowanie Best Practice:</w:t>
      </w:r>
      <w:r w:rsidDel="00000000" w:rsidR="00000000" w:rsidRPr="00000000">
        <w:rPr>
          <w:rtl w:val="0"/>
        </w:rPr>
        <w:t xml:space="preserve"> W profesjonalnych konfiguracjach opieraj się na **GTM** do rozdzielania ruchu i zdarzeń, zamiast łączyć Google Tagi w panelu Google. Zapewnia to wyższą przejrzystość i zapobiega przypadkowym wyciekom danych między różnymi usługami.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