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security-providers-setup"/>
      <w:bookmarkEnd w:id="21"/>
      <w:r>
        <w:t xml:space="preserve">Security providers setup</w:t>
      </w:r>
    </w:p>
    <w:p>
      <w:pPr>
        <w:pStyle w:val="FirstParagraph"/>
      </w:pPr>
      <w:r>
        <w:t xml:space="preserve">While the code supports</w:t>
      </w:r>
      <w:r>
        <w:t xml:space="preserve"> </w:t>
      </w:r>
      <w:r>
        <w:rPr>
          <w:i/>
        </w:rPr>
        <w:t xml:space="preserve">BouncyCastle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EdDSA</w:t>
      </w:r>
      <w:r>
        <w:t xml:space="preserve"> </w:t>
      </w:r>
      <w:r>
        <w:t xml:space="preserve">security providers out-of-the-box,</w:t>
      </w:r>
      <w:r>
        <w:t xml:space="preserve"> </w:t>
      </w:r>
      <w:r>
        <w:t xml:space="preserve">it also provides a way to</w:t>
      </w:r>
      <w:r>
        <w:t xml:space="preserve"> </w:t>
      </w:r>
      <w:hyperlink r:id="rId22">
        <w:r>
          <w:rPr>
            <w:rStyle w:val="Hyperlink"/>
          </w:rPr>
          <w:t xml:space="preserve">add security providers</w:t>
        </w:r>
      </w:hyperlink>
      <w:r>
        <w:t xml:space="preserve"> </w:t>
      </w:r>
      <w:r>
        <w:t xml:space="preserve">via the</w:t>
      </w:r>
      <w:r>
        <w:t xml:space="preserve"> </w:t>
      </w:r>
      <w:r>
        <w:rPr>
          <w:rStyle w:val="VerbatimChar"/>
        </w:rPr>
        <w:t xml:space="preserve">SecurityProviderRegistrar</w:t>
      </w:r>
      <w:r>
        <w:t xml:space="preserve"> </w:t>
      </w:r>
      <w:r>
        <w:t xml:space="preserve">interface implementation. In order to add support for a new security provider one needs to implement the registrar interface and make</w:t>
      </w:r>
      <w:r>
        <w:t xml:space="preserve"> </w:t>
      </w:r>
      <w:r>
        <w:t xml:space="preserve">the code aware of it.</w:t>
      </w:r>
    </w:p>
    <w:p>
      <w:pPr>
        <w:pStyle w:val="Heading3"/>
      </w:pPr>
      <w:bookmarkStart w:id="23" w:name="defaultbuilt-in-security-provider-registrars"/>
      <w:bookmarkEnd w:id="23"/>
      <w:r>
        <w:t xml:space="preserve">Default/built-in security provider registrars</w:t>
      </w:r>
    </w:p>
    <w:p>
      <w:pPr>
        <w:pStyle w:val="FirstParagraph"/>
      </w:pPr>
      <w:r>
        <w:t xml:space="preserve">The code contains built-in security provider registrars for</w:t>
      </w:r>
      <w:r>
        <w:t xml:space="preserve"> </w:t>
      </w:r>
      <w:r>
        <w:rPr>
          <w:i/>
        </w:rPr>
        <w:t xml:space="preserve">BouncyCastle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EdDSA</w:t>
      </w:r>
      <w:r>
        <w:t xml:space="preserve"> </w:t>
      </w:r>
      <w:r>
        <w:t xml:space="preserve">(a.k.a.</w:t>
      </w:r>
      <w:r>
        <w:t xml:space="preserve"> </w:t>
      </w:r>
      <w:r>
        <w:rPr>
          <w:rStyle w:val="VerbatimChar"/>
        </w:rPr>
        <w:t xml:space="preserve">ed25519</w:t>
      </w:r>
      <w:r>
        <w:t xml:space="preserve">). It automatically detects</w:t>
      </w:r>
      <w:r>
        <w:t xml:space="preserve"> </w:t>
      </w:r>
      <w:r>
        <w:t xml:space="preserve">the existence of the required artifacts (since they are optional dependencies) and executes the respective security provider registration.</w:t>
      </w:r>
      <w:r>
        <w:t xml:space="preserve"> </w:t>
      </w:r>
      <w:r>
        <w:t xml:space="preserve">This behavior is controlled by the</w:t>
      </w:r>
      <w:r>
        <w:t xml:space="preserve"> </w:t>
      </w:r>
      <w:r>
        <w:rPr>
          <w:rStyle w:val="VerbatimChar"/>
        </w:rPr>
        <w:t xml:space="preserve">org.apache.sshd.security.registrars</w:t>
      </w:r>
      <w:r>
        <w:t xml:space="preserve"> </w:t>
      </w:r>
      <w:r>
        <w:t xml:space="preserve">system property. This property contains a comma-separated list</w:t>
      </w:r>
      <w:r>
        <w:t xml:space="preserve"> </w:t>
      </w:r>
      <w:r>
        <w:t xml:space="preserve">of</w:t>
      </w:r>
      <w:r>
        <w:t xml:space="preserve"> </w:t>
      </w:r>
      <w:r>
        <w:rPr>
          <w:b/>
        </w:rPr>
        <w:t xml:space="preserve">fully-qualified</w:t>
      </w:r>
      <w:r>
        <w:t xml:space="preserve"> </w:t>
      </w:r>
      <w:r>
        <w:t xml:space="preserve">class names implementing the</w:t>
      </w:r>
      <w:r>
        <w:t xml:space="preserve"> </w:t>
      </w:r>
      <w:r>
        <w:rPr>
          <w:rStyle w:val="VerbatimChar"/>
        </w:rPr>
        <w:t xml:space="preserve">SecurityProviderRegistrar</w:t>
      </w:r>
      <w:r>
        <w:t xml:space="preserve"> </w:t>
      </w:r>
      <w:r>
        <w:t xml:space="preserve">interface and assumed to contain a default</w:t>
      </w:r>
      <w:r>
        <w:t xml:space="preserve"> </w:t>
      </w:r>
      <w:r>
        <w:rPr>
          <w:b/>
        </w:rPr>
        <w:t xml:space="preserve">public</w:t>
      </w:r>
      <w:r>
        <w:t xml:space="preserve"> </w:t>
      </w:r>
      <w:r>
        <w:t xml:space="preserve">no-arguments constructor. The code automatically parses the list and attempts to instantiate and invoke the registrar.</w:t>
      </w:r>
    </w:p>
    <w:p>
      <w:pPr>
        <w:pStyle w:val="BodyText"/>
      </w:pPr>
      <w:r>
        <w:rPr>
          <w:b/>
        </w:rPr>
        <w:t xml:space="preserve">Note:</w:t>
      </w:r>
    </w:p>
    <w:p>
      <w:pPr>
        <w:numPr>
          <w:numId w:val="1001"/>
          <w:ilvl w:val="0"/>
        </w:numPr>
      </w:pPr>
      <w:r>
        <w:t xml:space="preserve">The registration code automatically parses the configured registrars list and instantiates them. In this context, one can use the</w:t>
      </w:r>
      <w:r>
        <w:t xml:space="preserve"> </w:t>
      </w:r>
      <w:r>
        <w:t xml:space="preserve">special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value to indicate that the code should not attempt to automatically register the default providers.</w:t>
      </w:r>
    </w:p>
    <w:p>
      <w:pPr>
        <w:numPr>
          <w:numId w:val="1001"/>
          <w:ilvl w:val="0"/>
        </w:numPr>
      </w:pPr>
      <w:r>
        <w:t xml:space="preserve">A registrar instance might be created but eventually discarded and not invoked if it is disabled, unsupported or already registered</w:t>
      </w:r>
      <w:r>
        <w:t xml:space="preserve"> </w:t>
      </w:r>
      <w:r>
        <w:t xml:space="preserve">programmatically via</w:t>
      </w:r>
      <w:r>
        <w:t xml:space="preserve"> </w:t>
      </w:r>
      <w:r>
        <w:rPr>
          <w:rStyle w:val="VerbatimChar"/>
        </w:rPr>
        <w:t xml:space="preserve">SecurityUtils#registerSecurityProvider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The registration attempt is a</w:t>
      </w:r>
      <w:r>
        <w:t xml:space="preserve"> </w:t>
      </w:r>
      <w:r>
        <w:rPr>
          <w:b/>
        </w:rPr>
        <w:t xml:space="preserve">one-shot</w:t>
      </w:r>
      <w:r>
        <w:t xml:space="preserve"> </w:t>
      </w:r>
      <w:r>
        <w:t xml:space="preserve">deal - i.e., once the registrars list is parsed and successfully resolved, any modifications</w:t>
      </w:r>
      <w:r>
        <w:t xml:space="preserve"> </w:t>
      </w:r>
      <w:r>
        <w:t xml:space="preserve">to the registered security providers must be done</w:t>
      </w:r>
      <w:r>
        <w:t xml:space="preserve"> </w:t>
      </w:r>
      <w:r>
        <w:rPr>
          <w:b/>
        </w:rPr>
        <w:t xml:space="preserve">programatically</w:t>
      </w:r>
      <w:r>
        <w:t xml:space="preserve">. One can call</w:t>
      </w:r>
      <w:r>
        <w:t xml:space="preserve"> </w:t>
      </w:r>
      <w:r>
        <w:rPr>
          <w:rStyle w:val="VerbatimChar"/>
        </w:rPr>
        <w:t xml:space="preserve">SecurityUtils#isRegistrationCompleted()</w:t>
      </w:r>
      <w:r>
        <w:t xml:space="preserve"> </w:t>
      </w:r>
      <w:r>
        <w:t xml:space="preserve">to find out</w:t>
      </w:r>
      <w:r>
        <w:t xml:space="preserve"> </w:t>
      </w:r>
      <w:r>
        <w:t xml:space="preserve">if the registration phase has already been executed.</w:t>
      </w:r>
    </w:p>
    <w:p>
      <w:pPr>
        <w:numPr>
          <w:numId w:val="1001"/>
          <w:ilvl w:val="0"/>
        </w:numPr>
      </w:pPr>
      <w:r>
        <w:t xml:space="preserve">The registrars are consulted in the same</w:t>
      </w:r>
      <w:r>
        <w:t xml:space="preserve"> </w:t>
      </w:r>
      <w:r>
        <w:rPr>
          <w:b/>
        </w:rPr>
        <w:t xml:space="preserve">order</w:t>
      </w:r>
      <w:r>
        <w:t xml:space="preserve"> </w:t>
      </w:r>
      <w:r>
        <w:t xml:space="preserve">as they were initially registered - either programmatically or via the system property</w:t>
      </w:r>
      <w:r>
        <w:t xml:space="preserve"> </w:t>
      </w:r>
      <w:r>
        <w:t xml:space="preserve">configuration. Therefore, if two or more registrars support the same algorithm, then the earlier registered one will be used.</w:t>
      </w:r>
    </w:p>
    <w:p>
      <w:pPr>
        <w:numPr>
          <w:numId w:val="1001"/>
          <w:ilvl w:val="0"/>
        </w:numPr>
      </w:pPr>
      <w:r>
        <w:t xml:space="preserve">If no matching registrar was found, then the default security provider is used. If none set, the JCE defaults are invoked. The default</w:t>
      </w:r>
      <w:r>
        <w:t xml:space="preserve"> </w:t>
      </w:r>
      <w:r>
        <w:t xml:space="preserve">security provider can be configured either via the</w:t>
      </w:r>
      <w:r>
        <w:t xml:space="preserve"> </w:t>
      </w:r>
      <w:r>
        <w:rPr>
          <w:rStyle w:val="VerbatimChar"/>
        </w:rPr>
        <w:t xml:space="preserve">org.apache.sshd.security.defaultProvider</w:t>
      </w:r>
      <w:r>
        <w:t xml:space="preserve"> </w:t>
      </w:r>
      <w:r>
        <w:t xml:space="preserve">system property or by programmatically</w:t>
      </w:r>
      <w:r>
        <w:t xml:space="preserve"> </w:t>
      </w:r>
      <w:r>
        <w:t xml:space="preserve">invoking</w:t>
      </w:r>
      <w:r>
        <w:t xml:space="preserve"> </w:t>
      </w:r>
      <w:r>
        <w:rPr>
          <w:rStyle w:val="VerbatimChar"/>
        </w:rPr>
        <w:t xml:space="preserve">SecurityUtils#setDefaultProviderChoice</w:t>
      </w:r>
      <w:r>
        <w:t xml:space="preserve">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if the system property option is used, then it is assumed to contain a security</w:t>
      </w:r>
      <w:r>
        <w:t xml:space="preserve"> </w:t>
      </w:r>
      <w:r>
        <w:t xml:space="preserve">provider's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t xml:space="preserve">(rather than its</w:t>
      </w:r>
      <w:r>
        <w:t xml:space="preserve"> </w:t>
      </w:r>
      <w:r>
        <w:rPr>
          <w:rStyle w:val="VerbatimChar"/>
        </w:rPr>
        <w:t xml:space="preserve">Provider</w:t>
      </w:r>
      <w:r>
        <w:t xml:space="preserve"> </w:t>
      </w:r>
      <w:r>
        <w:t xml:space="preserve">class name...).</w:t>
      </w:r>
    </w:p>
    <w:p>
      <w:pPr>
        <w:numPr>
          <w:numId w:val="1001"/>
          <w:ilvl w:val="0"/>
        </w:numPr>
      </w:pPr>
      <w:r>
        <w:t xml:space="preserve">If programmatic selection of the default security provider choice is required, then the code flow must ensure that</w:t>
      </w:r>
      <w:r>
        <w:t xml:space="preserve"> </w:t>
      </w:r>
      <w:r>
        <w:rPr>
          <w:rStyle w:val="VerbatimChar"/>
        </w:rPr>
        <w:t xml:space="preserve">SecurityUtils#setDefaultProviderChoice</w:t>
      </w:r>
      <w:r>
        <w:t xml:space="preserve"> </w:t>
      </w:r>
      <w:r>
        <w:t xml:space="preserve">is called before</w:t>
      </w:r>
      <w:r>
        <w:t xml:space="preserve"> </w:t>
      </w:r>
      <w:r>
        <w:rPr>
          <w:b/>
        </w:rPr>
        <w:t xml:space="preserve">any</w:t>
      </w:r>
      <w:r>
        <w:t xml:space="preserve"> </w:t>
      </w:r>
      <w:r>
        <w:t xml:space="preserve">security entity (e.g., ciphers, keys, etc...) are</w:t>
      </w:r>
      <w:r>
        <w:t xml:space="preserve"> </w:t>
      </w:r>
      <w:r>
        <w:t xml:space="preserve">required. Theoretically, one could change the choice after ciphers have been been requested but before keys were generated</w:t>
      </w:r>
      <w:r>
        <w:t xml:space="preserve"> </w:t>
      </w:r>
      <w:r>
        <w:t xml:space="preserve">(e.g....), but it is dangerous and may yield unpredictable behavior.</w:t>
      </w:r>
    </w:p>
    <w:p>
      <w:pPr>
        <w:pStyle w:val="Heading3"/>
      </w:pPr>
      <w:bookmarkStart w:id="24" w:name="implementing-a-new-security-provider-registrar"/>
      <w:bookmarkEnd w:id="24"/>
      <w:r>
        <w:t xml:space="preserve">Implementing a new security provider registrar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AbstractSecurityProviderRegistrar</w:t>
      </w:r>
      <w:r>
        <w:t xml:space="preserve"> </w:t>
      </w:r>
      <w:r>
        <w:t xml:space="preserve">helper class for a default implementation of most of the required functionality, as</w:t>
      </w:r>
      <w:r>
        <w:t xml:space="preserve"> </w:t>
      </w:r>
      <w:r>
        <w:t xml:space="preserve">well as the existing implementations for</w:t>
      </w:r>
      <w:r>
        <w:t xml:space="preserve"> </w:t>
      </w:r>
      <w:r>
        <w:rPr>
          <w:i/>
        </w:rPr>
        <w:t xml:space="preserve">BouncyCastle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EdDSA</w:t>
      </w:r>
      <w:r>
        <w:t xml:space="preserve"> </w:t>
      </w:r>
      <w:r>
        <w:t xml:space="preserve">for examples of how to implement it. The most important</w:t>
      </w:r>
      <w:r>
        <w:t xml:space="preserve"> </w:t>
      </w:r>
      <w:r>
        <w:t xml:space="preserve">issues to consider when adding such an implementation are:</w:t>
      </w:r>
    </w:p>
    <w:p>
      <w:pPr>
        <w:numPr>
          <w:numId w:val="1002"/>
          <w:ilvl w:val="0"/>
        </w:numPr>
      </w:pPr>
      <w:r>
        <w:t xml:space="preserve">Try using reflection API to detect the existence of the registered provider class and/or instantiate it. The main reason</w:t>
      </w:r>
      <w:r>
        <w:t xml:space="preserve"> </w:t>
      </w:r>
      <w:r>
        <w:t xml:space="preserve">for this recommendation is that it isolates the code from a direct dependency on the provider's classes and makes class loading</w:t>
      </w:r>
      <w:r>
        <w:t xml:space="preserve"> </w:t>
      </w:r>
      <w:r>
        <w:t xml:space="preserve">issue less likely.</w:t>
      </w:r>
    </w:p>
    <w:p>
      <w:pPr>
        <w:numPr>
          <w:numId w:val="1002"/>
          <w:ilvl w:val="0"/>
        </w:numPr>
      </w:pPr>
      <w:r>
        <w:t xml:space="preserve">Decide whether to use the provider's name or instance when creating security related entities such as ciphers, keys, etc...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the default preference is to use the provider name, thus registering via</w:t>
      </w:r>
      <w:r>
        <w:t xml:space="preserve"> </w:t>
      </w:r>
      <w:r>
        <w:rPr>
          <w:rStyle w:val="VerbatimChar"/>
        </w:rPr>
        <w:t xml:space="preserve">Security.addProvider</w:t>
      </w:r>
      <w:r>
        <w:t xml:space="preserve"> </w:t>
      </w:r>
      <w:r>
        <w:t xml:space="preserve">call. In order to</w:t>
      </w:r>
      <w:r>
        <w:t xml:space="preserve"> </w:t>
      </w:r>
      <w:r>
        <w:t xml:space="preserve">change that, either register the instance yourself or override the</w:t>
      </w:r>
      <w:r>
        <w:t xml:space="preserve"> </w:t>
      </w:r>
      <w:r>
        <w:rPr>
          <w:rStyle w:val="VerbatimChar"/>
        </w:rPr>
        <w:t xml:space="preserve">isNamedProviderUsed</w:t>
      </w:r>
      <w:r>
        <w:t xml:space="preserve"> </w:t>
      </w:r>
      <w:r>
        <w:t xml:space="preserve">method. In this context,</w:t>
      </w:r>
      <w:r>
        <w:t xml:space="preserve"> </w:t>
      </w:r>
      <w:r>
        <w:rPr>
          <w:b/>
        </w:rPr>
        <w:t xml:space="preserve">cache</w:t>
      </w:r>
      <w:r>
        <w:t xml:space="preserve"> </w:t>
      </w:r>
      <w:r>
        <w:t xml:space="preserve">the generated</w:t>
      </w:r>
      <w:r>
        <w:t xml:space="preserve"> </w:t>
      </w:r>
      <w:r>
        <w:rPr>
          <w:rStyle w:val="VerbatimChar"/>
        </w:rPr>
        <w:t xml:space="preserve">Provider</w:t>
      </w:r>
      <w:r>
        <w:t xml:space="preserve"> </w:t>
      </w:r>
      <w:r>
        <w:t xml:space="preserve">instance if the instance rather than the name is used.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using only the provider instance</w:t>
      </w:r>
      <w:r>
        <w:t xml:space="preserve"> </w:t>
      </w:r>
      <w:r>
        <w:t xml:space="preserve">instead of the name is a rather new feature and has not been fully tested. It is possible though to decide and use it anyway</w:t>
      </w:r>
      <w:r>
        <w:t xml:space="preserve"> </w:t>
      </w:r>
      <w:r>
        <w:t xml:space="preserve">as long as it can be configurably disabled.</w:t>
      </w:r>
    </w:p>
    <w:p>
      <w:pPr>
        <w:numPr>
          <w:numId w:val="1002"/>
          <w:ilvl w:val="0"/>
        </w:numPr>
      </w:pPr>
      <w:r>
        <w:t xml:space="preserve">The default implementation provides fine-grained control over the declared supported security entities - ciphers, signatures,</w:t>
      </w:r>
      <w:r>
        <w:t xml:space="preserve"> </w:t>
      </w:r>
      <w:r>
        <w:t xml:space="preserve">key generators, etc... By default, it is done via consulting a system property composed of</w:t>
      </w:r>
      <w:r>
        <w:t xml:space="preserve"> </w:t>
      </w:r>
      <w:r>
        <w:rPr>
          <w:rStyle w:val="VerbatimChar"/>
        </w:rPr>
        <w:t xml:space="preserve">org.apache.sshd.security.provider</w:t>
      </w:r>
      <w:r>
        <w:t xml:space="preserve">,</w:t>
      </w:r>
      <w:r>
        <w:t xml:space="preserve"> </w:t>
      </w:r>
      <w:r>
        <w:t xml:space="preserve">followed by the security provider name and the relevant security entity - e.g.,</w:t>
      </w:r>
      <w:r>
        <w:t xml:space="preserve"> </w:t>
      </w:r>
      <w:r>
        <w:rPr>
          <w:rStyle w:val="VerbatimChar"/>
        </w:rPr>
        <w:t xml:space="preserve">org.apache.sshd.security.provider.BC.KeyFactory</w:t>
      </w:r>
      <w:r>
        <w:t xml:space="preserve"> </w:t>
      </w:r>
      <w:r>
        <w:t xml:space="preserve">is assumed to contain a comma-separated list of supported</w:t>
      </w:r>
      <w:r>
        <w:t xml:space="preserve"> </w:t>
      </w:r>
      <w:r>
        <w:rPr>
          <w:rStyle w:val="VerbatimChar"/>
        </w:rPr>
        <w:t xml:space="preserve">KeyFactory</w:t>
      </w:r>
      <w:r>
        <w:t xml:space="preserve"> </w:t>
      </w:r>
      <w:r>
        <w:t xml:space="preserve">algorithms.</w:t>
      </w:r>
    </w:p>
    <w:p>
      <w:pPr>
        <w:pStyle w:val="FirstParagraph"/>
      </w:pPr>
      <w:r>
        <w:rPr>
          <w:b/>
        </w:rPr>
        <w:t xml:space="preserve">Note:</w:t>
      </w:r>
    </w:p>
    <w:p>
      <w:pPr>
        <w:numPr>
          <w:numId w:val="1003"/>
          <w:ilvl w:val="0"/>
        </w:numPr>
      </w:pPr>
      <w:r>
        <w:t xml:space="preserve">The same naming convention can be used to enable/disable the registrar - even if supported - e.g.,</w:t>
      </w:r>
      <w:r>
        <w:t xml:space="preserve"> </w:t>
      </w:r>
      <w:r>
        <w:rPr>
          <w:rStyle w:val="VerbatimChar"/>
        </w:rPr>
        <w:t xml:space="preserve">org.apache.sshd.security.provider.BC.enabled=false</w:t>
      </w:r>
      <w:r>
        <w:t xml:space="preserve"> </w:t>
      </w:r>
      <w:r>
        <w:t xml:space="preserve">disables the</w:t>
      </w:r>
      <w:r>
        <w:t xml:space="preserve"> </w:t>
      </w:r>
      <w:r>
        <w:rPr>
          <w:i/>
        </w:rPr>
        <w:t xml:space="preserve">BouncyCastle</w:t>
      </w:r>
      <w:r>
        <w:t xml:space="preserve"> </w:t>
      </w:r>
      <w:r>
        <w:t xml:space="preserve">registrar.</w:t>
      </w:r>
    </w:p>
    <w:p>
      <w:pPr>
        <w:numPr>
          <w:numId w:val="1003"/>
          <w:ilvl w:val="0"/>
        </w:numPr>
      </w:pPr>
      <w:r>
        <w:t xml:space="preserve">One can use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to specify that all entities of the specified type are supported - e.g.,</w:t>
      </w:r>
      <w:r>
        <w:t xml:space="preserve"> </w:t>
      </w:r>
      <w:r>
        <w:rPr>
          <w:rStyle w:val="VerbatimChar"/>
        </w:rPr>
        <w:t xml:space="preserve">org.apache.sshd.security.provider.BC.MessageDigest=all</w:t>
      </w:r>
      <w:r>
        <w:t xml:space="preserve">. In this context, one can override the</w:t>
      </w:r>
      <w:r>
        <w:t xml:space="preserve"> </w:t>
      </w:r>
      <w:r>
        <w:rPr>
          <w:rStyle w:val="VerbatimChar"/>
        </w:rPr>
        <w:t xml:space="preserve">getDefaultSecurityEntitySupportValue</w:t>
      </w:r>
      <w:r>
        <w:t xml:space="preserve"> </w:t>
      </w:r>
      <w:r>
        <w:t xml:space="preserve">method if no fine-grained configuration is required per-entity type,</w:t>
      </w:r>
    </w:p>
    <w:p>
      <w:pPr>
        <w:numPr>
          <w:numId w:val="1003"/>
          <w:ilvl w:val="0"/>
        </w:numPr>
      </w:pPr>
      <w:r>
        <w:t xml:space="preserve">The result of an</w:t>
      </w:r>
      <w:r>
        <w:t xml:space="preserve"> </w:t>
      </w:r>
      <w:r>
        <w:rPr>
          <w:rStyle w:val="VerbatimChar"/>
        </w:rPr>
        <w:t xml:space="preserve">isXxxSupported</w:t>
      </w:r>
      <w:r>
        <w:t xml:space="preserve"> </w:t>
      </w:r>
      <w:r>
        <w:t xml:space="preserve">call is/should be</w:t>
      </w:r>
      <w:r>
        <w:t xml:space="preserve"> </w:t>
      </w:r>
      <w:r>
        <w:rPr>
          <w:b/>
        </w:rPr>
        <w:t xml:space="preserve">cached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AbstractSecurityProviderRegistrar</w:t>
      </w:r>
      <w:r>
        <w:t xml:space="preserve">).</w:t>
      </w:r>
    </w:p>
    <w:p>
      <w:pPr>
        <w:numPr>
          <w:numId w:val="1003"/>
          <w:ilvl w:val="0"/>
        </w:numPr>
      </w:pPr>
      <w:r>
        <w:t xml:space="preserve">For ease of implementation, all support query calls are routed to the</w:t>
      </w:r>
      <w:r>
        <w:t xml:space="preserve"> </w:t>
      </w:r>
      <w:r>
        <w:rPr>
          <w:rStyle w:val="VerbatimChar"/>
        </w:rPr>
        <w:t xml:space="preserve">isSecurityEntitySupported</w:t>
      </w:r>
      <w:r>
        <w:t xml:space="preserve"> </w:t>
      </w:r>
      <w:r>
        <w:t xml:space="preserve">method</w:t>
      </w:r>
      <w:r>
        <w:t xml:space="preserve"> </w:t>
      </w:r>
      <w:r>
        <w:t xml:space="preserve">so that one can concentrate all the configuration in a single method. This is done for</w:t>
      </w:r>
      <w:r>
        <w:t xml:space="preserve"> </w:t>
      </w:r>
      <w:r>
        <w:rPr>
          <w:b/>
        </w:rPr>
        <w:t xml:space="preserve">convenience</w:t>
      </w:r>
      <w:r>
        <w:t xml:space="preserve"> </w:t>
      </w:r>
      <w:r>
        <w:t xml:space="preserve">reasons - the code will invoke the correct support query as per the type of entity it needs. E.g., if it</w:t>
      </w:r>
      <w:r>
        <w:t xml:space="preserve"> </w:t>
      </w:r>
      <w:r>
        <w:t xml:space="preserve">needs a cipher, it will invoke</w:t>
      </w:r>
      <w:r>
        <w:t xml:space="preserve"> </w:t>
      </w:r>
      <w:r>
        <w:rPr>
          <w:rStyle w:val="VerbatimChar"/>
        </w:rPr>
        <w:t xml:space="preserve">isCipherSupported</w:t>
      </w:r>
      <w:r>
        <w:t xml:space="preserve"> </w:t>
      </w:r>
      <w:r>
        <w:t xml:space="preserve">- which by default will invoke</w:t>
      </w:r>
      <w:r>
        <w:t xml:space="preserve"> </w:t>
      </w:r>
      <w:r>
        <w:rPr>
          <w:rStyle w:val="VerbatimChar"/>
        </w:rPr>
        <w:t xml:space="preserve">isSecurityEntitySupported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Cipher</w:t>
      </w:r>
      <w:r>
        <w:t xml:space="preserve"> </w:t>
      </w:r>
      <w:r>
        <w:t xml:space="preserve">class as its argument.</w:t>
      </w:r>
    </w:p>
    <w:p>
      <w:pPr>
        <w:numPr>
          <w:numId w:val="1003"/>
          <w:ilvl w:val="0"/>
        </w:numPr>
      </w:pPr>
      <w:r>
        <w:t xml:space="preserve">Specifically for</w:t>
      </w:r>
      <w:r>
        <w:t xml:space="preserve"> </w:t>
      </w:r>
      <w:r>
        <w:rPr>
          <w:b/>
        </w:rPr>
        <w:t xml:space="preserve">ciphers</w:t>
      </w:r>
      <w:r>
        <w:t xml:space="preserve"> </w:t>
      </w:r>
      <w:r>
        <w:t xml:space="preserve">the argument to the support query contains a</w:t>
      </w:r>
      <w:r>
        <w:t xml:space="preserve"> </w:t>
      </w:r>
      <w:r>
        <w:rPr>
          <w:b/>
        </w:rPr>
        <w:t xml:space="preserve">transformation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AES/CBC/NoPadding</w:t>
      </w:r>
      <w:r>
        <w:t xml:space="preserve">)</w:t>
      </w:r>
      <w:r>
        <w:t xml:space="preserve"> </w:t>
      </w:r>
      <w:r>
        <w:t xml:space="preserve">so one should take that into account when parsing the input argument to decide which cipher is referenced - see</w:t>
      </w:r>
      <w:r>
        <w:t xml:space="preserve"> </w:t>
      </w:r>
      <w:r>
        <w:rPr>
          <w:rStyle w:val="VerbatimChar"/>
        </w:rPr>
        <w:t xml:space="preserve">SecurityProviderRegistrar.getEffectiveSecurityEntityName(Class&lt;?&gt;, String)</w:t>
      </w:r>
      <w:r>
        <w:t xml:space="preserve"> </w:t>
      </w:r>
      <w:r>
        <w:t xml:space="preserve">helper method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747c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a94c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issues.apache.org/jira/browse/SSHD-7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issues.apache.org/jira/browse/SSHD-7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2020-10-10T12:22:31Z</dcterms:created>
  <dcterms:modified xsi:type="dcterms:W3CDTF">2020-10-10T12:22:31Z</dcterms:modified>
</cp:coreProperties>
</file>