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652A991C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770878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375D789C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14</w:t>
      </w:r>
      <w:r w:rsidR="008423F4">
        <w:rPr>
          <w:rFonts w:asciiTheme="minorHAnsi" w:eastAsia="Arial Unicode MS" w:hAnsiTheme="minorHAnsi" w:cstheme="minorHAnsi"/>
          <w:sz w:val="18"/>
          <w:szCs w:val="18"/>
          <w:lang w:eastAsia="pl-PL"/>
        </w:rPr>
        <w:t>/</w:t>
      </w:r>
      <w:r w:rsidR="00732EC7">
        <w:rPr>
          <w:rFonts w:asciiTheme="minorHAnsi" w:eastAsia="Arial Unicode MS" w:hAnsiTheme="minorHAnsi" w:cstheme="minorHAnsi"/>
          <w:sz w:val="18"/>
          <w:szCs w:val="18"/>
          <w:lang w:eastAsia="pl-PL"/>
        </w:rPr>
        <w:t>3</w:t>
      </w:r>
      <w:r w:rsidR="009B1E8B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7CB8566B" w14:textId="1B42906A" w:rsidR="002541D5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B25D37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HOTEL </w:t>
      </w:r>
      <w:r w:rsidR="006A3C8A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METROPOLITAN</w:t>
      </w:r>
    </w:p>
    <w:p w14:paraId="504B7248" w14:textId="77777777" w:rsidR="006A3C8A" w:rsidRPr="006A3C8A" w:rsidRDefault="006A3C8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METROPOLITAN DEVELOPMENT SP Z O O, </w:t>
      </w:r>
    </w:p>
    <w:p w14:paraId="36462A40" w14:textId="77777777" w:rsidR="006A3C8A" w:rsidRPr="006A3C8A" w:rsidRDefault="006A3C8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Instalatorów 3, 35-210 Rzeszów, </w:t>
      </w:r>
    </w:p>
    <w:p w14:paraId="63AAEF46" w14:textId="44F997ED" w:rsidR="006A3C8A" w:rsidRPr="006A3C8A" w:rsidRDefault="006A3C8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>NIP 5170397045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0F43CD06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</w:t>
      </w:r>
      <w:r w:rsidR="008D730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dniu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1</w:t>
      </w:r>
      <w:r w:rsidR="00813E23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4</w:t>
      </w:r>
      <w:r w:rsidR="008D730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470BCED0" w14:textId="5115D0F3" w:rsidR="00B63BFD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Kolacja w dniu </w:t>
      </w:r>
      <w:r w:rsidR="00B63BFD" w:rsidRPr="006D0EA6">
        <w:rPr>
          <w:rFonts w:asciiTheme="minorHAnsi" w:hAnsiTheme="minorHAnsi" w:cstheme="minorHAnsi"/>
          <w:sz w:val="18"/>
          <w:szCs w:val="18"/>
        </w:rPr>
        <w:t>14.0</w:t>
      </w:r>
      <w:r w:rsidRPr="006D0EA6">
        <w:rPr>
          <w:rFonts w:asciiTheme="minorHAnsi" w:hAnsiTheme="minorHAnsi" w:cstheme="minorHAnsi"/>
          <w:sz w:val="18"/>
          <w:szCs w:val="18"/>
        </w:rPr>
        <w:t>9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.2022 r., </w:t>
      </w:r>
      <w:r w:rsidRPr="006D0EA6">
        <w:rPr>
          <w:rFonts w:asciiTheme="minorHAnsi" w:hAnsiTheme="minorHAnsi" w:cstheme="minorHAnsi"/>
          <w:sz w:val="18"/>
          <w:szCs w:val="18"/>
        </w:rPr>
        <w:t>dla 35 osób</w:t>
      </w:r>
      <w:r w:rsidR="00DA4263" w:rsidRPr="006D0EA6">
        <w:rPr>
          <w:rFonts w:asciiTheme="minorHAnsi" w:hAnsiTheme="minorHAnsi" w:cstheme="minorHAnsi"/>
          <w:sz w:val="18"/>
          <w:szCs w:val="18"/>
        </w:rPr>
        <w:t xml:space="preserve"> 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składający się z: </w:t>
      </w:r>
    </w:p>
    <w:p w14:paraId="184757D6" w14:textId="38A1D6EE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czekadełka</w:t>
      </w:r>
    </w:p>
    <w:p w14:paraId="04015B94" w14:textId="4147A7CC" w:rsidR="006D0EA6" w:rsidRPr="006D0EA6" w:rsidRDefault="008229BE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przystawki</w:t>
      </w:r>
    </w:p>
    <w:p w14:paraId="4322DE09" w14:textId="6D9804E7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2BACCB9F" w14:textId="5D5A2366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deseru</w:t>
      </w:r>
    </w:p>
    <w:p w14:paraId="664623F6" w14:textId="08E4FD40" w:rsidR="00F642DE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kawy / herbaty / wody / soków bez ograniczeń</w:t>
      </w:r>
    </w:p>
    <w:p w14:paraId="2A96F4A7" w14:textId="77777777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49E09AEC" w14:textId="77777777" w:rsidR="00E25920" w:rsidRDefault="00E25920" w:rsidP="00E25920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 w tej samej cenie</w:t>
      </w:r>
    </w:p>
    <w:p w14:paraId="48A42394" w14:textId="77777777" w:rsidR="00E25920" w:rsidRDefault="00E25920" w:rsidP="00E25920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po 2 propozycje pozostałych pozycji z menu, w tym co najmniej jedną wegetariańską opcję czekadełka i zupy w tej samej cenie</w:t>
      </w:r>
    </w:p>
    <w:p w14:paraId="5BF5C86B" w14:textId="77777777" w:rsidR="00E25920" w:rsidRDefault="00E25920" w:rsidP="00E25920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(kompozycja menu w tym ilości poszczególnych pozycji zostanie doprecyzowana w momencie wyboru Wykonawcy)</w:t>
      </w:r>
    </w:p>
    <w:p w14:paraId="2C6D85AF" w14:textId="7F292EB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bookmarkStart w:id="0" w:name="_GoBack"/>
      <w:bookmarkEnd w:id="0"/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7F1BD3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2CAE96A3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591AB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4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73AC2FD3" w:rsidR="00230BF2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FB3A4AB" w14:textId="19C10712" w:rsidR="00C2441B" w:rsidRDefault="00C2441B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1D38F3F1" w14:textId="77777777" w:rsidR="00C2441B" w:rsidRPr="006D0EA6" w:rsidRDefault="00C2441B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6BF93A0B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3349834" w14:textId="23BFE56C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3D1349B" w14:textId="5BDBE603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E13FAC7" w14:textId="4EB04E23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CB26470" w14:textId="42C400B8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745C5920" w14:textId="15D40901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026A1FE4" w14:textId="77777777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130EF76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7777777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7B2113F7" w:rsidR="004A009B" w:rsidRPr="006D0EA6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77777777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49B2DCF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2CC0B03B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odniesieniu do Pani/Pana danych osobowych decyzje nie będą podejmowane 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4A8F39A1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</w:t>
      </w:r>
      <w:r w:rsidR="002C27CB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28D50" w14:textId="77777777" w:rsidR="008457D5" w:rsidRDefault="008457D5" w:rsidP="00D57C90">
      <w:pPr>
        <w:spacing w:line="240" w:lineRule="auto"/>
      </w:pPr>
      <w:r>
        <w:separator/>
      </w:r>
    </w:p>
  </w:endnote>
  <w:endnote w:type="continuationSeparator" w:id="0">
    <w:p w14:paraId="3363D559" w14:textId="77777777" w:rsidR="008457D5" w:rsidRDefault="008457D5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0220C" w14:textId="77777777" w:rsidR="008457D5" w:rsidRDefault="008457D5" w:rsidP="00D57C90">
      <w:pPr>
        <w:spacing w:line="240" w:lineRule="auto"/>
      </w:pPr>
      <w:r>
        <w:separator/>
      </w:r>
    </w:p>
  </w:footnote>
  <w:footnote w:type="continuationSeparator" w:id="0">
    <w:p w14:paraId="7FAB10A2" w14:textId="77777777" w:rsidR="008457D5" w:rsidRDefault="008457D5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21FBE"/>
    <w:rsid w:val="0004104A"/>
    <w:rsid w:val="00042D99"/>
    <w:rsid w:val="00085BC3"/>
    <w:rsid w:val="00097F1C"/>
    <w:rsid w:val="000A493F"/>
    <w:rsid w:val="000B1388"/>
    <w:rsid w:val="000C5B7F"/>
    <w:rsid w:val="000F62AC"/>
    <w:rsid w:val="000F6F84"/>
    <w:rsid w:val="000F7FF4"/>
    <w:rsid w:val="001027F4"/>
    <w:rsid w:val="00106431"/>
    <w:rsid w:val="00141505"/>
    <w:rsid w:val="00150BBF"/>
    <w:rsid w:val="00153C36"/>
    <w:rsid w:val="001819AD"/>
    <w:rsid w:val="00192124"/>
    <w:rsid w:val="00193353"/>
    <w:rsid w:val="001B002C"/>
    <w:rsid w:val="001B3759"/>
    <w:rsid w:val="001B4567"/>
    <w:rsid w:val="001B5622"/>
    <w:rsid w:val="001C6717"/>
    <w:rsid w:val="001D62E4"/>
    <w:rsid w:val="001D6BDB"/>
    <w:rsid w:val="001E0FF0"/>
    <w:rsid w:val="001E23DB"/>
    <w:rsid w:val="00205AF9"/>
    <w:rsid w:val="002272FB"/>
    <w:rsid w:val="00230BF2"/>
    <w:rsid w:val="00240609"/>
    <w:rsid w:val="00246CC4"/>
    <w:rsid w:val="002541D5"/>
    <w:rsid w:val="002561F1"/>
    <w:rsid w:val="00261005"/>
    <w:rsid w:val="00270C20"/>
    <w:rsid w:val="00284644"/>
    <w:rsid w:val="002A2B0E"/>
    <w:rsid w:val="002A71C3"/>
    <w:rsid w:val="002B46E1"/>
    <w:rsid w:val="002C27CB"/>
    <w:rsid w:val="002C3955"/>
    <w:rsid w:val="002D5C41"/>
    <w:rsid w:val="002F00D1"/>
    <w:rsid w:val="002F576B"/>
    <w:rsid w:val="002F5A7F"/>
    <w:rsid w:val="002F679F"/>
    <w:rsid w:val="002F76BB"/>
    <w:rsid w:val="003218DB"/>
    <w:rsid w:val="00337067"/>
    <w:rsid w:val="00353A29"/>
    <w:rsid w:val="00356DF1"/>
    <w:rsid w:val="003A4FBF"/>
    <w:rsid w:val="003B51DD"/>
    <w:rsid w:val="003D30A3"/>
    <w:rsid w:val="003D68AA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A009B"/>
    <w:rsid w:val="004A12C7"/>
    <w:rsid w:val="004A408C"/>
    <w:rsid w:val="004D23DB"/>
    <w:rsid w:val="004D40B7"/>
    <w:rsid w:val="00517E22"/>
    <w:rsid w:val="005365F3"/>
    <w:rsid w:val="00552100"/>
    <w:rsid w:val="00581B76"/>
    <w:rsid w:val="0059047A"/>
    <w:rsid w:val="00591AB3"/>
    <w:rsid w:val="005A4FB1"/>
    <w:rsid w:val="005B798A"/>
    <w:rsid w:val="005C44F7"/>
    <w:rsid w:val="005D6D83"/>
    <w:rsid w:val="005E01D0"/>
    <w:rsid w:val="00606C4F"/>
    <w:rsid w:val="00614719"/>
    <w:rsid w:val="006505AA"/>
    <w:rsid w:val="00656E63"/>
    <w:rsid w:val="00667547"/>
    <w:rsid w:val="006917E0"/>
    <w:rsid w:val="006936BD"/>
    <w:rsid w:val="00695D70"/>
    <w:rsid w:val="006A3C8A"/>
    <w:rsid w:val="006C459D"/>
    <w:rsid w:val="006C6E82"/>
    <w:rsid w:val="006D0EA6"/>
    <w:rsid w:val="006D7481"/>
    <w:rsid w:val="00700470"/>
    <w:rsid w:val="00710B66"/>
    <w:rsid w:val="0071376D"/>
    <w:rsid w:val="0071544F"/>
    <w:rsid w:val="0072029E"/>
    <w:rsid w:val="00732EC7"/>
    <w:rsid w:val="00751E54"/>
    <w:rsid w:val="007550B1"/>
    <w:rsid w:val="00764561"/>
    <w:rsid w:val="00770878"/>
    <w:rsid w:val="00771108"/>
    <w:rsid w:val="00775B60"/>
    <w:rsid w:val="00775EAA"/>
    <w:rsid w:val="0078297C"/>
    <w:rsid w:val="00790832"/>
    <w:rsid w:val="00793D4B"/>
    <w:rsid w:val="007A2B25"/>
    <w:rsid w:val="007C5BD8"/>
    <w:rsid w:val="007E08F6"/>
    <w:rsid w:val="007F1BD3"/>
    <w:rsid w:val="00813E23"/>
    <w:rsid w:val="008229BE"/>
    <w:rsid w:val="00836FA1"/>
    <w:rsid w:val="008423F4"/>
    <w:rsid w:val="008457D5"/>
    <w:rsid w:val="0085112E"/>
    <w:rsid w:val="00851FDB"/>
    <w:rsid w:val="008530B6"/>
    <w:rsid w:val="00864A4E"/>
    <w:rsid w:val="00870724"/>
    <w:rsid w:val="00873102"/>
    <w:rsid w:val="0088098C"/>
    <w:rsid w:val="00880D31"/>
    <w:rsid w:val="008900CE"/>
    <w:rsid w:val="008A5498"/>
    <w:rsid w:val="008C201A"/>
    <w:rsid w:val="008C70AD"/>
    <w:rsid w:val="008D730C"/>
    <w:rsid w:val="008D7CA4"/>
    <w:rsid w:val="008E03C6"/>
    <w:rsid w:val="008E106A"/>
    <w:rsid w:val="008E42AD"/>
    <w:rsid w:val="008E4958"/>
    <w:rsid w:val="009140F2"/>
    <w:rsid w:val="009160E6"/>
    <w:rsid w:val="00916BD0"/>
    <w:rsid w:val="00931444"/>
    <w:rsid w:val="009340CB"/>
    <w:rsid w:val="00975AFB"/>
    <w:rsid w:val="0098401B"/>
    <w:rsid w:val="009A6F76"/>
    <w:rsid w:val="009B0F23"/>
    <w:rsid w:val="009B1E8B"/>
    <w:rsid w:val="009C4F5C"/>
    <w:rsid w:val="009E48F8"/>
    <w:rsid w:val="009F62E3"/>
    <w:rsid w:val="009F643C"/>
    <w:rsid w:val="00A064E8"/>
    <w:rsid w:val="00A139A8"/>
    <w:rsid w:val="00A238E2"/>
    <w:rsid w:val="00A25A20"/>
    <w:rsid w:val="00A26727"/>
    <w:rsid w:val="00A332F3"/>
    <w:rsid w:val="00A3641B"/>
    <w:rsid w:val="00A50509"/>
    <w:rsid w:val="00A659E6"/>
    <w:rsid w:val="00A67D1C"/>
    <w:rsid w:val="00A71C49"/>
    <w:rsid w:val="00A72458"/>
    <w:rsid w:val="00A74A49"/>
    <w:rsid w:val="00AA2272"/>
    <w:rsid w:val="00AA6F83"/>
    <w:rsid w:val="00AB10C1"/>
    <w:rsid w:val="00AC0491"/>
    <w:rsid w:val="00AC4E71"/>
    <w:rsid w:val="00AC5844"/>
    <w:rsid w:val="00AE3674"/>
    <w:rsid w:val="00B07640"/>
    <w:rsid w:val="00B25D37"/>
    <w:rsid w:val="00B31867"/>
    <w:rsid w:val="00B47058"/>
    <w:rsid w:val="00B619C9"/>
    <w:rsid w:val="00B63BFD"/>
    <w:rsid w:val="00B667D5"/>
    <w:rsid w:val="00B809C4"/>
    <w:rsid w:val="00B827BE"/>
    <w:rsid w:val="00B84A88"/>
    <w:rsid w:val="00B925B6"/>
    <w:rsid w:val="00B97E79"/>
    <w:rsid w:val="00BA2D13"/>
    <w:rsid w:val="00BB0E18"/>
    <w:rsid w:val="00BD0B5B"/>
    <w:rsid w:val="00BD1720"/>
    <w:rsid w:val="00BD3352"/>
    <w:rsid w:val="00BD5D1D"/>
    <w:rsid w:val="00BF5A31"/>
    <w:rsid w:val="00BF752D"/>
    <w:rsid w:val="00C032EA"/>
    <w:rsid w:val="00C2441B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01E42"/>
    <w:rsid w:val="00D17A0D"/>
    <w:rsid w:val="00D57C90"/>
    <w:rsid w:val="00D64B15"/>
    <w:rsid w:val="00D83B74"/>
    <w:rsid w:val="00D907B4"/>
    <w:rsid w:val="00D96C6C"/>
    <w:rsid w:val="00DA07F1"/>
    <w:rsid w:val="00DA4263"/>
    <w:rsid w:val="00DD03FF"/>
    <w:rsid w:val="00DD1D6E"/>
    <w:rsid w:val="00DE1616"/>
    <w:rsid w:val="00DE6456"/>
    <w:rsid w:val="00E00F58"/>
    <w:rsid w:val="00E0223A"/>
    <w:rsid w:val="00E02810"/>
    <w:rsid w:val="00E04A0B"/>
    <w:rsid w:val="00E24133"/>
    <w:rsid w:val="00E25920"/>
    <w:rsid w:val="00E30D96"/>
    <w:rsid w:val="00E720E6"/>
    <w:rsid w:val="00E72521"/>
    <w:rsid w:val="00E805CE"/>
    <w:rsid w:val="00EA458F"/>
    <w:rsid w:val="00EC22DD"/>
    <w:rsid w:val="00EC37F2"/>
    <w:rsid w:val="00EC56B9"/>
    <w:rsid w:val="00EC7694"/>
    <w:rsid w:val="00ED33A1"/>
    <w:rsid w:val="00EF2248"/>
    <w:rsid w:val="00F00B72"/>
    <w:rsid w:val="00F21945"/>
    <w:rsid w:val="00F2320A"/>
    <w:rsid w:val="00F24701"/>
    <w:rsid w:val="00F24CA7"/>
    <w:rsid w:val="00F408B7"/>
    <w:rsid w:val="00F43736"/>
    <w:rsid w:val="00F51C62"/>
    <w:rsid w:val="00F642DE"/>
    <w:rsid w:val="00F65DAC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1204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25</cp:revision>
  <cp:lastPrinted>2021-12-03T08:44:00Z</cp:lastPrinted>
  <dcterms:created xsi:type="dcterms:W3CDTF">2022-08-22T12:17:00Z</dcterms:created>
  <dcterms:modified xsi:type="dcterms:W3CDTF">2022-08-26T07:13:00Z</dcterms:modified>
</cp:coreProperties>
</file>