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Look w:val="04A0" w:firstRow="1" w:lastRow="0" w:firstColumn="1" w:lastColumn="0" w:noHBand="0" w:noVBand="1"/>
      </w:tblPr>
      <w:tblGrid>
        <w:gridCol w:w="2405"/>
        <w:gridCol w:w="3636"/>
        <w:gridCol w:w="3021"/>
      </w:tblGrid>
      <w:tr w:rsidR="007D5543" w:rsidTr="007D5543">
        <w:tc>
          <w:tcPr>
            <w:tcW w:w="2405" w:type="dxa"/>
          </w:tcPr>
          <w:p w:rsidR="007D5543" w:rsidRDefault="007D5543" w:rsidP="007D5543"/>
        </w:tc>
        <w:tc>
          <w:tcPr>
            <w:tcW w:w="3636" w:type="dxa"/>
          </w:tcPr>
          <w:p w:rsidR="007D5543" w:rsidRDefault="007D5543" w:rsidP="007D5543">
            <w:pPr>
              <w:pStyle w:val="Default"/>
              <w:jc w:val="center"/>
            </w:pPr>
          </w:p>
          <w:tbl>
            <w:tblPr>
              <w:tblW w:w="0" w:type="auto"/>
              <w:tblBorders>
                <w:top w:val="nil"/>
                <w:left w:val="nil"/>
                <w:bottom w:val="nil"/>
                <w:right w:val="nil"/>
              </w:tblBorders>
              <w:tblLook w:val="0000" w:firstRow="0" w:lastRow="0" w:firstColumn="0" w:lastColumn="0" w:noHBand="0" w:noVBand="0"/>
            </w:tblPr>
            <w:tblGrid>
              <w:gridCol w:w="3420"/>
            </w:tblGrid>
            <w:tr w:rsidR="007D5543">
              <w:trPr>
                <w:trHeight w:val="447"/>
              </w:trPr>
              <w:tc>
                <w:tcPr>
                  <w:tcW w:w="0" w:type="auto"/>
                </w:tcPr>
                <w:p w:rsidR="007D5543" w:rsidRDefault="007D5543" w:rsidP="007D5543">
                  <w:pPr>
                    <w:pStyle w:val="Default"/>
                    <w:jc w:val="center"/>
                    <w:rPr>
                      <w:sz w:val="30"/>
                      <w:szCs w:val="30"/>
                    </w:rPr>
                  </w:pPr>
                  <w:r>
                    <w:rPr>
                      <w:b/>
                      <w:bCs/>
                      <w:sz w:val="30"/>
                      <w:szCs w:val="30"/>
                    </w:rPr>
                    <w:t xml:space="preserve">URBACT III </w:t>
                  </w:r>
                  <w:proofErr w:type="spellStart"/>
                  <w:r>
                    <w:rPr>
                      <w:b/>
                      <w:bCs/>
                      <w:sz w:val="30"/>
                      <w:szCs w:val="30"/>
                    </w:rPr>
                    <w:t>Programme</w:t>
                  </w:r>
                  <w:proofErr w:type="spellEnd"/>
                </w:p>
                <w:p w:rsidR="007D5543" w:rsidRDefault="007D5543" w:rsidP="007D5543">
                  <w:pPr>
                    <w:pStyle w:val="Default"/>
                    <w:jc w:val="center"/>
                    <w:rPr>
                      <w:sz w:val="30"/>
                      <w:szCs w:val="30"/>
                    </w:rPr>
                  </w:pPr>
                  <w:r>
                    <w:rPr>
                      <w:b/>
                      <w:bCs/>
                      <w:sz w:val="30"/>
                      <w:szCs w:val="30"/>
                    </w:rPr>
                    <w:t>2014-2020</w:t>
                  </w:r>
                </w:p>
              </w:tc>
            </w:tr>
          </w:tbl>
          <w:p w:rsidR="007D5543" w:rsidRDefault="007D5543" w:rsidP="007D5543">
            <w:pPr>
              <w:jc w:val="center"/>
            </w:pPr>
          </w:p>
        </w:tc>
        <w:tc>
          <w:tcPr>
            <w:tcW w:w="3021" w:type="dxa"/>
          </w:tcPr>
          <w:p w:rsidR="007D5543" w:rsidRDefault="007D5543" w:rsidP="007D5543">
            <w:pPr>
              <w:jc w:val="center"/>
            </w:pPr>
          </w:p>
          <w:p w:rsidR="007D5543" w:rsidRDefault="007D5543" w:rsidP="007D5543">
            <w:pPr>
              <w:jc w:val="center"/>
            </w:pPr>
            <w:r>
              <w:t>UMOWA O DOFINANSOWANIE</w:t>
            </w:r>
          </w:p>
          <w:p w:rsidR="007D5543" w:rsidRDefault="007D5543" w:rsidP="007D5543">
            <w:pPr>
              <w:jc w:val="center"/>
            </w:pPr>
            <w:r>
              <w:t>Sieci transferowe</w:t>
            </w:r>
          </w:p>
          <w:p w:rsidR="007D5543" w:rsidRDefault="007D5543" w:rsidP="007D5543">
            <w:pPr>
              <w:jc w:val="center"/>
            </w:pPr>
            <w:r>
              <w:t>(druga fala)</w:t>
            </w:r>
          </w:p>
        </w:tc>
      </w:tr>
    </w:tbl>
    <w:p w:rsidR="007D5543" w:rsidRDefault="007D5543" w:rsidP="007D5543"/>
    <w:p w:rsidR="007D5543" w:rsidRPr="00962CB3" w:rsidRDefault="007D5543" w:rsidP="007D5543">
      <w:pPr>
        <w:jc w:val="center"/>
        <w:rPr>
          <w:b/>
          <w:sz w:val="24"/>
          <w:szCs w:val="24"/>
        </w:rPr>
      </w:pPr>
      <w:r w:rsidRPr="00962CB3">
        <w:rPr>
          <w:b/>
          <w:sz w:val="24"/>
          <w:szCs w:val="24"/>
        </w:rPr>
        <w:t>UMOWA DOFINANSOWANIA NA</w:t>
      </w:r>
    </w:p>
    <w:p w:rsidR="007D5543" w:rsidRPr="00962CB3" w:rsidRDefault="007D5543" w:rsidP="007D5543">
      <w:pPr>
        <w:jc w:val="center"/>
        <w:rPr>
          <w:b/>
          <w:sz w:val="24"/>
          <w:szCs w:val="24"/>
        </w:rPr>
      </w:pPr>
      <w:r w:rsidRPr="00962CB3">
        <w:rPr>
          <w:b/>
          <w:sz w:val="24"/>
          <w:szCs w:val="24"/>
        </w:rPr>
        <w:t>TECHREWOLUCJA 2.0</w:t>
      </w:r>
    </w:p>
    <w:p w:rsidR="00DF37AC" w:rsidRPr="00962CB3" w:rsidRDefault="007D5543" w:rsidP="007D5543">
      <w:pPr>
        <w:jc w:val="center"/>
        <w:rPr>
          <w:b/>
          <w:sz w:val="24"/>
          <w:szCs w:val="24"/>
        </w:rPr>
      </w:pPr>
      <w:r w:rsidRPr="00962CB3">
        <w:rPr>
          <w:b/>
          <w:sz w:val="24"/>
          <w:szCs w:val="24"/>
        </w:rPr>
        <w:t xml:space="preserve">SIEĆ </w:t>
      </w:r>
      <w:r w:rsidR="00962CB3" w:rsidRPr="00962CB3">
        <w:rPr>
          <w:b/>
          <w:sz w:val="24"/>
          <w:szCs w:val="24"/>
        </w:rPr>
        <w:t xml:space="preserve">TRANSFERU </w:t>
      </w:r>
      <w:r w:rsidRPr="00962CB3">
        <w:rPr>
          <w:b/>
          <w:sz w:val="24"/>
          <w:szCs w:val="24"/>
        </w:rPr>
        <w:t>(DRUGA FALA)</w:t>
      </w:r>
    </w:p>
    <w:p w:rsidR="007D5543" w:rsidRPr="00962CB3" w:rsidRDefault="007D5543" w:rsidP="007D5543">
      <w:pPr>
        <w:jc w:val="center"/>
        <w:rPr>
          <w:b/>
          <w:sz w:val="24"/>
          <w:szCs w:val="24"/>
        </w:rPr>
      </w:pPr>
    </w:p>
    <w:p w:rsidR="007D5543" w:rsidRPr="00962CB3" w:rsidRDefault="007D5543" w:rsidP="007D5543">
      <w:pPr>
        <w:jc w:val="center"/>
        <w:rPr>
          <w:b/>
          <w:sz w:val="24"/>
          <w:szCs w:val="24"/>
        </w:rPr>
      </w:pPr>
      <w:r w:rsidRPr="00962CB3">
        <w:rPr>
          <w:b/>
          <w:sz w:val="24"/>
          <w:szCs w:val="24"/>
        </w:rPr>
        <w:t xml:space="preserve">Pomiędzy </w:t>
      </w:r>
    </w:p>
    <w:p w:rsidR="007D5543" w:rsidRPr="00962CB3" w:rsidRDefault="007D5543" w:rsidP="007D5543">
      <w:pPr>
        <w:jc w:val="center"/>
        <w:rPr>
          <w:sz w:val="24"/>
          <w:szCs w:val="24"/>
        </w:rPr>
      </w:pPr>
      <w:r w:rsidRPr="00962CB3">
        <w:rPr>
          <w:sz w:val="24"/>
          <w:szCs w:val="24"/>
        </w:rPr>
        <w:t>Narodowa Agencja Spójności Terytorialnej - Ministerstwo Spójności Terytorialnej i Stosunków ze Wspólnotami Terytorialnymi</w:t>
      </w:r>
    </w:p>
    <w:p w:rsidR="007D5543" w:rsidRPr="00962CB3" w:rsidRDefault="007D5543" w:rsidP="007D5543">
      <w:pPr>
        <w:jc w:val="center"/>
        <w:rPr>
          <w:b/>
          <w:sz w:val="24"/>
          <w:szCs w:val="24"/>
        </w:rPr>
      </w:pPr>
    </w:p>
    <w:p w:rsidR="007D5543" w:rsidRPr="00962CB3" w:rsidRDefault="007D5543" w:rsidP="007D5543">
      <w:pPr>
        <w:jc w:val="center"/>
        <w:rPr>
          <w:b/>
          <w:sz w:val="24"/>
          <w:szCs w:val="24"/>
        </w:rPr>
      </w:pPr>
      <w:r w:rsidRPr="00962CB3">
        <w:rPr>
          <w:b/>
          <w:sz w:val="24"/>
          <w:szCs w:val="24"/>
        </w:rPr>
        <w:t xml:space="preserve">TSA 10717 </w:t>
      </w:r>
    </w:p>
    <w:p w:rsidR="007D5543" w:rsidRPr="00962CB3" w:rsidRDefault="007D5543" w:rsidP="007D5543">
      <w:pPr>
        <w:jc w:val="center"/>
        <w:rPr>
          <w:b/>
          <w:sz w:val="24"/>
          <w:szCs w:val="24"/>
        </w:rPr>
      </w:pPr>
      <w:r w:rsidRPr="00962CB3">
        <w:rPr>
          <w:b/>
          <w:sz w:val="24"/>
          <w:szCs w:val="24"/>
        </w:rPr>
        <w:t xml:space="preserve">75334 Paris </w:t>
      </w:r>
      <w:proofErr w:type="spellStart"/>
      <w:r w:rsidRPr="00962CB3">
        <w:rPr>
          <w:b/>
          <w:sz w:val="24"/>
          <w:szCs w:val="24"/>
        </w:rPr>
        <w:t>Cedex</w:t>
      </w:r>
      <w:proofErr w:type="spellEnd"/>
      <w:r w:rsidRPr="00962CB3">
        <w:rPr>
          <w:b/>
          <w:sz w:val="24"/>
          <w:szCs w:val="24"/>
        </w:rPr>
        <w:t xml:space="preserve"> 07</w:t>
      </w:r>
    </w:p>
    <w:p w:rsidR="007D5543" w:rsidRPr="00962CB3" w:rsidRDefault="007D5543" w:rsidP="007D5543">
      <w:pPr>
        <w:jc w:val="center"/>
        <w:rPr>
          <w:sz w:val="24"/>
          <w:szCs w:val="24"/>
        </w:rPr>
      </w:pPr>
      <w:r w:rsidRPr="00962CB3">
        <w:rPr>
          <w:sz w:val="24"/>
          <w:szCs w:val="24"/>
        </w:rPr>
        <w:t>pełniąc funkcję Instytucji Zarządzającej programu Europejskiej Współpracy Terytorialnej URBACT III (przy wsparciu Sekretariatu URBACT)</w:t>
      </w:r>
    </w:p>
    <w:p w:rsidR="007D5543" w:rsidRPr="00962CB3" w:rsidRDefault="007D5543" w:rsidP="007D5543">
      <w:pPr>
        <w:jc w:val="center"/>
        <w:rPr>
          <w:b/>
          <w:sz w:val="24"/>
          <w:szCs w:val="24"/>
        </w:rPr>
      </w:pPr>
    </w:p>
    <w:p w:rsidR="007D5543" w:rsidRPr="00D71463" w:rsidRDefault="007D5543" w:rsidP="007D5543">
      <w:pPr>
        <w:jc w:val="center"/>
        <w:rPr>
          <w:rFonts w:cstheme="minorHAnsi"/>
          <w:b/>
          <w:sz w:val="24"/>
          <w:szCs w:val="24"/>
          <w:lang w:val="en-GB"/>
        </w:rPr>
      </w:pPr>
      <w:proofErr w:type="spellStart"/>
      <w:r w:rsidRPr="00D71463">
        <w:rPr>
          <w:rFonts w:cstheme="minorHAnsi"/>
          <w:b/>
          <w:sz w:val="24"/>
          <w:szCs w:val="24"/>
          <w:lang w:val="en-GB"/>
        </w:rPr>
        <w:t>oraz</w:t>
      </w:r>
      <w:proofErr w:type="spellEnd"/>
    </w:p>
    <w:p w:rsidR="007D5543" w:rsidRPr="00D71463" w:rsidRDefault="007D5543" w:rsidP="007D5543">
      <w:pPr>
        <w:spacing w:after="0"/>
        <w:jc w:val="center"/>
        <w:rPr>
          <w:rFonts w:cstheme="minorHAnsi"/>
          <w:b/>
          <w:sz w:val="24"/>
          <w:szCs w:val="24"/>
          <w:lang w:val="en-GB"/>
        </w:rPr>
      </w:pPr>
      <w:r w:rsidRPr="00D71463">
        <w:rPr>
          <w:rFonts w:cstheme="minorHAnsi"/>
          <w:b/>
          <w:sz w:val="24"/>
          <w:szCs w:val="24"/>
          <w:lang w:val="en-GB"/>
        </w:rPr>
        <w:t>Barnsley</w:t>
      </w:r>
    </w:p>
    <w:p w:rsidR="007D5543" w:rsidRPr="00962CB3" w:rsidRDefault="007D5543" w:rsidP="007D5543">
      <w:pPr>
        <w:pStyle w:val="Default"/>
        <w:jc w:val="center"/>
        <w:rPr>
          <w:rFonts w:asciiTheme="minorHAnsi" w:hAnsiTheme="minorHAnsi" w:cstheme="minorHAnsi"/>
          <w:lang w:val="en-GB"/>
        </w:rPr>
      </w:pPr>
      <w:proofErr w:type="spellStart"/>
      <w:r w:rsidRPr="00962CB3">
        <w:rPr>
          <w:rFonts w:asciiTheme="minorHAnsi" w:hAnsiTheme="minorHAnsi" w:cstheme="minorHAnsi"/>
          <w:lang w:val="en-GB"/>
        </w:rPr>
        <w:t>Ratusz</w:t>
      </w:r>
      <w:proofErr w:type="spellEnd"/>
      <w:r w:rsidRPr="00962CB3">
        <w:rPr>
          <w:rFonts w:asciiTheme="minorHAnsi" w:hAnsiTheme="minorHAnsi" w:cstheme="minorHAnsi"/>
          <w:lang w:val="en-GB"/>
        </w:rPr>
        <w:t xml:space="preserve">, </w:t>
      </w:r>
      <w:r w:rsidRPr="00962CB3">
        <w:rPr>
          <w:rFonts w:asciiTheme="minorHAnsi" w:hAnsiTheme="minorHAnsi" w:cstheme="minorHAnsi"/>
          <w:bCs/>
          <w:lang w:val="en-GB"/>
        </w:rPr>
        <w:t>Church Street,</w:t>
      </w:r>
    </w:p>
    <w:p w:rsidR="007D5543" w:rsidRPr="00D71463" w:rsidRDefault="007D5543" w:rsidP="007D5543">
      <w:pPr>
        <w:pStyle w:val="Default"/>
        <w:jc w:val="center"/>
        <w:rPr>
          <w:rFonts w:asciiTheme="minorHAnsi" w:hAnsiTheme="minorHAnsi" w:cstheme="minorHAnsi"/>
        </w:rPr>
      </w:pPr>
      <w:r w:rsidRPr="00D71463">
        <w:rPr>
          <w:rFonts w:asciiTheme="minorHAnsi" w:hAnsiTheme="minorHAnsi" w:cstheme="minorHAnsi"/>
          <w:bCs/>
        </w:rPr>
        <w:t>S70 2TA Barnsley</w:t>
      </w:r>
    </w:p>
    <w:p w:rsidR="007D5543" w:rsidRPr="00962CB3" w:rsidRDefault="00962CB3" w:rsidP="007D5543">
      <w:pPr>
        <w:spacing w:after="0"/>
        <w:jc w:val="center"/>
        <w:rPr>
          <w:rFonts w:cstheme="minorHAnsi"/>
          <w:sz w:val="24"/>
          <w:szCs w:val="24"/>
        </w:rPr>
      </w:pPr>
      <w:r w:rsidRPr="00962CB3">
        <w:rPr>
          <w:rFonts w:cstheme="minorHAnsi"/>
          <w:sz w:val="24"/>
          <w:szCs w:val="24"/>
        </w:rPr>
        <w:t>Zjednoczone Królestwo</w:t>
      </w:r>
    </w:p>
    <w:p w:rsidR="007D5543" w:rsidRPr="00962CB3" w:rsidRDefault="007D5543" w:rsidP="007D5543">
      <w:pPr>
        <w:spacing w:after="0"/>
        <w:jc w:val="center"/>
        <w:rPr>
          <w:b/>
          <w:sz w:val="24"/>
          <w:szCs w:val="24"/>
        </w:rPr>
      </w:pPr>
    </w:p>
    <w:p w:rsidR="007D5543" w:rsidRPr="00962CB3" w:rsidRDefault="007D5543" w:rsidP="007D5543">
      <w:pPr>
        <w:spacing w:after="0"/>
        <w:jc w:val="center"/>
        <w:rPr>
          <w:sz w:val="24"/>
          <w:szCs w:val="24"/>
        </w:rPr>
      </w:pPr>
      <w:r w:rsidRPr="00962CB3">
        <w:rPr>
          <w:sz w:val="24"/>
          <w:szCs w:val="24"/>
        </w:rPr>
        <w:t>działający jako Beneficjent Wiodący, o którym mowa w art. 13.2 Rozporządzenia (UE) nr 1299/2013 i zwany dalej Partnerem Wiodącym</w:t>
      </w:r>
      <w:r w:rsidRPr="00962CB3">
        <w:rPr>
          <w:sz w:val="24"/>
          <w:szCs w:val="24"/>
        </w:rPr>
        <w:br/>
      </w:r>
    </w:p>
    <w:p w:rsidR="007D5543" w:rsidRPr="00962CB3" w:rsidRDefault="007D5543" w:rsidP="007D5543">
      <w:pPr>
        <w:spacing w:after="0"/>
        <w:jc w:val="center"/>
        <w:rPr>
          <w:b/>
          <w:sz w:val="24"/>
          <w:szCs w:val="24"/>
        </w:rPr>
      </w:pPr>
    </w:p>
    <w:p w:rsidR="007D5543" w:rsidRPr="00962CB3" w:rsidRDefault="007D5543" w:rsidP="007D5543">
      <w:pPr>
        <w:spacing w:after="0"/>
        <w:jc w:val="center"/>
        <w:rPr>
          <w:b/>
          <w:sz w:val="24"/>
          <w:szCs w:val="24"/>
        </w:rPr>
      </w:pPr>
      <w:r w:rsidRPr="00962CB3">
        <w:rPr>
          <w:b/>
          <w:sz w:val="24"/>
          <w:szCs w:val="24"/>
        </w:rPr>
        <w:t>Ze względu na francuskie ustawodawstwo (ustawa nr 94-665, 04 sierpnia 1994), niniejsza umowa jest dwujęzyczna EN / FR. Strony umowy będą mogły skorzystać z obu tekstów.</w:t>
      </w: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Default="007D5543" w:rsidP="007D5543">
      <w:pPr>
        <w:spacing w:after="0"/>
        <w:jc w:val="center"/>
        <w:rPr>
          <w:b/>
        </w:rPr>
      </w:pPr>
    </w:p>
    <w:p w:rsidR="007D5543" w:rsidRPr="007D5543" w:rsidRDefault="007D5543" w:rsidP="007D5543">
      <w:pPr>
        <w:spacing w:after="0"/>
        <w:jc w:val="center"/>
        <w:rPr>
          <w:b/>
        </w:rPr>
      </w:pPr>
      <w:r w:rsidRPr="007D5543">
        <w:rPr>
          <w:b/>
        </w:rPr>
        <w:t>Preambuła</w:t>
      </w:r>
    </w:p>
    <w:p w:rsidR="007D5543" w:rsidRDefault="007D5543" w:rsidP="007D5543">
      <w:pPr>
        <w:spacing w:after="0"/>
        <w:jc w:val="both"/>
      </w:pPr>
      <w:r w:rsidRPr="007D5543">
        <w:t xml:space="preserve">28 państw członkowskich Unii Europejskiej, Norwegia i Szwajcaria powierzyły francuskiej </w:t>
      </w:r>
      <w:proofErr w:type="spellStart"/>
      <w:r w:rsidRPr="007D5543">
        <w:t>Agence</w:t>
      </w:r>
      <w:proofErr w:type="spellEnd"/>
      <w:r w:rsidRPr="007D5543">
        <w:t xml:space="preserve"> </w:t>
      </w:r>
      <w:proofErr w:type="spellStart"/>
      <w:r w:rsidRPr="007D5543">
        <w:t>Nationale</w:t>
      </w:r>
      <w:proofErr w:type="spellEnd"/>
      <w:r w:rsidRPr="007D5543">
        <w:t xml:space="preserve"> de la </w:t>
      </w:r>
      <w:proofErr w:type="spellStart"/>
      <w:r w:rsidRPr="007D5543">
        <w:t>Cohesion</w:t>
      </w:r>
      <w:proofErr w:type="spellEnd"/>
      <w:r w:rsidRPr="007D5543">
        <w:t xml:space="preserve"> des </w:t>
      </w:r>
      <w:proofErr w:type="spellStart"/>
      <w:r w:rsidRPr="007D5543">
        <w:t>Territoires</w:t>
      </w:r>
      <w:proofErr w:type="spellEnd"/>
      <w:r w:rsidRPr="007D5543">
        <w:t xml:space="preserve"> – </w:t>
      </w:r>
      <w:proofErr w:type="spellStart"/>
      <w:r w:rsidRPr="007D5543">
        <w:t>Ministère</w:t>
      </w:r>
      <w:proofErr w:type="spellEnd"/>
      <w:r w:rsidRPr="007D5543">
        <w:t xml:space="preserve"> de la </w:t>
      </w:r>
      <w:proofErr w:type="spellStart"/>
      <w:r w:rsidRPr="007D5543">
        <w:t>Cohesion</w:t>
      </w:r>
      <w:proofErr w:type="spellEnd"/>
      <w:r w:rsidRPr="007D5543">
        <w:t xml:space="preserve"> des </w:t>
      </w:r>
      <w:proofErr w:type="spellStart"/>
      <w:r w:rsidRPr="007D5543">
        <w:t>Territoires</w:t>
      </w:r>
      <w:proofErr w:type="spellEnd"/>
      <w:r w:rsidRPr="007D5543">
        <w:t xml:space="preserve"> et des Relations </w:t>
      </w:r>
      <w:proofErr w:type="spellStart"/>
      <w:r w:rsidRPr="007D5543">
        <w:t>avec</w:t>
      </w:r>
      <w:proofErr w:type="spellEnd"/>
      <w:r w:rsidRPr="007D5543">
        <w:t xml:space="preserve"> </w:t>
      </w:r>
      <w:proofErr w:type="spellStart"/>
      <w:r w:rsidRPr="007D5543">
        <w:t>les</w:t>
      </w:r>
      <w:proofErr w:type="spellEnd"/>
      <w:r w:rsidRPr="007D5543">
        <w:t xml:space="preserve"> </w:t>
      </w:r>
      <w:proofErr w:type="spellStart"/>
      <w:r w:rsidRPr="007D5543">
        <w:t>Collectivités</w:t>
      </w:r>
      <w:proofErr w:type="spellEnd"/>
      <w:r w:rsidRPr="007D5543">
        <w:t xml:space="preserve"> </w:t>
      </w:r>
      <w:proofErr w:type="spellStart"/>
      <w:r w:rsidRPr="007D5543">
        <w:t>Territoriales</w:t>
      </w:r>
      <w:proofErr w:type="spellEnd"/>
      <w:r w:rsidRPr="007D5543">
        <w:t xml:space="preserve"> zadania Instytucji Zarządzającej Programem Operacyjnym URBACT III. W tym kontekście Instytucja Zarządzająca ma również za zadanie podpisywanie umów z Partnerami Wiodącymi jako beneficjentami końcowymi zgodnie z Artykułem 13.2 Rozporządzenia (UE) nr 1299/2013.</w:t>
      </w:r>
    </w:p>
    <w:p w:rsidR="007D5543" w:rsidRDefault="007D5543" w:rsidP="007D5543">
      <w:pPr>
        <w:spacing w:after="0"/>
        <w:jc w:val="both"/>
      </w:pPr>
    </w:p>
    <w:p w:rsidR="007D5543" w:rsidRDefault="007D5543" w:rsidP="007D5543">
      <w:pPr>
        <w:spacing w:after="0"/>
        <w:jc w:val="both"/>
      </w:pPr>
      <w:r w:rsidRPr="007D5543">
        <w:t>W związku z tym Instytucja Zarządzająca podejmuje następujące decyzje:</w:t>
      </w:r>
    </w:p>
    <w:p w:rsidR="007D5543" w:rsidRDefault="007D5543" w:rsidP="007D5543">
      <w:pPr>
        <w:spacing w:after="0"/>
        <w:jc w:val="both"/>
      </w:pPr>
    </w:p>
    <w:p w:rsidR="007D5543" w:rsidRDefault="007D5543" w:rsidP="007D5543">
      <w:pPr>
        <w:spacing w:after="0"/>
        <w:jc w:val="both"/>
      </w:pPr>
      <w:r>
        <w:t>UMOWA O DOFINANSOWANIE</w:t>
      </w:r>
    </w:p>
    <w:p w:rsidR="007D5543" w:rsidRDefault="007D5543" w:rsidP="007D5543">
      <w:pPr>
        <w:spacing w:after="0"/>
        <w:jc w:val="both"/>
      </w:pPr>
      <w:r>
        <w:t>w imieniu Państw Członkowskich / Państw Partnerskich Programu Operacyjnego URBACT III, na podstawie ostatnich zaktualizowanych wersji:</w:t>
      </w:r>
    </w:p>
    <w:p w:rsidR="007D5543" w:rsidRDefault="007D5543" w:rsidP="007D5543">
      <w:pPr>
        <w:spacing w:after="0"/>
        <w:jc w:val="both"/>
      </w:pPr>
    </w:p>
    <w:p w:rsidR="007D5543" w:rsidRDefault="007D5543" w:rsidP="007D5543">
      <w:pPr>
        <w:pStyle w:val="Akapitzlist"/>
        <w:numPr>
          <w:ilvl w:val="0"/>
          <w:numId w:val="1"/>
        </w:numPr>
        <w:spacing w:after="0"/>
        <w:jc w:val="both"/>
      </w:pPr>
      <w:r>
        <w:t>Rozporządzenie Parlamentu i Rady (UE) nr 1303/2013 ustanawiające wspólne przepisy dotyczące Europejskiego Funduszu Rozwoju Regionalnego, Europejskiego Funduszu Rolnego na rzecz Rozwoju Obszarów Wiejskich oraz Europejskiego Funduszu Morskiego i Rybackiego oraz ustanawiające przepisy ogólne dotyczące Europejskiego Rozwoju Regionalnego Funduszu, Europejski Fundusz Społeczny, Fundusz Spójności oraz Europejski Fundusz Morski i Rybacki uchylające rozporządzenie Rady (WE) nr 1083/2006</w:t>
      </w:r>
    </w:p>
    <w:p w:rsidR="007D5543" w:rsidRDefault="007D5543" w:rsidP="007D5543">
      <w:pPr>
        <w:pStyle w:val="Akapitzlist"/>
        <w:numPr>
          <w:ilvl w:val="0"/>
          <w:numId w:val="1"/>
        </w:numPr>
        <w:spacing w:after="0"/>
        <w:jc w:val="both"/>
      </w:pPr>
      <w:r>
        <w:t>Rozporządzenie Parlamentu Europejskiego i Rady (UE) nr 1301/2013 w sprawie Europejskiego Funduszu Rozwoju Regionalnego i przepisów szczegółowych dotyczących celu „Inwestycje na rzecz wzrostu i zatrudnienia” oraz uchylające rozporządzenie (WE) nr 1080/2006</w:t>
      </w:r>
    </w:p>
    <w:p w:rsidR="007D5543" w:rsidRDefault="007D5543" w:rsidP="007D5543">
      <w:pPr>
        <w:pStyle w:val="Akapitzlist"/>
        <w:numPr>
          <w:ilvl w:val="0"/>
          <w:numId w:val="1"/>
        </w:numPr>
        <w:spacing w:after="0"/>
        <w:jc w:val="both"/>
      </w:pPr>
      <w:r>
        <w:t>Rozporządzenie Parlamentu Europejskiego i Rady (UE) nr 1299/2013 w sprawie przepisów szczegółowych dotyczących wsparcia z Europejskiego Funduszu Rozwoju Regionalnego dla celu Europejskiej Współpracy Terytorialnej</w:t>
      </w:r>
    </w:p>
    <w:p w:rsidR="007D5543" w:rsidRDefault="007D5543" w:rsidP="007D5543">
      <w:pPr>
        <w:pStyle w:val="Akapitzlist"/>
        <w:numPr>
          <w:ilvl w:val="0"/>
          <w:numId w:val="1"/>
        </w:numPr>
        <w:spacing w:after="0"/>
        <w:jc w:val="both"/>
      </w:pPr>
      <w:r>
        <w:t>Rozporządzenie Wykonawcze Komisji (UE) nr 288/2014 z dnia 25 lutego 2014 r. ustanawiające dodatkowe zasady na podstawie Rozporządzenia Parlamentu Europejskiego i Rady (UE) nr 1303/2013 w odniesieniu do wzoru sprawozdań z postępów, formatu składania informacji o dużym projekcie, metodykę przeprowadzenia analizy kosztów i korzyści, wzór wspólnego planu działania, wzór sprawozdań z realizacji celu Inwestycje na rzecz wzrostu i zatrudnienia, wzór deklaracji zarządczej, modele w zakresie strategii audytu, opinii audytowej i sprawozdania z kontroli oraz zgodnie z Rozporządzeniem Parlamentu i Rady nr 1299/2013 w odniesieniu do wzoru sprawozdań z realizacji celu Europejska współpraca terytorialna</w:t>
      </w:r>
    </w:p>
    <w:p w:rsidR="007D5543" w:rsidRDefault="007D5543" w:rsidP="007D5543">
      <w:pPr>
        <w:pStyle w:val="Akapitzlist"/>
        <w:numPr>
          <w:ilvl w:val="0"/>
          <w:numId w:val="1"/>
        </w:numPr>
        <w:spacing w:after="0"/>
        <w:jc w:val="both"/>
      </w:pPr>
      <w:r>
        <w:t>Rozporządzenie Delegowane (UE) nr 481/2014 Komisji Europejskiej z dnia 4 marca 2014 r. uzupełniające rozporządzenie Parlamentu i Rady (UE) nr 1299/2013 w odniesieniu do szczegółowych zasad kwalifikowalności wydatków na programy współpracy</w:t>
      </w:r>
    </w:p>
    <w:p w:rsidR="007D5543" w:rsidRDefault="007D5543" w:rsidP="007D5543">
      <w:pPr>
        <w:pStyle w:val="Akapitzlist"/>
        <w:numPr>
          <w:ilvl w:val="0"/>
          <w:numId w:val="1"/>
        </w:numPr>
        <w:spacing w:after="0"/>
        <w:jc w:val="both"/>
      </w:pPr>
      <w:r>
        <w:t>Rozporządzenie Delegowane (UE) nr 480/2014 Komisji Europejskiej z dnia 3 marca 2014 r. uzupełniające Rozporządzenie Parlamentu i Rady (UE) nr 1303/2013</w:t>
      </w:r>
    </w:p>
    <w:p w:rsidR="007D5543" w:rsidRDefault="007D5543" w:rsidP="007D5543">
      <w:pPr>
        <w:pStyle w:val="Akapitzlist"/>
        <w:numPr>
          <w:ilvl w:val="0"/>
          <w:numId w:val="1"/>
        </w:numPr>
        <w:spacing w:after="0"/>
        <w:jc w:val="both"/>
      </w:pPr>
      <w:r>
        <w:t xml:space="preserve">Rozporządzenie wykonawcze Komisji (UE) nr 821/2014 z dnia 28 lipca 2014 r. ustanawiające zasady stosowania rozporządzenia Parlamentu Europejskiego i Rady (UE) nr 1303/2013 w odniesieniu do szczegółowych ustaleń dotyczących przekazywania wkładów z programów i zarządzania nimi , sprawozdawczość dotyczącą instrumentów finansowych, charakterystykę techniczną środków informacyjnych i komunikacyjnych dotyczących operacji oraz system do rejestrowania </w:t>
      </w:r>
      <w:r>
        <w:br/>
        <w:t>i przechowywania danych</w:t>
      </w:r>
    </w:p>
    <w:p w:rsidR="007D5543" w:rsidRDefault="007D5543" w:rsidP="007D5543">
      <w:pPr>
        <w:pStyle w:val="Akapitzlist"/>
        <w:numPr>
          <w:ilvl w:val="0"/>
          <w:numId w:val="1"/>
        </w:numPr>
        <w:spacing w:after="0"/>
        <w:jc w:val="both"/>
      </w:pPr>
      <w:r>
        <w:lastRenderedPageBreak/>
        <w:t>Program Operacyjny Europejskiej Współpracy Terytorialnej URBACT III (CCI nr 2014TC16RFIR003), zatwierdzony Decyzją Wykonawczą Komisji Europejskiej w dniu 12 grudnia 2014 r. [ref: C (2014) 9857]</w:t>
      </w:r>
    </w:p>
    <w:p w:rsidR="007D5543" w:rsidRDefault="007D5543" w:rsidP="007D5543">
      <w:pPr>
        <w:pStyle w:val="Akapitzlist"/>
        <w:numPr>
          <w:ilvl w:val="0"/>
          <w:numId w:val="1"/>
        </w:numPr>
        <w:spacing w:after="0"/>
        <w:jc w:val="both"/>
      </w:pPr>
      <w:r>
        <w:t>Umowy z państwami członkowskimi i partnerskimi między państwami członkowskimi / partnerskimi a Instytucją Zarządzającą (</w:t>
      </w:r>
      <w:proofErr w:type="spellStart"/>
      <w:r>
        <w:t>Agence</w:t>
      </w:r>
      <w:proofErr w:type="spellEnd"/>
      <w:r>
        <w:t xml:space="preserve"> </w:t>
      </w:r>
      <w:proofErr w:type="spellStart"/>
      <w:r>
        <w:t>Nationale</w:t>
      </w:r>
      <w:proofErr w:type="spellEnd"/>
      <w:r>
        <w:t xml:space="preserve"> de la </w:t>
      </w:r>
      <w:proofErr w:type="spellStart"/>
      <w:r>
        <w:t>Cohesion</w:t>
      </w:r>
      <w:proofErr w:type="spellEnd"/>
      <w:r>
        <w:t xml:space="preserve"> des </w:t>
      </w:r>
      <w:proofErr w:type="spellStart"/>
      <w:r>
        <w:t>Territoires</w:t>
      </w:r>
      <w:proofErr w:type="spellEnd"/>
      <w:r>
        <w:t>) w sprawie wdrażania Programu Operacyjnego URBACT III.</w:t>
      </w:r>
    </w:p>
    <w:p w:rsidR="007D5543" w:rsidRDefault="007D5543" w:rsidP="007D5543">
      <w:pPr>
        <w:pStyle w:val="Akapitzlist"/>
        <w:numPr>
          <w:ilvl w:val="0"/>
          <w:numId w:val="1"/>
        </w:numPr>
        <w:spacing w:after="0"/>
        <w:jc w:val="both"/>
      </w:pPr>
      <w:r>
        <w:t>Wytyczne dotyczące programu, w tym wytyczne określone w Podręczniku programu URBACT III, po raz pierwszy zatwierdzone przez Komitet Monitorujący w dniu 11 września 2015 r., a następnie zaktualizowane, obowiązuje ostatnia zaktualizowana wersja.</w:t>
      </w:r>
    </w:p>
    <w:p w:rsidR="007D5543" w:rsidRDefault="007D5543" w:rsidP="007D5543">
      <w:pPr>
        <w:spacing w:after="0"/>
        <w:jc w:val="both"/>
      </w:pPr>
    </w:p>
    <w:p w:rsidR="007D5543" w:rsidRDefault="007D5543" w:rsidP="007D5543">
      <w:pPr>
        <w:spacing w:after="0"/>
        <w:jc w:val="both"/>
      </w:pPr>
      <w:r w:rsidRPr="007D5543">
        <w:t>co Partner Wiodący niniejszym uznaje.</w:t>
      </w: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Default="005046FE" w:rsidP="007D5543">
      <w:pPr>
        <w:spacing w:after="0"/>
        <w:jc w:val="both"/>
      </w:pPr>
    </w:p>
    <w:p w:rsidR="005046FE" w:rsidRPr="005046FE" w:rsidRDefault="005046FE" w:rsidP="003F6262">
      <w:pPr>
        <w:spacing w:after="0" w:line="480" w:lineRule="auto"/>
        <w:jc w:val="both"/>
        <w:rPr>
          <w:b/>
        </w:rPr>
      </w:pPr>
      <w:r w:rsidRPr="005046FE">
        <w:rPr>
          <w:b/>
        </w:rPr>
        <w:t>Artykuł 1 - Przyznanie dotacji</w:t>
      </w:r>
    </w:p>
    <w:p w:rsidR="005046FE" w:rsidRPr="005046FE" w:rsidRDefault="005046FE" w:rsidP="003F6262">
      <w:pPr>
        <w:spacing w:after="0" w:line="480" w:lineRule="auto"/>
        <w:jc w:val="both"/>
        <w:rPr>
          <w:b/>
        </w:rPr>
      </w:pPr>
      <w:r w:rsidRPr="005046FE">
        <w:rPr>
          <w:b/>
        </w:rPr>
        <w:t>Artykuł 2 - Cel użytkowania, kwalifikowalność wydatków, realokacja i przeprogramowanie</w:t>
      </w:r>
    </w:p>
    <w:p w:rsidR="005046FE" w:rsidRPr="005046FE" w:rsidRDefault="005046FE" w:rsidP="003F6262">
      <w:pPr>
        <w:spacing w:after="0" w:line="480" w:lineRule="auto"/>
        <w:jc w:val="both"/>
        <w:rPr>
          <w:b/>
        </w:rPr>
      </w:pPr>
      <w:r w:rsidRPr="005046FE">
        <w:rPr>
          <w:b/>
        </w:rPr>
        <w:t>Artykuł 3 - Wniosek o płatność</w:t>
      </w:r>
    </w:p>
    <w:p w:rsidR="005046FE" w:rsidRPr="005046FE" w:rsidRDefault="005046FE" w:rsidP="003F6262">
      <w:pPr>
        <w:spacing w:after="0" w:line="480" w:lineRule="auto"/>
        <w:jc w:val="both"/>
        <w:rPr>
          <w:b/>
        </w:rPr>
      </w:pPr>
      <w:r w:rsidRPr="005046FE">
        <w:rPr>
          <w:b/>
        </w:rPr>
        <w:t>Artykuł 4 - Partnerstwo projektowe</w:t>
      </w:r>
    </w:p>
    <w:p w:rsidR="005046FE" w:rsidRPr="005046FE" w:rsidRDefault="005046FE" w:rsidP="003F6262">
      <w:pPr>
        <w:spacing w:after="0" w:line="480" w:lineRule="auto"/>
        <w:jc w:val="both"/>
        <w:rPr>
          <w:b/>
        </w:rPr>
      </w:pPr>
      <w:r w:rsidRPr="005046FE">
        <w:rPr>
          <w:b/>
        </w:rPr>
        <w:t>Artykuł 5 - Reprezentacja wspólników, odpowiedzialność</w:t>
      </w:r>
    </w:p>
    <w:p w:rsidR="005046FE" w:rsidRPr="005046FE" w:rsidRDefault="005046FE" w:rsidP="003F6262">
      <w:pPr>
        <w:spacing w:after="0" w:line="480" w:lineRule="auto"/>
        <w:jc w:val="both"/>
        <w:rPr>
          <w:b/>
        </w:rPr>
      </w:pPr>
      <w:r w:rsidRPr="005046FE">
        <w:rPr>
          <w:b/>
        </w:rPr>
        <w:t>Artykuł 6 - Obowiązki partnera wiodącego</w:t>
      </w:r>
    </w:p>
    <w:p w:rsidR="005046FE" w:rsidRPr="005046FE" w:rsidRDefault="005046FE" w:rsidP="003F6262">
      <w:pPr>
        <w:spacing w:after="0" w:line="480" w:lineRule="auto"/>
        <w:jc w:val="both"/>
        <w:rPr>
          <w:b/>
        </w:rPr>
      </w:pPr>
      <w:r w:rsidRPr="005046FE">
        <w:rPr>
          <w:b/>
        </w:rPr>
        <w:t>Artykuł 7 - Komunikacja i reklama</w:t>
      </w:r>
    </w:p>
    <w:p w:rsidR="005046FE" w:rsidRPr="005046FE" w:rsidRDefault="005046FE" w:rsidP="003F6262">
      <w:pPr>
        <w:spacing w:after="0" w:line="480" w:lineRule="auto"/>
        <w:jc w:val="both"/>
        <w:rPr>
          <w:b/>
        </w:rPr>
      </w:pPr>
      <w:r w:rsidRPr="005046FE">
        <w:rPr>
          <w:b/>
        </w:rPr>
        <w:t>Artykuł 8 - Prawo do wypowiedzenia</w:t>
      </w:r>
    </w:p>
    <w:p w:rsidR="005046FE" w:rsidRPr="005046FE" w:rsidRDefault="005046FE" w:rsidP="003F6262">
      <w:pPr>
        <w:spacing w:after="0" w:line="480" w:lineRule="auto"/>
        <w:jc w:val="both"/>
        <w:rPr>
          <w:b/>
        </w:rPr>
      </w:pPr>
      <w:r w:rsidRPr="005046FE">
        <w:rPr>
          <w:b/>
        </w:rPr>
        <w:t>Artykuł 9 - Kontrole, audyty i ocena projektu</w:t>
      </w:r>
    </w:p>
    <w:p w:rsidR="005046FE" w:rsidRPr="005046FE" w:rsidRDefault="005046FE" w:rsidP="003F6262">
      <w:pPr>
        <w:spacing w:after="0" w:line="480" w:lineRule="auto"/>
        <w:jc w:val="both"/>
        <w:rPr>
          <w:b/>
        </w:rPr>
      </w:pPr>
      <w:r w:rsidRPr="005046FE">
        <w:rPr>
          <w:b/>
        </w:rPr>
        <w:t>Artykuł 10 - Cesja, następstwo prawne</w:t>
      </w:r>
    </w:p>
    <w:p w:rsidR="005046FE" w:rsidRPr="005046FE" w:rsidRDefault="005046FE" w:rsidP="003F6262">
      <w:pPr>
        <w:spacing w:after="0" w:line="480" w:lineRule="auto"/>
        <w:jc w:val="both"/>
        <w:rPr>
          <w:b/>
        </w:rPr>
      </w:pPr>
      <w:r w:rsidRPr="005046FE">
        <w:rPr>
          <w:b/>
        </w:rPr>
        <w:t>Artykuł 11 – Siła wyższa</w:t>
      </w:r>
    </w:p>
    <w:p w:rsidR="005046FE" w:rsidRPr="005046FE" w:rsidRDefault="005046FE" w:rsidP="003F6262">
      <w:pPr>
        <w:spacing w:after="0" w:line="480" w:lineRule="auto"/>
        <w:jc w:val="both"/>
        <w:rPr>
          <w:b/>
        </w:rPr>
      </w:pPr>
      <w:r w:rsidRPr="005046FE">
        <w:rPr>
          <w:b/>
        </w:rPr>
        <w:t>Artykuł 12 - Zmiana niniejszej umowy</w:t>
      </w:r>
    </w:p>
    <w:p w:rsidR="005046FE" w:rsidRPr="005046FE" w:rsidRDefault="005046FE" w:rsidP="003F6262">
      <w:pPr>
        <w:spacing w:after="0" w:line="480" w:lineRule="auto"/>
        <w:jc w:val="both"/>
        <w:rPr>
          <w:b/>
        </w:rPr>
      </w:pPr>
      <w:r w:rsidRPr="005046FE">
        <w:rPr>
          <w:b/>
        </w:rPr>
        <w:t>Artykuł 13 - Postanowienia końcowe</w:t>
      </w:r>
    </w:p>
    <w:p w:rsidR="005046FE" w:rsidRPr="005046FE" w:rsidRDefault="005046FE" w:rsidP="003F6262">
      <w:pPr>
        <w:spacing w:after="0" w:line="480" w:lineRule="auto"/>
        <w:jc w:val="both"/>
        <w:rPr>
          <w:b/>
        </w:rPr>
      </w:pPr>
      <w:r w:rsidRPr="005046FE">
        <w:rPr>
          <w:b/>
        </w:rPr>
        <w:t>Artykuł 14 - Prawo właściwe - spory</w:t>
      </w:r>
    </w:p>
    <w:p w:rsidR="005046FE" w:rsidRDefault="005046FE" w:rsidP="003F6262">
      <w:pPr>
        <w:spacing w:after="0" w:line="480" w:lineRule="auto"/>
        <w:jc w:val="both"/>
        <w:rPr>
          <w:b/>
        </w:rPr>
      </w:pPr>
      <w:r w:rsidRPr="005046FE">
        <w:rPr>
          <w:b/>
        </w:rPr>
        <w:t xml:space="preserve">Artykuł 15 </w:t>
      </w:r>
      <w:r w:rsidR="003F6262">
        <w:rPr>
          <w:b/>
        </w:rPr>
        <w:t>–</w:t>
      </w:r>
      <w:r w:rsidRPr="005046FE">
        <w:rPr>
          <w:b/>
        </w:rPr>
        <w:t xml:space="preserve"> Podpisy</w:t>
      </w: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Default="003F6262" w:rsidP="003F6262">
      <w:pPr>
        <w:spacing w:after="0" w:line="480" w:lineRule="auto"/>
        <w:jc w:val="both"/>
        <w:rPr>
          <w:b/>
        </w:rPr>
      </w:pPr>
    </w:p>
    <w:p w:rsidR="003F6262" w:rsidRPr="003F6262" w:rsidRDefault="003F6262" w:rsidP="003F6262">
      <w:pPr>
        <w:spacing w:after="0" w:line="480" w:lineRule="auto"/>
        <w:jc w:val="both"/>
        <w:rPr>
          <w:b/>
        </w:rPr>
      </w:pPr>
      <w:bookmarkStart w:id="0" w:name="_GoBack"/>
      <w:bookmarkEnd w:id="0"/>
      <w:r w:rsidRPr="003F6262">
        <w:rPr>
          <w:b/>
        </w:rPr>
        <w:lastRenderedPageBreak/>
        <w:t>Artykuł 1 - Przyznanie dotacji</w:t>
      </w:r>
    </w:p>
    <w:p w:rsidR="003F6262" w:rsidRDefault="003F6262" w:rsidP="003F6262">
      <w:pPr>
        <w:pStyle w:val="Akapitzlist"/>
        <w:numPr>
          <w:ilvl w:val="0"/>
          <w:numId w:val="2"/>
        </w:numPr>
        <w:spacing w:after="0" w:line="276" w:lineRule="auto"/>
        <w:jc w:val="both"/>
      </w:pPr>
      <w:r w:rsidRPr="003F6262">
        <w:t xml:space="preserve">Zgodnie z decyzją Komitetu Monitorującego URBACT z dnia 11 czerwca 2021 r. oraz zmianami, </w:t>
      </w:r>
      <w:r>
        <w:br/>
      </w:r>
      <w:r w:rsidRPr="003F6262">
        <w:t xml:space="preserve">o których mowa w art. 2.5 niniejszej umowy, dotacja celowa zostaje przyznana Partnerowi Wiodącemu </w:t>
      </w:r>
      <w:proofErr w:type="spellStart"/>
      <w:r w:rsidRPr="003F6262">
        <w:t>TechRevolution</w:t>
      </w:r>
      <w:proofErr w:type="spellEnd"/>
      <w:r w:rsidRPr="003F6262">
        <w:t xml:space="preserve"> 2.0 (Ref Synergie-CTE nr 8249 ) ze środków Programu Operacyjnego URBACT III na maksymalną kwotę:</w:t>
      </w:r>
    </w:p>
    <w:p w:rsidR="003F6262" w:rsidRDefault="003F6262" w:rsidP="003F6262">
      <w:pPr>
        <w:spacing w:after="0" w:line="276" w:lineRule="auto"/>
        <w:jc w:val="both"/>
      </w:pPr>
    </w:p>
    <w:tbl>
      <w:tblPr>
        <w:tblStyle w:val="Tabela-Siatka"/>
        <w:tblW w:w="0" w:type="auto"/>
        <w:tblLook w:val="04A0" w:firstRow="1" w:lastRow="0" w:firstColumn="1" w:lastColumn="0" w:noHBand="0" w:noVBand="1"/>
      </w:tblPr>
      <w:tblGrid>
        <w:gridCol w:w="2066"/>
        <w:gridCol w:w="2184"/>
        <w:gridCol w:w="2628"/>
        <w:gridCol w:w="2184"/>
      </w:tblGrid>
      <w:tr w:rsidR="003F6262" w:rsidTr="003F6262">
        <w:tc>
          <w:tcPr>
            <w:tcW w:w="2265" w:type="dxa"/>
            <w:vMerge w:val="restart"/>
            <w:vAlign w:val="center"/>
          </w:tcPr>
          <w:p w:rsidR="003F6262" w:rsidRDefault="003F6262" w:rsidP="003F6262">
            <w:pPr>
              <w:pStyle w:val="Default"/>
              <w:jc w:val="both"/>
            </w:pPr>
            <w:r>
              <w:rPr>
                <w:b/>
                <w:bCs/>
                <w:sz w:val="22"/>
                <w:szCs w:val="22"/>
              </w:rPr>
              <w:t xml:space="preserve">Sieć  </w:t>
            </w:r>
          </w:p>
        </w:tc>
        <w:tc>
          <w:tcPr>
            <w:tcW w:w="2265" w:type="dxa"/>
            <w:vAlign w:val="center"/>
          </w:tcPr>
          <w:tbl>
            <w:tblPr>
              <w:tblW w:w="0" w:type="auto"/>
              <w:tblBorders>
                <w:top w:val="nil"/>
                <w:left w:val="nil"/>
                <w:bottom w:val="nil"/>
                <w:right w:val="nil"/>
              </w:tblBorders>
              <w:tblLook w:val="0000" w:firstRow="0" w:lastRow="0" w:firstColumn="0" w:lastColumn="0" w:noHBand="0" w:noVBand="0"/>
            </w:tblPr>
            <w:tblGrid>
              <w:gridCol w:w="854"/>
              <w:gridCol w:w="222"/>
              <w:gridCol w:w="222"/>
            </w:tblGrid>
            <w:tr w:rsidR="003F6262" w:rsidRPr="003F6262">
              <w:trPr>
                <w:trHeight w:val="300"/>
              </w:trPr>
              <w:tc>
                <w:tcPr>
                  <w:tcW w:w="0" w:type="auto"/>
                </w:tcPr>
                <w:p w:rsidR="003F6262" w:rsidRPr="003F6262" w:rsidRDefault="003F6262" w:rsidP="003F6262">
                  <w:pPr>
                    <w:autoSpaceDE w:val="0"/>
                    <w:autoSpaceDN w:val="0"/>
                    <w:adjustRightInd w:val="0"/>
                    <w:spacing w:after="0" w:line="240" w:lineRule="auto"/>
                    <w:rPr>
                      <w:rFonts w:ascii="Verdana" w:hAnsi="Verdana" w:cs="Verdana"/>
                      <w:color w:val="000000"/>
                    </w:rPr>
                  </w:pPr>
                  <w:r>
                    <w:rPr>
                      <w:rFonts w:ascii="Verdana" w:hAnsi="Verdana" w:cs="Verdana"/>
                      <w:b/>
                      <w:bCs/>
                      <w:color w:val="000000"/>
                    </w:rPr>
                    <w:t>EFRR</w:t>
                  </w:r>
                  <w:r w:rsidRPr="003F6262">
                    <w:rPr>
                      <w:rFonts w:ascii="Verdana" w:hAnsi="Verdana" w:cs="Verdana"/>
                      <w:b/>
                      <w:bCs/>
                      <w:color w:val="000000"/>
                    </w:rPr>
                    <w:t xml:space="preserve"> </w:t>
                  </w:r>
                </w:p>
              </w:tc>
              <w:tc>
                <w:tcPr>
                  <w:tcW w:w="0" w:type="auto"/>
                </w:tcPr>
                <w:p w:rsidR="003F6262" w:rsidRPr="003F6262" w:rsidRDefault="003F6262" w:rsidP="003F6262">
                  <w:pPr>
                    <w:autoSpaceDE w:val="0"/>
                    <w:autoSpaceDN w:val="0"/>
                    <w:adjustRightInd w:val="0"/>
                    <w:spacing w:after="0" w:line="240" w:lineRule="auto"/>
                    <w:rPr>
                      <w:rFonts w:ascii="Verdana" w:hAnsi="Verdana" w:cs="Verdana"/>
                      <w:color w:val="000000"/>
                    </w:rPr>
                  </w:pPr>
                  <w:r w:rsidRPr="003F6262">
                    <w:rPr>
                      <w:rFonts w:ascii="Verdana" w:hAnsi="Verdana" w:cs="Verdana"/>
                      <w:b/>
                      <w:bCs/>
                      <w:color w:val="000000"/>
                    </w:rPr>
                    <w:t xml:space="preserve"> </w:t>
                  </w:r>
                </w:p>
              </w:tc>
              <w:tc>
                <w:tcPr>
                  <w:tcW w:w="0" w:type="auto"/>
                </w:tcPr>
                <w:p w:rsidR="003F6262" w:rsidRPr="003F6262" w:rsidRDefault="003F6262" w:rsidP="003F6262">
                  <w:pPr>
                    <w:autoSpaceDE w:val="0"/>
                    <w:autoSpaceDN w:val="0"/>
                    <w:adjustRightInd w:val="0"/>
                    <w:spacing w:after="0" w:line="240" w:lineRule="auto"/>
                    <w:rPr>
                      <w:rFonts w:ascii="Verdana" w:hAnsi="Verdana" w:cs="Verdana"/>
                      <w:color w:val="000000"/>
                    </w:rPr>
                  </w:pPr>
                </w:p>
              </w:tc>
            </w:tr>
          </w:tbl>
          <w:p w:rsidR="003F6262" w:rsidRDefault="003F6262" w:rsidP="003F6262">
            <w:pPr>
              <w:spacing w:line="276" w:lineRule="auto"/>
              <w:jc w:val="both"/>
            </w:pPr>
          </w:p>
        </w:tc>
        <w:tc>
          <w:tcPr>
            <w:tcW w:w="2266" w:type="dxa"/>
            <w:vAlign w:val="center"/>
          </w:tcPr>
          <w:p w:rsidR="003F6262" w:rsidRDefault="003F6262" w:rsidP="003F6262">
            <w:pPr>
              <w:spacing w:line="276" w:lineRule="auto"/>
              <w:jc w:val="both"/>
            </w:pPr>
            <w:r>
              <w:rPr>
                <w:rFonts w:ascii="Verdana" w:hAnsi="Verdana" w:cs="Verdana"/>
                <w:b/>
                <w:bCs/>
                <w:color w:val="000000"/>
              </w:rPr>
              <w:t xml:space="preserve">Współfinansowanie publiczne </w:t>
            </w:r>
          </w:p>
        </w:tc>
        <w:tc>
          <w:tcPr>
            <w:tcW w:w="2266" w:type="dxa"/>
            <w:vAlign w:val="center"/>
          </w:tcPr>
          <w:p w:rsidR="003F6262" w:rsidRDefault="003F6262" w:rsidP="003F6262">
            <w:pPr>
              <w:spacing w:line="276" w:lineRule="auto"/>
              <w:jc w:val="both"/>
            </w:pPr>
            <w:r>
              <w:rPr>
                <w:rFonts w:ascii="Verdana" w:hAnsi="Verdana" w:cs="Verdana"/>
                <w:b/>
                <w:bCs/>
                <w:color w:val="000000"/>
              </w:rPr>
              <w:t xml:space="preserve">Suma Kosztów </w:t>
            </w:r>
          </w:p>
        </w:tc>
      </w:tr>
      <w:tr w:rsidR="003F6262" w:rsidTr="003F6262">
        <w:tc>
          <w:tcPr>
            <w:tcW w:w="2265" w:type="dxa"/>
            <w:vMerge/>
            <w:vAlign w:val="center"/>
          </w:tcPr>
          <w:p w:rsidR="003F6262" w:rsidRDefault="003F6262" w:rsidP="003F6262">
            <w:pPr>
              <w:spacing w:line="276" w:lineRule="auto"/>
              <w:jc w:val="both"/>
            </w:pPr>
          </w:p>
        </w:tc>
        <w:tc>
          <w:tcPr>
            <w:tcW w:w="2265" w:type="dxa"/>
            <w:vAlign w:val="center"/>
          </w:tcPr>
          <w:p w:rsidR="003F6262" w:rsidRDefault="003F6262" w:rsidP="003F6262">
            <w:pPr>
              <w:pStyle w:val="Default"/>
              <w:jc w:val="both"/>
            </w:pPr>
            <w:r>
              <w:rPr>
                <w:i/>
                <w:iCs/>
                <w:sz w:val="22"/>
                <w:szCs w:val="22"/>
              </w:rPr>
              <w:t xml:space="preserve">449,277.49€ </w:t>
            </w:r>
          </w:p>
          <w:p w:rsidR="003F6262" w:rsidRDefault="003F6262" w:rsidP="003F6262">
            <w:pPr>
              <w:spacing w:line="276" w:lineRule="auto"/>
              <w:jc w:val="both"/>
            </w:pPr>
          </w:p>
        </w:tc>
        <w:tc>
          <w:tcPr>
            <w:tcW w:w="2266" w:type="dxa"/>
            <w:vAlign w:val="center"/>
          </w:tcPr>
          <w:p w:rsidR="003F6262" w:rsidRDefault="003F6262" w:rsidP="003F6262">
            <w:pPr>
              <w:pStyle w:val="Default"/>
              <w:jc w:val="both"/>
            </w:pPr>
            <w:r>
              <w:rPr>
                <w:i/>
                <w:iCs/>
                <w:sz w:val="22"/>
                <w:szCs w:val="22"/>
              </w:rPr>
              <w:t xml:space="preserve">94,541.91€ </w:t>
            </w:r>
          </w:p>
          <w:p w:rsidR="003F6262" w:rsidRDefault="003F6262" w:rsidP="003F6262">
            <w:pPr>
              <w:spacing w:line="276" w:lineRule="auto"/>
              <w:jc w:val="both"/>
            </w:pPr>
          </w:p>
        </w:tc>
        <w:tc>
          <w:tcPr>
            <w:tcW w:w="2266" w:type="dxa"/>
            <w:vAlign w:val="center"/>
          </w:tcPr>
          <w:p w:rsidR="003F6262" w:rsidRDefault="003F6262" w:rsidP="003F6262">
            <w:pPr>
              <w:pStyle w:val="Default"/>
              <w:jc w:val="both"/>
            </w:pPr>
            <w:r>
              <w:rPr>
                <w:i/>
                <w:iCs/>
                <w:sz w:val="22"/>
                <w:szCs w:val="22"/>
              </w:rPr>
              <w:t xml:space="preserve">543,819.40€ </w:t>
            </w:r>
          </w:p>
          <w:p w:rsidR="003F6262" w:rsidRDefault="003F6262" w:rsidP="003F6262">
            <w:pPr>
              <w:spacing w:line="276" w:lineRule="auto"/>
              <w:jc w:val="both"/>
            </w:pPr>
          </w:p>
        </w:tc>
      </w:tr>
    </w:tbl>
    <w:p w:rsidR="003F6262" w:rsidRDefault="003F6262" w:rsidP="003F6262">
      <w:pPr>
        <w:spacing w:after="0" w:line="276" w:lineRule="auto"/>
        <w:jc w:val="both"/>
      </w:pPr>
    </w:p>
    <w:p w:rsidR="003F6262" w:rsidRDefault="003F6262" w:rsidP="003F6262">
      <w:pPr>
        <w:pStyle w:val="Akapitzlist"/>
        <w:numPr>
          <w:ilvl w:val="0"/>
          <w:numId w:val="2"/>
        </w:numPr>
        <w:spacing w:after="0" w:line="276" w:lineRule="auto"/>
        <w:jc w:val="both"/>
      </w:pPr>
      <w:r>
        <w:t>Zgodnie z Artykułem 120 Rozporządzenia (UE) nr 1303/2013 oraz rozdziałem 5.3 Programu Operacyjnego URBACT III miasta będą finansowane z EFRR w następujący sposób:</w:t>
      </w:r>
    </w:p>
    <w:p w:rsidR="003F6262" w:rsidRDefault="003F6262" w:rsidP="003F6262">
      <w:pPr>
        <w:pStyle w:val="Akapitzlist"/>
        <w:numPr>
          <w:ilvl w:val="1"/>
          <w:numId w:val="2"/>
        </w:numPr>
        <w:spacing w:after="0" w:line="276" w:lineRule="auto"/>
        <w:jc w:val="both"/>
      </w:pPr>
      <w:r>
        <w:t>Partnerzy z „bardziej rozwiniętych” regionów będą współfinansowani do 70% z EFRR</w:t>
      </w:r>
    </w:p>
    <w:p w:rsidR="003F6262" w:rsidRDefault="003F6262" w:rsidP="003F6262">
      <w:pPr>
        <w:pStyle w:val="Akapitzlist"/>
        <w:numPr>
          <w:ilvl w:val="1"/>
          <w:numId w:val="2"/>
        </w:numPr>
        <w:spacing w:after="0" w:line="276" w:lineRule="auto"/>
        <w:jc w:val="both"/>
      </w:pPr>
      <w:r>
        <w:t>Partnerzy z regionów „słabiej rozwiniętych” i „w okresie przejściowym” będą współfinansowani do 85% z EFRR</w:t>
      </w:r>
    </w:p>
    <w:p w:rsidR="003F6262" w:rsidRDefault="003F6262" w:rsidP="003F6262">
      <w:pPr>
        <w:pStyle w:val="Akapitzlist"/>
        <w:spacing w:after="0" w:line="276" w:lineRule="auto"/>
        <w:ind w:left="1080"/>
        <w:jc w:val="both"/>
      </w:pPr>
    </w:p>
    <w:p w:rsidR="003F6262" w:rsidRDefault="003F6262" w:rsidP="003F6262">
      <w:pPr>
        <w:pStyle w:val="Akapitzlist"/>
        <w:numPr>
          <w:ilvl w:val="0"/>
          <w:numId w:val="2"/>
        </w:numPr>
        <w:spacing w:after="0" w:line="276" w:lineRule="auto"/>
        <w:jc w:val="both"/>
      </w:pPr>
      <w:r>
        <w:t>Warunkiem wypłaty dotacji jest udostępnienie środków przez Komisję Europejską w wyżej opisanym zakresie.</w:t>
      </w:r>
    </w:p>
    <w:p w:rsidR="003F6262" w:rsidRDefault="003F6262" w:rsidP="003F6262">
      <w:pPr>
        <w:pStyle w:val="Akapitzlist"/>
        <w:spacing w:after="0" w:line="276" w:lineRule="auto"/>
        <w:ind w:left="360"/>
        <w:jc w:val="both"/>
      </w:pPr>
    </w:p>
    <w:p w:rsidR="003F6262" w:rsidRDefault="003F6262" w:rsidP="003F6262">
      <w:pPr>
        <w:pStyle w:val="Akapitzlist"/>
        <w:numPr>
          <w:ilvl w:val="0"/>
          <w:numId w:val="2"/>
        </w:numPr>
        <w:spacing w:after="0" w:line="276" w:lineRule="auto"/>
        <w:jc w:val="both"/>
      </w:pPr>
      <w:r>
        <w:t>Jeżeli Komisja Europejska nie udostępni środków, Instytucja Zarządzająca będzie uprawniona do wstrzymania płatności tak długo, jak jest to konieczne lub, jako ostateczne narzędzie, do odstąpienia od niniejszej umowy i wszelkich roszczeń Partnera Wiodącego wobec Zarządzającego Władza z jakiegokolwiek powodu zostanie wykluczona.</w:t>
      </w:r>
    </w:p>
    <w:p w:rsidR="003F6262" w:rsidRDefault="003F6262" w:rsidP="003F6262">
      <w:pPr>
        <w:pStyle w:val="Akapitzlist"/>
      </w:pPr>
    </w:p>
    <w:p w:rsidR="003F6262" w:rsidRDefault="003F6262" w:rsidP="003F6262">
      <w:pPr>
        <w:pStyle w:val="Akapitzlist"/>
        <w:numPr>
          <w:ilvl w:val="0"/>
          <w:numId w:val="2"/>
        </w:numPr>
        <w:spacing w:after="0" w:line="276" w:lineRule="auto"/>
        <w:jc w:val="both"/>
      </w:pPr>
      <w:r>
        <w:t>Wypłata dotacji jest uzależniona od podpisania niniejszej umowy o dotację przez wszystkie strony tej umowy.</w:t>
      </w:r>
    </w:p>
    <w:p w:rsidR="003F6262" w:rsidRDefault="003F6262" w:rsidP="003F6262">
      <w:pPr>
        <w:pStyle w:val="Akapitzlist"/>
      </w:pPr>
    </w:p>
    <w:p w:rsidR="003F6262" w:rsidRDefault="003F6262" w:rsidP="003F6262">
      <w:pPr>
        <w:pStyle w:val="Akapitzlist"/>
        <w:numPr>
          <w:ilvl w:val="0"/>
          <w:numId w:val="2"/>
        </w:numPr>
        <w:spacing w:after="0" w:line="276" w:lineRule="auto"/>
        <w:jc w:val="both"/>
      </w:pPr>
      <w:r>
        <w:t>Wypłata dotacji będzie uzależniona od przeprowadzenia krajowego procesu kontroli pierwszego stopnia (art. 125 ust. 4 rozporządzenia (UE) nr 1303/2013).</w:t>
      </w:r>
    </w:p>
    <w:p w:rsidR="003F6262" w:rsidRDefault="003F6262" w:rsidP="003F6262">
      <w:pPr>
        <w:pStyle w:val="Akapitzlist"/>
      </w:pPr>
    </w:p>
    <w:p w:rsidR="003F6262" w:rsidRPr="003F6262" w:rsidRDefault="003F6262" w:rsidP="003F6262">
      <w:pPr>
        <w:spacing w:after="0" w:line="276" w:lineRule="auto"/>
        <w:jc w:val="center"/>
        <w:rPr>
          <w:b/>
          <w:sz w:val="24"/>
        </w:rPr>
      </w:pPr>
      <w:r w:rsidRPr="003F6262">
        <w:rPr>
          <w:b/>
          <w:sz w:val="24"/>
        </w:rPr>
        <w:t>Artykuł 2 - Cel użytkowania, kwalifikowalność wydatków, realokacja i przeprogramowanie</w:t>
      </w:r>
    </w:p>
    <w:p w:rsidR="003F6262" w:rsidRDefault="003F6262" w:rsidP="003F6262">
      <w:pPr>
        <w:pStyle w:val="Akapitzlist"/>
        <w:numPr>
          <w:ilvl w:val="0"/>
          <w:numId w:val="3"/>
        </w:numPr>
        <w:spacing w:after="0" w:line="276" w:lineRule="auto"/>
        <w:jc w:val="both"/>
      </w:pPr>
      <w:r>
        <w:t xml:space="preserve">Dotacja przyznawana jest wyłącznie Partnerowi Wiodącemu na realizację projektu zgodnie </w:t>
      </w:r>
      <w:r>
        <w:br/>
        <w:t xml:space="preserve">z najnowszą wersją Wniosku o dofinansowanie zaakceptowaną przez Komitet Monitorujący. Decyzja zatwierdzająca wraz z załącznikami stanowi integralną część niniejszej umowy </w:t>
      </w:r>
      <w:r>
        <w:br/>
        <w:t>o dofinansowanie.</w:t>
      </w:r>
    </w:p>
    <w:p w:rsidR="003F6262" w:rsidRDefault="003F6262" w:rsidP="003F6262">
      <w:pPr>
        <w:pStyle w:val="Akapitzlist"/>
        <w:spacing w:after="0" w:line="276" w:lineRule="auto"/>
        <w:ind w:left="360"/>
        <w:jc w:val="both"/>
      </w:pPr>
    </w:p>
    <w:p w:rsidR="00A9388B" w:rsidRDefault="003F6262" w:rsidP="00A9388B">
      <w:pPr>
        <w:pStyle w:val="Akapitzlist"/>
        <w:numPr>
          <w:ilvl w:val="0"/>
          <w:numId w:val="3"/>
        </w:numPr>
        <w:spacing w:after="0" w:line="276" w:lineRule="auto"/>
        <w:jc w:val="both"/>
      </w:pPr>
      <w:r>
        <w:t xml:space="preserve">Koszty projektu kwalifikujące się do dofinansowania to wyłącznie koszty kwalifikowalne projektu wymienione we wniosku aplikacyjnym zatwierdzonym przez Komitet Monitorujący. </w:t>
      </w:r>
      <w:r w:rsidRPr="003F6262">
        <w:t>Kwalifikowalność kosztów projektu do współfinansowania z Europejskiego Funduszu Rozwoju Regionalnego jest uregulowana w Rozporządzeniu Delegowanym KE (UE) nr 481/2014, krajowych przepisach i zasadach określonych w najnowszej wersji Podręcznika Programu URBACT III Arkusz informacyjny 2F. W przypadku sprzeczności pomiędzy powyższymi zasadami obowiązuje zasada surowsza.</w:t>
      </w:r>
    </w:p>
    <w:p w:rsidR="00A9388B" w:rsidRDefault="00A9388B" w:rsidP="00A9388B">
      <w:pPr>
        <w:pStyle w:val="Akapitzlist"/>
      </w:pPr>
    </w:p>
    <w:p w:rsidR="00A9388B" w:rsidRDefault="00A9388B" w:rsidP="00A9388B">
      <w:pPr>
        <w:pStyle w:val="Akapitzlist"/>
        <w:numPr>
          <w:ilvl w:val="0"/>
          <w:numId w:val="3"/>
        </w:numPr>
        <w:spacing w:after="0" w:line="276" w:lineRule="auto"/>
        <w:jc w:val="both"/>
      </w:pPr>
      <w:r>
        <w:t>Aby koszty zostały uznane za kwalifikowalne, muszą:</w:t>
      </w:r>
    </w:p>
    <w:p w:rsidR="00A9388B" w:rsidRDefault="00A9388B" w:rsidP="00A9388B">
      <w:pPr>
        <w:pStyle w:val="Akapitzlist"/>
        <w:numPr>
          <w:ilvl w:val="0"/>
          <w:numId w:val="4"/>
        </w:numPr>
      </w:pPr>
      <w:r>
        <w:t>być bezpośrednio powiązany z planem pracy przedstawionym we wniosku aplikacyjnym zatwierdzonym przez Komitet Monitorujący;</w:t>
      </w:r>
    </w:p>
    <w:p w:rsidR="00A9388B" w:rsidRDefault="00A9388B" w:rsidP="00A9388B">
      <w:pPr>
        <w:pStyle w:val="Akapitzlist"/>
        <w:numPr>
          <w:ilvl w:val="0"/>
          <w:numId w:val="4"/>
        </w:numPr>
      </w:pPr>
      <w:r>
        <w:t>być niezbędne do realizacji projektu objętego umową o dofinansowanie;</w:t>
      </w:r>
    </w:p>
    <w:p w:rsidR="00A9388B" w:rsidRDefault="00A9388B" w:rsidP="00A9388B">
      <w:pPr>
        <w:pStyle w:val="Akapitzlist"/>
        <w:numPr>
          <w:ilvl w:val="0"/>
          <w:numId w:val="4"/>
        </w:numPr>
      </w:pPr>
      <w:r>
        <w:t>być rozsądne i przestrzegać zasad należytego zarządzania finansami, w szczególności opłacalności i efektywności kosztowej;</w:t>
      </w:r>
    </w:p>
    <w:p w:rsidR="00A9388B" w:rsidRDefault="00A9388B" w:rsidP="00A9388B">
      <w:pPr>
        <w:pStyle w:val="Akapitzlist"/>
        <w:numPr>
          <w:ilvl w:val="0"/>
          <w:numId w:val="4"/>
        </w:numPr>
      </w:pPr>
      <w:r>
        <w:t>zostały opłacone, poświadczone i zadeklarowane przez partnerów w okresie kwalifikowalności projektu;</w:t>
      </w:r>
    </w:p>
    <w:p w:rsidR="00A9388B" w:rsidRDefault="00A9388B" w:rsidP="00A9388B">
      <w:pPr>
        <w:pStyle w:val="Akapitzlist"/>
        <w:numPr>
          <w:ilvl w:val="0"/>
          <w:numId w:val="4"/>
        </w:numPr>
      </w:pPr>
      <w:r>
        <w:t>zostały faktycznie poniesione, zaksięgowane na rachunkach lub dokumentach podatkowych beneficjentów oraz możliwe do zidentyfikowania i kontroli.</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3"/>
        </w:numPr>
        <w:spacing w:after="0" w:line="276" w:lineRule="auto"/>
        <w:jc w:val="both"/>
      </w:pPr>
      <w:r w:rsidRPr="00A9388B">
        <w:t>Działania projektowe są kwalifikowalne, jeśli są realizowane od daty rozpoczęcia projektu (14 czerwca 2021 r.) do daty zakończenia (31 grudnia 2022 r.) wskazanej we wniosku aplikacyjnym. Oprócz okresu realizacji projektu kwalifikowalne są działania związane z działaniami w zakresie rozpowszechniania projektu oraz zamknięciem finansowym i administracyjnym. Powiązane wydatki na działania projektowe są kwalifikowalne, jeśli zostały opłacone i poświadczone (przez Kontrolera Pierwszego Stopnia) od daty rozpoczęcia projektu do 3 miesięcy po dacie zakończenia wskazanej w Formularzu Wniosku (patrz Podręcznik Programu - Arkusz informacyjny 2F - Rozdział 1.3).</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3"/>
        </w:numPr>
        <w:spacing w:after="0" w:line="276" w:lineRule="auto"/>
        <w:jc w:val="both"/>
      </w:pPr>
      <w:r>
        <w:t xml:space="preserve">W trakcie realizacji sieci dopuszcza się realokację środków pomiędzy kategoriami budżetowymi </w:t>
      </w:r>
      <w:r>
        <w:br/>
        <w:t xml:space="preserve">a partnerami w wysokości do 20% kwot wskazanych w zatwierdzonym wniosku aplikacyjnym. </w:t>
      </w:r>
      <w:r>
        <w:br/>
        <w:t>W takim przypadku Partner Wiodący poinformuje Sekretariat URBACT o realokacji funduszy poprzez procedury regularnego raportowania oraz w sposób szczegółowy i uzasadniony (przyczyny realokacji funduszy, kategorii, linii budżetowych i zainteresowanych partnerów, PW w razie potrzeby zaktualizowane dokumenty uzupełniające).</w:t>
      </w:r>
    </w:p>
    <w:p w:rsidR="00A9388B" w:rsidRDefault="00A9388B" w:rsidP="00A9388B">
      <w:pPr>
        <w:pStyle w:val="Akapitzlist"/>
      </w:pPr>
    </w:p>
    <w:p w:rsidR="00A9388B" w:rsidRDefault="00A9388B" w:rsidP="00A9388B">
      <w:pPr>
        <w:pStyle w:val="Akapitzlist"/>
        <w:spacing w:after="0" w:line="276" w:lineRule="auto"/>
        <w:ind w:left="360"/>
        <w:jc w:val="both"/>
      </w:pPr>
      <w:r>
        <w:t xml:space="preserve">Partner Wiodący może również wnioskować o duże zmiany w budżecie (powyżej zasady elastyczności 20%). Takie duże zmiany obejmują również zmiany w partnerstwie, działaniach </w:t>
      </w:r>
      <w:r>
        <w:br/>
        <w:t>i wynikach podczas wdrażania sieci. Większe zmiany wymagają oficjalnego zatwierdzenia przez Komitet Monitorujący, zanim zaczną obowiązywać (patrz Podręcznik programu – Arkusz informacyjny 2E – Rozdział 5 Procedura przeprogramowania). W stosownych przypadkach może to również wymagać zmiany niniejszej Umowy o Dofinansowanie.</w:t>
      </w:r>
    </w:p>
    <w:p w:rsidR="00A9388B" w:rsidRDefault="00A9388B" w:rsidP="00A9388B">
      <w:pPr>
        <w:pStyle w:val="Akapitzlist"/>
        <w:spacing w:after="0" w:line="276" w:lineRule="auto"/>
        <w:ind w:left="360"/>
        <w:jc w:val="both"/>
      </w:pPr>
    </w:p>
    <w:p w:rsidR="00A9388B" w:rsidRPr="00A9388B" w:rsidRDefault="00A9388B" w:rsidP="00A9388B">
      <w:pPr>
        <w:pStyle w:val="Akapitzlist"/>
        <w:spacing w:after="0" w:line="276" w:lineRule="auto"/>
        <w:ind w:left="360"/>
        <w:jc w:val="center"/>
        <w:rPr>
          <w:b/>
          <w:sz w:val="24"/>
        </w:rPr>
      </w:pPr>
      <w:r w:rsidRPr="00A9388B">
        <w:rPr>
          <w:b/>
          <w:sz w:val="24"/>
        </w:rPr>
        <w:t>Artykuł 3 - Wniosek o płatność</w:t>
      </w:r>
    </w:p>
    <w:p w:rsidR="00A9388B" w:rsidRDefault="00A9388B" w:rsidP="00A9388B">
      <w:pPr>
        <w:pStyle w:val="Akapitzlist"/>
        <w:numPr>
          <w:ilvl w:val="0"/>
          <w:numId w:val="5"/>
        </w:numPr>
        <w:spacing w:after="0" w:line="276" w:lineRule="auto"/>
        <w:jc w:val="both"/>
      </w:pPr>
      <w:r>
        <w:t xml:space="preserve">Partner Wiodący może zażądać płatności jedynie poprzez przedstawienie dowodu postępu projektu zgodnie z opisem w zatwierdzonym Formularzu Wniosku. Dlatego też Partner Wiodący musi przedstawić dokumenty sprawozdawcze Instytucji Zarządzającej / Sekretariatowi URBACT, zgodnie z procedurami określonymi w Podręczniku Programu (Arkusz Informacyjny 2E - Rozdział 4) oraz zgodnie z harmonogramem przedstawionym w Przewodniku do Sieci Transferu Druga Fala. Instytucja Zarządzająca / Sekretariat URBACT zapewni szablony w Systemie Monitorowania SYNERGIE-CTE. Dokumenty sprawozdawcze należy wypełnić w formacie przewidzianym </w:t>
      </w:r>
      <w:r>
        <w:br/>
        <w:t>w SYNERGIE-CTE. Wszelkie inne formaty nie będą uznane za akceptowalne przez Instytucję Zarządzającą / Sekretariat URBACT.</w:t>
      </w:r>
    </w:p>
    <w:p w:rsidR="00A9388B" w:rsidRDefault="00A9388B" w:rsidP="00A9388B">
      <w:pPr>
        <w:pStyle w:val="Akapitzlist"/>
        <w:numPr>
          <w:ilvl w:val="0"/>
          <w:numId w:val="5"/>
        </w:numPr>
        <w:spacing w:after="0" w:line="276" w:lineRule="auto"/>
        <w:jc w:val="both"/>
      </w:pPr>
      <w:r>
        <w:lastRenderedPageBreak/>
        <w:t>We wniosku o płatność należy złożyć następujące dokumenty obowiązkowe:</w:t>
      </w:r>
    </w:p>
    <w:p w:rsidR="00A9388B" w:rsidRDefault="00A9388B" w:rsidP="00A9388B">
      <w:pPr>
        <w:pStyle w:val="Akapitzlist"/>
        <w:numPr>
          <w:ilvl w:val="0"/>
          <w:numId w:val="6"/>
        </w:numPr>
        <w:spacing w:after="0" w:line="276" w:lineRule="auto"/>
        <w:jc w:val="both"/>
      </w:pPr>
      <w:r>
        <w:t xml:space="preserve">Dokument wniosku o płatność podpisany i ostemplowany przez LP - skan do wysłania </w:t>
      </w:r>
      <w:r>
        <w:br/>
        <w:t>e-mailem;</w:t>
      </w:r>
    </w:p>
    <w:p w:rsidR="00A9388B" w:rsidRDefault="00A9388B" w:rsidP="00A9388B">
      <w:pPr>
        <w:pStyle w:val="Akapitzlist"/>
        <w:numPr>
          <w:ilvl w:val="0"/>
          <w:numId w:val="6"/>
        </w:numPr>
        <w:spacing w:after="0" w:line="276" w:lineRule="auto"/>
        <w:jc w:val="both"/>
      </w:pPr>
      <w:r>
        <w:t>Poświadczenia wydatków i związane z nimi listy kontrolne poświadczonych wydatków dostarczone i podpisane przez kontrolerów pierwszego stopnia – skan do wysłania e-mailem;</w:t>
      </w:r>
    </w:p>
    <w:p w:rsidR="00A9388B" w:rsidRDefault="00A9388B" w:rsidP="00A9388B">
      <w:pPr>
        <w:pStyle w:val="Akapitzlist"/>
        <w:numPr>
          <w:ilvl w:val="0"/>
          <w:numId w:val="6"/>
        </w:numPr>
        <w:spacing w:after="0" w:line="276" w:lineRule="auto"/>
        <w:jc w:val="both"/>
      </w:pPr>
      <w:r>
        <w:t>Podpisany i opieczętowany raport z postępu prac — skan do wysłania pocztą elektroniczną. Sprawozdanie z postępów składa się z:</w:t>
      </w:r>
    </w:p>
    <w:p w:rsidR="00A9388B" w:rsidRDefault="00A9388B" w:rsidP="00A9388B">
      <w:pPr>
        <w:pStyle w:val="Akapitzlist"/>
        <w:spacing w:after="0" w:line="276" w:lineRule="auto"/>
        <w:jc w:val="both"/>
      </w:pPr>
    </w:p>
    <w:p w:rsidR="00A9388B" w:rsidRDefault="00A9388B" w:rsidP="00A9388B">
      <w:pPr>
        <w:pStyle w:val="Akapitzlist"/>
        <w:spacing w:after="0" w:line="276" w:lineRule="auto"/>
        <w:ind w:left="360"/>
        <w:jc w:val="both"/>
      </w:pPr>
      <w:r>
        <w:t xml:space="preserve">- Część zadaniowa: związana z działaniami realizowanymi w rozpatrywanym roku, zaangażowaniem partnerów, napotkanymi problemami, przewidywanymi rozwiązaniami, rezultatami i opóźnieniami. Ta część powinna być spójna z działaniami, celami, produktami </w:t>
      </w:r>
      <w:r>
        <w:br/>
        <w:t>i harmonogramem opisanymi w formularzu wniosku. Należy wyjaśnić wszystkie odstępstwa od planu pracy.</w:t>
      </w:r>
    </w:p>
    <w:p w:rsidR="00A9388B" w:rsidRDefault="00A9388B" w:rsidP="00A9388B">
      <w:pPr>
        <w:pStyle w:val="Akapitzlist"/>
        <w:spacing w:after="0" w:line="276" w:lineRule="auto"/>
        <w:ind w:left="360"/>
        <w:jc w:val="both"/>
      </w:pPr>
    </w:p>
    <w:p w:rsidR="00A9388B" w:rsidRDefault="00A9388B" w:rsidP="00A9388B">
      <w:pPr>
        <w:pStyle w:val="Akapitzlist"/>
        <w:spacing w:after="0" w:line="276" w:lineRule="auto"/>
        <w:ind w:left="360"/>
        <w:jc w:val="both"/>
      </w:pPr>
      <w:r>
        <w:t xml:space="preserve">- Część finansowa: związana z wydatkami poniesionymi w danym roku, według linii budżetowych </w:t>
      </w:r>
      <w:r>
        <w:br/>
        <w:t>i partnera projektu. Część finansowa obejmuje również skumulowane kwoty wydatków zadeklarowanych w poprzednich Raportach z postępu prac oraz pozostały budżet.</w:t>
      </w:r>
    </w:p>
    <w:p w:rsidR="00A9388B" w:rsidRDefault="00A9388B" w:rsidP="00A9388B">
      <w:pPr>
        <w:pStyle w:val="Akapitzlist"/>
        <w:spacing w:after="0" w:line="276" w:lineRule="auto"/>
        <w:ind w:left="360"/>
        <w:jc w:val="both"/>
      </w:pPr>
    </w:p>
    <w:p w:rsidR="00A9388B" w:rsidRDefault="00A9388B" w:rsidP="00A9388B">
      <w:pPr>
        <w:pStyle w:val="Akapitzlist"/>
        <w:spacing w:after="0" w:line="276" w:lineRule="auto"/>
        <w:ind w:left="360"/>
        <w:jc w:val="both"/>
      </w:pPr>
      <w:r>
        <w:t>Wraz z obowiązkowymi dokumentami sprawozdawczymi wymienionymi powyżej, Partnerzy Wiodący są również proszeni o dostarczenie odpowiednich dokumentów związanych z działaniami zgłoszonymi jako wykonane w okresie, na przykład: agendy i listy obecności ze spotkań, raporty, blogi lub inne wyniki z danego okresu sprawozdawczego .</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5"/>
        </w:numPr>
        <w:spacing w:after="0" w:line="276" w:lineRule="auto"/>
        <w:jc w:val="both"/>
      </w:pPr>
      <w:r>
        <w:t xml:space="preserve">Partner wiodący jest zobowiązany do składania oficjalnych sprawozdań z działalności w ramach projektu, jak określono w Przewodniku po sieciach transferowych druga fala (strona 18). Zatwierdzone projekty będą musiały składać oficjalne sprawozdania z działalności projektowej dwukrotnie w trakcie trwania projektu. Dwa okresy są ustalone dla raportowania projektu </w:t>
      </w:r>
      <w:r>
        <w:br/>
        <w:t>w następujący sposób</w:t>
      </w:r>
    </w:p>
    <w:p w:rsidR="00A9388B" w:rsidRDefault="00A9388B" w:rsidP="00A9388B">
      <w:pPr>
        <w:pStyle w:val="Akapitzlist"/>
        <w:numPr>
          <w:ilvl w:val="1"/>
          <w:numId w:val="5"/>
        </w:numPr>
        <w:spacing w:after="0" w:line="276" w:lineRule="auto"/>
        <w:jc w:val="both"/>
      </w:pPr>
      <w:r>
        <w:t>14 czerwca 2021 - 31 grudnia 2021 (termin składania 31 marca 2022)</w:t>
      </w:r>
    </w:p>
    <w:p w:rsidR="00A9388B" w:rsidRDefault="00A9388B" w:rsidP="00A9388B">
      <w:pPr>
        <w:pStyle w:val="Akapitzlist"/>
        <w:numPr>
          <w:ilvl w:val="1"/>
          <w:numId w:val="5"/>
        </w:numPr>
        <w:spacing w:after="0" w:line="276" w:lineRule="auto"/>
        <w:jc w:val="both"/>
      </w:pPr>
      <w:r>
        <w:t>1 stycznia 2022 - 31 grudnia 2022 (termin składania 31 marca 2023).</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5"/>
        </w:numPr>
        <w:spacing w:after="0" w:line="276" w:lineRule="auto"/>
        <w:jc w:val="both"/>
      </w:pPr>
      <w:r w:rsidRPr="00A9388B">
        <w:t>Partner Wiodący będzie odpowiedzialny za zapewnienie, że wydatki zadeklarowane przez każdego partnera są poparte poświadczeniem i deklaracją wydatków. Partner Wiodący jest również odpowiedzialny za weryfikację i zapewnienie, że wszystkie poświadczenia i deklaracje wydatków otrzymane od partnerów są podpisane przez właściwego Kontrolera Pierwszego Stopnia wyznaczonego przez władze krajowe partnerów.</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5"/>
        </w:numPr>
        <w:spacing w:after="0" w:line="276" w:lineRule="auto"/>
        <w:jc w:val="both"/>
      </w:pPr>
      <w:r>
        <w:t xml:space="preserve">Sprawozdanie z postępów powinno zawierać dowody realizacji programu prac, jak zaplanowano w zatwierdzonym formularzu aplikacyjnym. Raport z postępów Umowa o dofinansowanie  będzie narzędziem wskaźnikowym, które umożliwia Instytucji Zarządzającej / Sekretariatowi URBACT sprawdzenie, czy zadeklarowane działania i wydatki są zgodne z zatwierdzonym programem pracy i budżetem w Formularzu Wniosku. Jeśli tak nie jest, Instytucja Zarządzająca / Sekretariat URBACT ma prawo odrzucić raport z postępu i w konsekwencji tymczasowo przerwać refundację </w:t>
      </w:r>
      <w:r>
        <w:lastRenderedPageBreak/>
        <w:t>Europejskiego Funduszu Rozwoju Regionalnego do czasu, gdy Partner Wiodący przedstawi dowody realizacji programu pracy, jak określono w Formularz zgłoszeniowy.</w:t>
      </w:r>
    </w:p>
    <w:p w:rsidR="00A9388B" w:rsidRDefault="00A9388B" w:rsidP="00A9388B">
      <w:pPr>
        <w:pStyle w:val="Akapitzlist"/>
      </w:pPr>
    </w:p>
    <w:p w:rsidR="00A9388B" w:rsidRDefault="00A9388B" w:rsidP="00A9388B">
      <w:pPr>
        <w:pStyle w:val="Akapitzlist"/>
        <w:numPr>
          <w:ilvl w:val="0"/>
          <w:numId w:val="5"/>
        </w:numPr>
        <w:spacing w:after="0" w:line="276" w:lineRule="auto"/>
        <w:jc w:val="both"/>
      </w:pPr>
      <w:r>
        <w:t xml:space="preserve">Każdy okres sprawozdawczy będzie rozpatrywany przez Sekretariat URBACT i będzie wypłacany </w:t>
      </w:r>
      <w:r>
        <w:br/>
        <w:t xml:space="preserve">na podstawie poświadczonych kosztów na partnera projektu. Instytucja Zarządzająca / Sekretariat URBACT jest uprawniona do wstrzymania wszelkich płatności EFRR do czasu wyjaśnienia wszystkich niejasnych kwestii związanych z wdrażaniem, zarządzaniem i sprawozdawczością, </w:t>
      </w:r>
      <w:r>
        <w:br/>
        <w:t xml:space="preserve">a także jest uprawniona do odliczenia wszelkich niekwalifikowalnych kosztów wykrytych podczas procesu certyfikacji i w rezultacie proporcjonalnego zmniejszenia należnego EFRR do projektu. </w:t>
      </w:r>
      <w:r>
        <w:br/>
        <w:t xml:space="preserve">Po dokonaniu płatności należnej projektowi, Partner Wiodący będzie odpowiedzialny </w:t>
      </w:r>
      <w:r>
        <w:br/>
        <w:t>za przekazanie odpowiedniej kwoty EFRR partnerom projektu. Płatności na rzecz partnerów projektów (kwoty i terminy) należy wpisać w SYNERGIE CTE, a następnie partnerzy wprowadzą datę otrzymania płatności z EFRR na swoje konto bankowe.</w:t>
      </w:r>
    </w:p>
    <w:p w:rsidR="00A9388B" w:rsidRDefault="00A9388B" w:rsidP="00A9388B">
      <w:pPr>
        <w:pStyle w:val="Akapitzlist"/>
      </w:pPr>
    </w:p>
    <w:p w:rsidR="00A9388B" w:rsidRDefault="00A9388B" w:rsidP="00A9388B">
      <w:pPr>
        <w:pStyle w:val="Akapitzlist"/>
        <w:spacing w:after="0" w:line="276" w:lineRule="auto"/>
        <w:ind w:left="360"/>
        <w:jc w:val="both"/>
      </w:pPr>
      <w:r>
        <w:t>Dla każdego okresu sprawozdawczego Partner Wiodący w mieszanym systemie zarządzania przekaże szczegóły dotyczące redystrybucji kosztów dzielonych za dany okres w formie konkretnego dokumentu zawierającego informacje dotyczące kwot i podziału na kategorie budżetowe i na partnera, z uwzględnieniem projekt dzielił koszty i wszelkie przelewy pieniężne.</w:t>
      </w:r>
    </w:p>
    <w:p w:rsidR="00A9388B" w:rsidRDefault="00A9388B" w:rsidP="00A9388B">
      <w:pPr>
        <w:pStyle w:val="Akapitzlist"/>
        <w:spacing w:after="0" w:line="276" w:lineRule="auto"/>
        <w:ind w:left="360"/>
        <w:jc w:val="both"/>
      </w:pPr>
      <w:r>
        <w:t>Na podstawie tych informacji Sekretariat URBACT obliczy kwotę EFRR należną projektowi. Płatność końcowa zostanie obliczona na podstawie informacji dostarczonych przez Partnera Wiodącego.</w:t>
      </w:r>
    </w:p>
    <w:p w:rsidR="00A9388B" w:rsidRDefault="00A9388B" w:rsidP="00A9388B">
      <w:pPr>
        <w:pStyle w:val="Akapitzlist"/>
        <w:spacing w:after="0" w:line="276" w:lineRule="auto"/>
        <w:ind w:left="360"/>
        <w:jc w:val="both"/>
      </w:pPr>
      <w:r>
        <w:t>W przypadku tej końcowej płatności Partner Wiodący będzie odpowiedzialny za przekazanie odpowiedniej kwoty EFRR partnerom projektu.</w:t>
      </w:r>
    </w:p>
    <w:p w:rsidR="00A9388B" w:rsidRDefault="00A9388B" w:rsidP="00A9388B">
      <w:pPr>
        <w:pStyle w:val="Akapitzlist"/>
      </w:pPr>
    </w:p>
    <w:p w:rsidR="00A9388B" w:rsidRDefault="00A9388B" w:rsidP="00A9388B">
      <w:pPr>
        <w:pStyle w:val="Akapitzlist"/>
        <w:numPr>
          <w:ilvl w:val="0"/>
          <w:numId w:val="5"/>
        </w:numPr>
        <w:spacing w:after="0" w:line="276" w:lineRule="auto"/>
        <w:jc w:val="both"/>
      </w:pPr>
      <w:r>
        <w:t>W celu przestrzegania zobowiązań budżetowych w Programie Operacyjnym URBACT III oraz zgodnie z Artykułem 136 Rozporządzenia (UE) nr 1303/2013), Partner Wiodący musi wnioskować o płatności zgodnie z ramami czasowymi rocznego budżetu określonymi w Formularz wniosku projektowego (tabela 7.2).</w:t>
      </w:r>
    </w:p>
    <w:p w:rsidR="00A9388B" w:rsidRDefault="00A9388B" w:rsidP="00A9388B">
      <w:pPr>
        <w:pStyle w:val="Akapitzlist"/>
        <w:spacing w:after="0" w:line="276" w:lineRule="auto"/>
        <w:ind w:left="360"/>
        <w:jc w:val="both"/>
      </w:pPr>
    </w:p>
    <w:p w:rsidR="00A9388B" w:rsidRDefault="00A9388B" w:rsidP="00A9388B">
      <w:pPr>
        <w:pStyle w:val="Akapitzlist"/>
        <w:spacing w:after="0" w:line="276" w:lineRule="auto"/>
        <w:ind w:left="360"/>
        <w:jc w:val="both"/>
      </w:pPr>
      <w:r>
        <w:t>Nieprzestrzeganie rocznych celów zatwierdzonych w Formularzu Wniosku i ogólne niewykorzystanie środków może skutkować zmniejszeniem dotacji EFRR dla projektu, jeśli program zostanie anulowany w wyniku słabej realizacji projektu.</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5"/>
        </w:numPr>
        <w:spacing w:after="0" w:line="276" w:lineRule="auto"/>
        <w:jc w:val="both"/>
      </w:pPr>
      <w:r>
        <w:t xml:space="preserve">Zgodnie z art. 21 Rozporządzenia (UE) nr 1299/2013 zgodnie z art. 132 Rozporządzenia (UE) </w:t>
      </w:r>
      <w:r>
        <w:br/>
        <w:t xml:space="preserve">nr 1303/2013 Instytucja Certyfikująca zapewnia, że ​​Partnerzy Wiodący otrzymują płatności </w:t>
      </w:r>
      <w:r>
        <w:br/>
        <w:t xml:space="preserve">z Europejskiego Funduszu Rozwoju Regionalnego lub wkłady krajowe tak szybko jest możliwe. </w:t>
      </w:r>
      <w:r>
        <w:br/>
        <w:t>W przypadku wykrycia błędów systemowych Instytucja Zarządzająca i Instytucja Certyfikująca mają prawo do czasowego wstrzymania płatności na rzecz Partnera Wiodącego. Zawieszenie(-a) płatności zostanie zniesione, gdy tylko Instytucja Zarządzająca i Instytucja Certyfikująca otrzymają wystarczające dowody na rozwiązanie wykrytego błędu systemowego (błędów systemowych).</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5"/>
        </w:numPr>
        <w:spacing w:after="0" w:line="276" w:lineRule="auto"/>
        <w:jc w:val="both"/>
      </w:pPr>
      <w:r>
        <w:t xml:space="preserve">Środki będą wypłacane wyłącznie w euro (EUR; €) i niezwłocznie przekazywane na konto wskazane przez Partnera Wiodącego. Wszelkie ryzyko kursowe będzie ponoszone wyłącznie przez Partnera Wiodącego. Wszystkie zmiany w danych konta bankowego Partnera Wiodącego muszą być komunikowane Instytucji Zarządzającej / Sekretariatowi URBACT za pośrednictwem raportu z </w:t>
      </w:r>
      <w:r>
        <w:lastRenderedPageBreak/>
        <w:t>postępu w celu uniknięcia opóźnień w procesie refundacji. Wszelkie opłaty poniesione z powodu nieinformowanych zmian ponosi Partner Wiodący.</w:t>
      </w:r>
    </w:p>
    <w:p w:rsidR="00A9388B" w:rsidRDefault="00A9388B" w:rsidP="00A9388B">
      <w:pPr>
        <w:pStyle w:val="Akapitzlist"/>
      </w:pPr>
    </w:p>
    <w:p w:rsidR="00A9388B" w:rsidRDefault="00A9388B" w:rsidP="00A9388B">
      <w:pPr>
        <w:spacing w:after="0" w:line="276" w:lineRule="auto"/>
        <w:jc w:val="center"/>
        <w:rPr>
          <w:b/>
        </w:rPr>
      </w:pPr>
      <w:r w:rsidRPr="00A9388B">
        <w:rPr>
          <w:b/>
        </w:rPr>
        <w:t>Artykuł 4 - Partnerstwo projektowe</w:t>
      </w:r>
    </w:p>
    <w:p w:rsidR="00A9388B" w:rsidRPr="00A9388B" w:rsidRDefault="00A9388B" w:rsidP="00A9388B">
      <w:pPr>
        <w:spacing w:after="0" w:line="276" w:lineRule="auto"/>
        <w:jc w:val="center"/>
        <w:rPr>
          <w:b/>
        </w:rPr>
      </w:pPr>
    </w:p>
    <w:p w:rsidR="00A9388B" w:rsidRDefault="00A9388B" w:rsidP="00A9388B">
      <w:pPr>
        <w:pStyle w:val="Akapitzlist"/>
        <w:numPr>
          <w:ilvl w:val="0"/>
          <w:numId w:val="8"/>
        </w:numPr>
        <w:spacing w:after="0" w:line="276" w:lineRule="auto"/>
        <w:jc w:val="both"/>
      </w:pPr>
      <w:r>
        <w:t>Partnerzy są wymienieni w najnowszej zatwierdzonej wersji Formularza Zgłoszeniowego. Jedynie wydatki poniesione i poniesione przez organizacje wymienione jako partnerzy w zatwierdzonej najnowszej wersji formularza wniosku kwalifikują się do Europejskiego Funduszu Rozwoju Regionalnego.</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8"/>
        </w:numPr>
        <w:spacing w:after="0" w:line="276" w:lineRule="auto"/>
        <w:jc w:val="both"/>
      </w:pPr>
      <w:r>
        <w:t>Zgodnie z art. 13.2 rozporządzenia (UE) nr 1299/2013 partnerstwo jest regulowane umową (wspólną konwencją) podpisaną przez wszystkich partnerów.</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8"/>
        </w:numPr>
        <w:spacing w:after="0" w:line="276" w:lineRule="auto"/>
        <w:jc w:val="both"/>
      </w:pPr>
      <w:r>
        <w:t>Partnerzy projektu mogą opuścić projekt, dostarczając „pismo o anulowaniu” określające datę wycofania się. W przypadkach, gdy partnerzy nie uczestniczą regularnie w realizacji projektu (np. nieobecność na spotkaniach ponadnarodowych, brak odpowiedzi na wnioski ze strony Partnera Wiodącego), Partner Wiodący może usunąć partnera z projektu. Takie działanie powinno zostać omówione z innymi partnerami projektu i podjęte w odpowiednim czasie.</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8"/>
        </w:numPr>
        <w:spacing w:after="0" w:line="276" w:lineRule="auto"/>
        <w:jc w:val="both"/>
      </w:pPr>
      <w:r>
        <w:t>Po pierwsze, Partner Wiodący powinien wysłać oficjalne pismo ostrzegawcze do partnera projektu, oferując partnerowi projektu okres co najmniej 2 miesięcy na udzielenie odpowiedzi. Po tym ostrzeżeniu Partner Wiodący może poinformować partnera projektu oficjalnym listem o swojej decyzji o usunięciu partnera projektu z projektu.</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8"/>
        </w:numPr>
        <w:spacing w:after="0" w:line="276" w:lineRule="auto"/>
        <w:jc w:val="both"/>
      </w:pPr>
      <w:r>
        <w:t>W takim przypadku partner wiodący poda datę wycofania się, a partner projektu przedstawi końcowe poświadczenie wydatków poniesionych do tej daty, które zwykle nie powinny przekraczać kalkulacji proporcjonalnej w oparciu o czas, w którym byli zaangażowani w projekt.</w:t>
      </w:r>
    </w:p>
    <w:p w:rsidR="00A9388B" w:rsidRDefault="00A9388B" w:rsidP="00A9388B">
      <w:pPr>
        <w:pStyle w:val="Akapitzlist"/>
        <w:spacing w:after="0" w:line="276" w:lineRule="auto"/>
        <w:ind w:left="360"/>
        <w:jc w:val="both"/>
      </w:pPr>
    </w:p>
    <w:p w:rsidR="00A9388B" w:rsidRDefault="00A9388B" w:rsidP="00A9388B">
      <w:pPr>
        <w:pStyle w:val="Akapitzlist"/>
        <w:numPr>
          <w:ilvl w:val="0"/>
          <w:numId w:val="8"/>
        </w:numPr>
        <w:spacing w:after="0" w:line="276" w:lineRule="auto"/>
        <w:jc w:val="both"/>
      </w:pPr>
      <w:r>
        <w:t xml:space="preserve">Partner Wiodący uzgadnia z pozostałymi partnerami sposób wykorzystania udostępnionych zasobów. Zmiany zostaną zatwierdzone zgodnie z procedurą przeprogramowania opisaną </w:t>
      </w:r>
      <w:r>
        <w:br/>
        <w:t>w Arkuszu 2E Podręcznika Programu.</w:t>
      </w:r>
    </w:p>
    <w:p w:rsidR="0071459C" w:rsidRDefault="0071459C" w:rsidP="0071459C">
      <w:pPr>
        <w:spacing w:after="0" w:line="276" w:lineRule="auto"/>
        <w:jc w:val="both"/>
      </w:pPr>
    </w:p>
    <w:p w:rsidR="0071459C" w:rsidRPr="0071459C" w:rsidRDefault="0071459C" w:rsidP="0071459C">
      <w:pPr>
        <w:spacing w:after="0" w:line="276" w:lineRule="auto"/>
        <w:jc w:val="center"/>
        <w:rPr>
          <w:b/>
        </w:rPr>
      </w:pPr>
      <w:r w:rsidRPr="0071459C">
        <w:rPr>
          <w:b/>
        </w:rPr>
        <w:t>Artykuł 5 - Reprezentacja wspólników, odpowiedzialność</w:t>
      </w:r>
    </w:p>
    <w:p w:rsidR="0071459C" w:rsidRDefault="0071459C" w:rsidP="0071459C">
      <w:pPr>
        <w:pStyle w:val="Akapitzlist"/>
        <w:spacing w:after="0" w:line="276" w:lineRule="auto"/>
        <w:jc w:val="both"/>
      </w:pPr>
    </w:p>
    <w:p w:rsidR="0071459C" w:rsidRDefault="0071459C" w:rsidP="0071459C">
      <w:pPr>
        <w:pStyle w:val="Akapitzlist"/>
        <w:numPr>
          <w:ilvl w:val="0"/>
          <w:numId w:val="9"/>
        </w:numPr>
        <w:spacing w:after="0" w:line="276" w:lineRule="auto"/>
        <w:jc w:val="both"/>
      </w:pPr>
      <w:r>
        <w:t>Zgodnie z Artykułem 13 Rozporządzenia (UE) nr 1299/2013 oraz Podręcznikiem Programu URBACT III Arkusz informacyjny 2E sekcja 1, Partner Wiodący:</w:t>
      </w:r>
    </w:p>
    <w:p w:rsidR="0071459C" w:rsidRDefault="0071459C" w:rsidP="0071459C">
      <w:pPr>
        <w:pStyle w:val="Akapitzlist"/>
        <w:numPr>
          <w:ilvl w:val="1"/>
          <w:numId w:val="9"/>
        </w:numPr>
        <w:spacing w:after="0" w:line="276" w:lineRule="auto"/>
        <w:jc w:val="both"/>
      </w:pPr>
      <w:r>
        <w:t>odpowiadać za zapewnienie realizacji całego projektu</w:t>
      </w:r>
    </w:p>
    <w:p w:rsidR="0071459C" w:rsidRDefault="0071459C" w:rsidP="0071459C">
      <w:pPr>
        <w:pStyle w:val="Akapitzlist"/>
        <w:numPr>
          <w:ilvl w:val="1"/>
          <w:numId w:val="9"/>
        </w:numPr>
        <w:spacing w:after="0" w:line="276" w:lineRule="auto"/>
        <w:jc w:val="both"/>
      </w:pPr>
      <w:r>
        <w:t xml:space="preserve">odpowiadać za przekazanie Europejskiego Funduszu Rozwoju Regionalnego partnerom uczestniczącym w projekcie jak najszybciej po otrzymaniu płatności </w:t>
      </w:r>
      <w:r>
        <w:br/>
        <w:t>od Instytucji Certyfikującej.</w:t>
      </w:r>
    </w:p>
    <w:p w:rsidR="0071459C" w:rsidRDefault="0071459C" w:rsidP="0071459C">
      <w:pPr>
        <w:spacing w:after="0" w:line="276" w:lineRule="auto"/>
        <w:jc w:val="both"/>
      </w:pPr>
    </w:p>
    <w:p w:rsidR="0071459C" w:rsidRDefault="0071459C" w:rsidP="0071459C">
      <w:pPr>
        <w:pStyle w:val="Akapitzlist"/>
        <w:numPr>
          <w:ilvl w:val="0"/>
          <w:numId w:val="9"/>
        </w:numPr>
        <w:spacing w:after="0" w:line="276" w:lineRule="auto"/>
        <w:jc w:val="both"/>
      </w:pPr>
      <w:r>
        <w:t>Partner Wiodący ponosi wyłącznie całkowitą odpowiedzialność finansową i prawną za projekt i za Partnerów projektu.</w:t>
      </w:r>
    </w:p>
    <w:p w:rsidR="0071459C" w:rsidRDefault="0071459C" w:rsidP="0071459C">
      <w:pPr>
        <w:pStyle w:val="Akapitzlist"/>
        <w:spacing w:after="0" w:line="276" w:lineRule="auto"/>
        <w:jc w:val="both"/>
      </w:pPr>
    </w:p>
    <w:p w:rsidR="0071459C" w:rsidRDefault="0071459C" w:rsidP="0071459C">
      <w:pPr>
        <w:pStyle w:val="Akapitzlist"/>
        <w:numPr>
          <w:ilvl w:val="0"/>
          <w:numId w:val="9"/>
        </w:numPr>
        <w:spacing w:after="0" w:line="276" w:lineRule="auto"/>
        <w:jc w:val="both"/>
      </w:pPr>
      <w:r>
        <w:lastRenderedPageBreak/>
        <w:t xml:space="preserve">Partner Wiodący gwarantuje, że jest uprawniony do reprezentowania wszystkich partnerów uczestniczących w projekcie, ponosząc wyłączną odpowiedzialność za dostarczanie </w:t>
      </w:r>
      <w:r>
        <w:br/>
        <w:t>i otrzymywanie wszelkich informacji istotnych dla zarządzania projektem pomiędzy Partnerem Wiodącym a Partnerami Projektu oraz, że jest bezpośrednio odpowiedzialny za przekazywanie wszystkie istotne informacje i wskazówki udzielone przez Instytucję Zarządzającą / Sekretariat URBACT Partnerom.</w:t>
      </w:r>
    </w:p>
    <w:p w:rsidR="0071459C" w:rsidRDefault="0071459C" w:rsidP="0071459C">
      <w:pPr>
        <w:pStyle w:val="Akapitzlist"/>
      </w:pPr>
    </w:p>
    <w:p w:rsidR="0071459C" w:rsidRDefault="0071459C" w:rsidP="0071459C">
      <w:pPr>
        <w:pStyle w:val="Akapitzlist"/>
        <w:spacing w:after="0" w:line="276" w:lineRule="auto"/>
        <w:jc w:val="both"/>
      </w:pPr>
      <w:r>
        <w:t xml:space="preserve">Partner Wiodący gwarantuje ponadto, że ustali ze wszystkimi Partnerami podział wzajemnych obowiązków w formie Wspólnej Konwencji, zawierającej co najmniej następujące elementy: 1) rola i obowiązki poszczególnych partnerów w partnerstwie przy realizacji projektu (m.in. opis działań każdego partnera projektu według okresów sprawozdawczych wskazanych </w:t>
      </w:r>
      <w:r>
        <w:br/>
        <w:t xml:space="preserve">w zatwierdzonym wniosku aplikacyjnym, 2) zasady budżetowe, 3) przepisy dotyczące zarządzania finansami w zakresie rachunkowości, sprawozdawczości, kontroli finansowej, </w:t>
      </w:r>
      <w:r>
        <w:br/>
        <w:t xml:space="preserve">4) otrzymanie płatności EFRR, 5) dystrybucja środków z EFRR finansowanie pomiędzy partnerami projektu (w załączeniu tabele budżetowe partnerów) zgodnie z zatwierdzonym wnioskiem aplikacyjnym, 6) zrównoważony wskaźnik wydatków zgodny z całkowitym wkładem EFRR 7) odpowiedzialność w przypadku niepowodzenia w realizacji projektu i wydatkowania projektu, w tym zapisy dotyczące zmian w pracach plan, 8) odpowiedzialność materialna wspólników i przepisy dotyczące odzyskania środków w przypadku kwot nieprawidłowych zgłoszone i otrzymane przez partnera, 9) wymogi informacyjne i promocyjne, </w:t>
      </w:r>
      <w:r>
        <w:br/>
        <w:t>10) rozwiązywanie konfliktów w partnerstwie, 11) prawa własności wyników pomiędzy partnerami oraz w odniesieniu do warunków umowy o dofinansowanie (lista nie jest wyczerpująca a PW i PP mogą dodawać kolejne pozycje zgodnie ze specyficznymi potrzebami projektu).</w:t>
      </w:r>
    </w:p>
    <w:p w:rsidR="0071459C" w:rsidRDefault="0071459C" w:rsidP="0071459C">
      <w:pPr>
        <w:spacing w:after="0" w:line="276" w:lineRule="auto"/>
        <w:jc w:val="both"/>
      </w:pPr>
    </w:p>
    <w:p w:rsidR="0071459C" w:rsidRDefault="0071459C" w:rsidP="0071459C">
      <w:pPr>
        <w:pStyle w:val="Akapitzlist"/>
        <w:numPr>
          <w:ilvl w:val="0"/>
          <w:numId w:val="9"/>
        </w:numPr>
        <w:spacing w:after="0" w:line="276" w:lineRule="auto"/>
        <w:jc w:val="both"/>
      </w:pPr>
      <w:r>
        <w:t xml:space="preserve">Partner Wiodący jest odpowiedzialny wobec Instytucji Zarządzającej za zapewnienie, że jego partnerzy wypełniają swoje zobowiązania wynikające z niniejszej umowy. Partner Wiodący odpowiada również wobec Instytucji Zarządzającej za naruszenia zobowiązań wynikających </w:t>
      </w:r>
      <w:r>
        <w:br/>
        <w:t>z niniejszej umowy przez swoich partnerów w taki sam sposób, jak za własne postępowanie.</w:t>
      </w:r>
    </w:p>
    <w:p w:rsidR="0071459C" w:rsidRDefault="0071459C" w:rsidP="0071459C">
      <w:pPr>
        <w:pStyle w:val="Akapitzlist"/>
        <w:spacing w:after="0" w:line="276" w:lineRule="auto"/>
        <w:jc w:val="both"/>
      </w:pPr>
    </w:p>
    <w:p w:rsidR="0071459C" w:rsidRDefault="0071459C" w:rsidP="0071459C">
      <w:pPr>
        <w:pStyle w:val="Akapitzlist"/>
        <w:numPr>
          <w:ilvl w:val="0"/>
          <w:numId w:val="9"/>
        </w:numPr>
        <w:spacing w:after="0" w:line="276" w:lineRule="auto"/>
        <w:jc w:val="both"/>
      </w:pPr>
      <w:r>
        <w:t>Jeżeli Instytucja Zarządzająca zażąda zwrotu środków dotacji zgodnie z niniejszą umową (art. 9), Partner Wiodący odpowiada wobec Instytucji Zarządzającej za całkowitą kwotę dotacji.</w:t>
      </w:r>
    </w:p>
    <w:p w:rsidR="0071459C" w:rsidRDefault="0071459C" w:rsidP="0071459C">
      <w:pPr>
        <w:pStyle w:val="Akapitzlist"/>
      </w:pPr>
    </w:p>
    <w:p w:rsidR="0071459C" w:rsidRDefault="0071459C" w:rsidP="0071459C">
      <w:pPr>
        <w:spacing w:after="0" w:line="276" w:lineRule="auto"/>
        <w:jc w:val="center"/>
        <w:rPr>
          <w:b/>
        </w:rPr>
      </w:pPr>
      <w:r w:rsidRPr="0071459C">
        <w:rPr>
          <w:b/>
        </w:rPr>
        <w:t>Artykuł 6 - Obowiązki partnera wiodącego</w:t>
      </w:r>
    </w:p>
    <w:p w:rsidR="0071459C" w:rsidRPr="0071459C" w:rsidRDefault="0071459C" w:rsidP="0071459C">
      <w:pPr>
        <w:spacing w:after="0" w:line="276" w:lineRule="auto"/>
        <w:jc w:val="center"/>
        <w:rPr>
          <w:b/>
        </w:rPr>
      </w:pPr>
    </w:p>
    <w:p w:rsidR="0071459C" w:rsidRDefault="0071459C" w:rsidP="0071459C">
      <w:pPr>
        <w:spacing w:after="0" w:line="276" w:lineRule="auto"/>
        <w:jc w:val="both"/>
      </w:pPr>
      <w:r>
        <w:t>Partner Wiodący reprezentuje kluczowy element w zarządzaniu projektami URBACT III. Ponosi ogólną odpowiedzialność finansową i prawną wobec Instytucji Zarządzającej, a zatem jej rola ma kluczowe znaczenie dla powodzenia projektu. Partner Wiodący działa jako łącznik administracyjny pomiędzy projektem a programem.</w:t>
      </w:r>
    </w:p>
    <w:p w:rsidR="0071459C" w:rsidRDefault="0071459C" w:rsidP="0071459C">
      <w:pPr>
        <w:spacing w:after="0" w:line="276" w:lineRule="auto"/>
        <w:jc w:val="both"/>
      </w:pPr>
    </w:p>
    <w:p w:rsidR="0071459C" w:rsidRDefault="0071459C" w:rsidP="0071459C">
      <w:pPr>
        <w:pStyle w:val="Akapitzlist"/>
        <w:numPr>
          <w:ilvl w:val="0"/>
          <w:numId w:val="10"/>
        </w:numPr>
        <w:spacing w:after="0" w:line="276" w:lineRule="auto"/>
        <w:jc w:val="both"/>
      </w:pPr>
      <w:r>
        <w:t>W zakresie ogólnego zarządzania i realizacji projektu obowiązki Partnera Wiodącego są następujące:</w:t>
      </w:r>
    </w:p>
    <w:p w:rsidR="0071459C" w:rsidRDefault="0071459C" w:rsidP="0071459C">
      <w:pPr>
        <w:pStyle w:val="Akapitzlist"/>
        <w:numPr>
          <w:ilvl w:val="1"/>
          <w:numId w:val="10"/>
        </w:numPr>
        <w:spacing w:after="0" w:line="276" w:lineRule="auto"/>
        <w:ind w:left="1080"/>
        <w:jc w:val="both"/>
      </w:pPr>
      <w:r>
        <w:t>Podpisanie wszystkich wymaganych umów z partnerami oraz Instytucją Zarządzającą dotyczących projektu.</w:t>
      </w:r>
    </w:p>
    <w:p w:rsidR="0071459C" w:rsidRDefault="0071459C" w:rsidP="0071459C">
      <w:pPr>
        <w:pStyle w:val="Akapitzlist"/>
        <w:spacing w:after="0" w:line="276" w:lineRule="auto"/>
        <w:ind w:left="1080"/>
        <w:jc w:val="both"/>
      </w:pPr>
    </w:p>
    <w:p w:rsidR="0071459C" w:rsidRDefault="0071459C" w:rsidP="0071459C">
      <w:pPr>
        <w:pStyle w:val="Akapitzlist"/>
        <w:numPr>
          <w:ilvl w:val="1"/>
          <w:numId w:val="10"/>
        </w:numPr>
        <w:spacing w:after="0" w:line="276" w:lineRule="auto"/>
        <w:ind w:left="1080"/>
        <w:jc w:val="both"/>
      </w:pPr>
      <w:r>
        <w:t>Zapewnienie realizacji projektu (w tym wdrożenie pakietów roboczych i wytworzenie wyników zgodnie z opisem w najnowszej wersji Formularza Wniosku zatwierdzonego przez Komitet Monitorujący.</w:t>
      </w:r>
    </w:p>
    <w:p w:rsidR="0071459C" w:rsidRDefault="0071459C" w:rsidP="0071459C">
      <w:pPr>
        <w:pStyle w:val="Akapitzlist"/>
      </w:pPr>
    </w:p>
    <w:p w:rsidR="0071459C" w:rsidRDefault="0071459C" w:rsidP="0071459C">
      <w:pPr>
        <w:pStyle w:val="Akapitzlist"/>
        <w:numPr>
          <w:ilvl w:val="1"/>
          <w:numId w:val="10"/>
        </w:numPr>
        <w:spacing w:after="0" w:line="276" w:lineRule="auto"/>
        <w:ind w:left="1080"/>
        <w:jc w:val="both"/>
      </w:pPr>
      <w:r>
        <w:t>Zapewnienie dostępności odpowiednich zasobów ludzkich w celu zapewnienia należytego zarządzania projektem zgodnie z wytycznymi przedstawionymi na poziomie programu (odpowiednio wykwalifikowana kadra obejmująca różnorodne zadania do wykonania przez Partnera Wiodącego)</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Odpowiedzialność za podział zadań pomiędzy partnerów zaangażowanych w projekt;</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Zapewnienie skutecznego wewnętrznego systemu zarządzania i kontroli;</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Zapewnienie, że zadania partnerów są wypełniane zgodnie z Formularzem Wniosku, Wspólną Konwencją i Umową o Dofinansowanie;</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Żądanie i otrzymywanie wypłat środków z programu zgodnie z procedurami wyszczególnionymi w Podręczniku Programu – Arkusz informacyjny 2E – rozdział 4;</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 xml:space="preserve">Przekazanie partnerom finansowania programu zgodnie z kwotami zgłoszonymi </w:t>
      </w:r>
      <w:r>
        <w:br/>
        <w:t xml:space="preserve">w raporcie z postępu prac i poświadczonymi przez Instytucję Certyfikującą bez dalszej zwłoki (na ogół w terminie 2 miesięcy). Jeżeli nie jest w stanie przekazać EFRR należnym swoim partnerom w odpowiednim czasie, Partner Wiodący jest proszony </w:t>
      </w:r>
      <w:r>
        <w:br/>
        <w:t>o poinformowanie Sekretariatu URBACT w odpowiednim czasie;</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W przypadku nieprawidłowego (lub nienależnego) wypłacenia środków na projekt, zwrot nieprawidłowo wypłaconej kwoty Instytucji Zarządzającej / Sekretariatowi oraz odzyskanie kwoty od odpowiedzialnego partnera, zgodnie z procedurami określonymi w Programie Operacyjnym URBACT III;</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 xml:space="preserve">Niezwłoczne poinformowanie Sekretariatu URBACT o zmniejszeniu kosztów projektu, </w:t>
      </w:r>
      <w:r>
        <w:br/>
        <w:t>o zmianie składu partnerstwa, celów projektu, programu pracy lub planu budżetowego, na którym opiera się ta umowa, lub o zmianie warunki przestają być spełniane lub zaistnieją okoliczności uprawniające Instytucję Zarządzającą do zmniejszenia lub żądania zwrotu dotacji w całości lub w części;</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 xml:space="preserve">Zwrócenie się o zatwierdzenie do Komitetu Monitorującego w przypadku zmian </w:t>
      </w:r>
      <w:r>
        <w:br/>
        <w:t xml:space="preserve">w partnerstwie, działań opisanych w programie pracy zawartym w ostatniej zatwierdzonej wersji wniosku aplikacyjnego, budżecie projektu (poza regułą elastyczności) lub </w:t>
      </w:r>
      <w:r>
        <w:br/>
        <w:t>w przypadku innych poważne zmiany. O zgodę Komitetu Monitorującego występuje Instytucja Zarządzająca, która musi otrzymać przeprogramowany wniosek aplikacyjny od partnera wiodącego projektu;</w:t>
      </w:r>
    </w:p>
    <w:p w:rsidR="0071459C" w:rsidRDefault="0071459C" w:rsidP="0071459C">
      <w:pPr>
        <w:pStyle w:val="Akapitzlist"/>
      </w:pPr>
    </w:p>
    <w:p w:rsidR="0071459C" w:rsidRDefault="0071459C" w:rsidP="0071459C">
      <w:pPr>
        <w:pStyle w:val="Akapitzlist"/>
        <w:numPr>
          <w:ilvl w:val="1"/>
          <w:numId w:val="10"/>
        </w:numPr>
        <w:spacing w:after="0" w:line="276" w:lineRule="auto"/>
        <w:ind w:left="1080"/>
        <w:jc w:val="both"/>
      </w:pPr>
      <w:r>
        <w:lastRenderedPageBreak/>
        <w:t xml:space="preserve">Uczestniczenie w różnych działaniach na poziomie programu, w tym w sesjach szkoleniowych, konferencjach i wydarzeniach na poziomie programu, a także </w:t>
      </w:r>
      <w:r>
        <w:br/>
        <w:t>w działaniach grupujących projekty;</w:t>
      </w:r>
    </w:p>
    <w:p w:rsidR="0071459C" w:rsidRDefault="0071459C" w:rsidP="0071459C">
      <w:pPr>
        <w:pStyle w:val="Akapitzlist"/>
      </w:pPr>
    </w:p>
    <w:p w:rsidR="0071459C" w:rsidRDefault="0071459C" w:rsidP="0071459C">
      <w:pPr>
        <w:pStyle w:val="Akapitzlist"/>
        <w:numPr>
          <w:ilvl w:val="1"/>
          <w:numId w:val="10"/>
        </w:numPr>
        <w:spacing w:after="0" w:line="276" w:lineRule="auto"/>
        <w:ind w:left="1080"/>
        <w:jc w:val="both"/>
      </w:pPr>
      <w:r>
        <w:t xml:space="preserve">Zapewnienie, że Lokalne Grupy URBACT są tworzone przez każdego Partnera Projektu </w:t>
      </w:r>
      <w:r>
        <w:br/>
        <w:t>i działają w związku z działaniami w ramach projektu (patrz Podręcznik Programu – Arkusz informacyjny 2A);</w:t>
      </w:r>
    </w:p>
    <w:p w:rsidR="0071459C" w:rsidRDefault="0071459C" w:rsidP="0071459C">
      <w:pPr>
        <w:pStyle w:val="Akapitzlist"/>
      </w:pPr>
    </w:p>
    <w:p w:rsidR="0071459C" w:rsidRDefault="0071459C" w:rsidP="0071459C">
      <w:pPr>
        <w:pStyle w:val="Akapitzlist"/>
        <w:numPr>
          <w:ilvl w:val="1"/>
          <w:numId w:val="10"/>
        </w:numPr>
        <w:spacing w:after="0" w:line="276" w:lineRule="auto"/>
        <w:ind w:left="1080"/>
        <w:jc w:val="both"/>
      </w:pPr>
      <w:r>
        <w:t xml:space="preserve">Przechowywanie przez cały czas, do celów audytu, wszystkich plików, dokumentów </w:t>
      </w:r>
      <w:r>
        <w:br/>
        <w:t xml:space="preserve">i danych dotyczących projektu na zwyczajowych nośnikach danych w bezpieczny </w:t>
      </w:r>
      <w:r>
        <w:br/>
        <w:t>i uporządkowany sposób, zgodnie z art. 140 rozporządzenia UE 1303/2013. Inne, ewentualnie dłuższe ustawowe okresy przechowywania, określone w prawie krajowym, pozostają nienaruszone;</w:t>
      </w:r>
    </w:p>
    <w:p w:rsidR="0071459C" w:rsidRDefault="0071459C" w:rsidP="0071459C">
      <w:pPr>
        <w:pStyle w:val="Akapitzlist"/>
        <w:ind w:left="360"/>
      </w:pPr>
    </w:p>
    <w:p w:rsidR="0071459C" w:rsidRDefault="0071459C" w:rsidP="0071459C">
      <w:pPr>
        <w:pStyle w:val="Akapitzlist"/>
        <w:numPr>
          <w:ilvl w:val="1"/>
          <w:numId w:val="10"/>
        </w:numPr>
        <w:spacing w:after="0" w:line="276" w:lineRule="auto"/>
        <w:ind w:left="1080"/>
        <w:jc w:val="both"/>
      </w:pPr>
      <w:r>
        <w:t>Przestrzegać przepisów, o których mowa w preambule niniejszej umowy, a także odpowiednich przepisów krajowych.</w:t>
      </w:r>
    </w:p>
    <w:p w:rsidR="001E667C" w:rsidRDefault="001E667C" w:rsidP="001E667C">
      <w:pPr>
        <w:pStyle w:val="Akapitzlist"/>
      </w:pPr>
    </w:p>
    <w:p w:rsidR="001E667C" w:rsidRDefault="001E667C" w:rsidP="001E667C">
      <w:pPr>
        <w:pStyle w:val="Akapitzlist"/>
        <w:numPr>
          <w:ilvl w:val="0"/>
          <w:numId w:val="10"/>
        </w:numPr>
        <w:spacing w:after="0" w:line="276" w:lineRule="auto"/>
        <w:jc w:val="both"/>
      </w:pPr>
      <w:r>
        <w:t>W zakresie działań komunikacyjnych obowiązki Partnera Wiodącego są następujące:</w:t>
      </w:r>
    </w:p>
    <w:p w:rsidR="001E667C" w:rsidRDefault="001E667C" w:rsidP="001E667C">
      <w:pPr>
        <w:pStyle w:val="Akapitzlist"/>
        <w:numPr>
          <w:ilvl w:val="1"/>
          <w:numId w:val="10"/>
        </w:numPr>
        <w:spacing w:after="0" w:line="276" w:lineRule="auto"/>
        <w:jc w:val="both"/>
      </w:pPr>
      <w:r>
        <w:t xml:space="preserve">Zapewnienie tworzenia i rozpowszechniania wyników i ustaleń projektu w ramach administracji władz lokalnych, w odpowiednich Krajowych Punktach URBACT, </w:t>
      </w:r>
      <w:r>
        <w:br/>
        <w:t>w mediach, wśród lokalnych zainteresowanych stron, jak również w szerszej społeczności europejskich twórców polityki miejskiej i praktyków;</w:t>
      </w:r>
    </w:p>
    <w:p w:rsidR="001E667C" w:rsidRDefault="001E667C" w:rsidP="001E667C">
      <w:pPr>
        <w:pStyle w:val="Akapitzlist"/>
        <w:spacing w:after="0" w:line="276" w:lineRule="auto"/>
        <w:ind w:left="1440"/>
        <w:jc w:val="both"/>
      </w:pPr>
    </w:p>
    <w:p w:rsidR="001E667C" w:rsidRDefault="001E667C" w:rsidP="001E667C">
      <w:pPr>
        <w:pStyle w:val="Akapitzlist"/>
        <w:numPr>
          <w:ilvl w:val="1"/>
          <w:numId w:val="10"/>
        </w:numPr>
        <w:spacing w:after="0" w:line="276" w:lineRule="auto"/>
        <w:jc w:val="both"/>
      </w:pPr>
      <w:r>
        <w:t>Korzystanie ze strony internetowej URBACT jako głównego narzędzia internetowego do komunikacji na temat projektu oraz do regularnego aktualizowania i publikowania treści w przestrzeni przeznaczonej dla projektu (co najmniej 18 razy, co w przybliżeniu oznacza co najmniej jedną nowość miesięcznie). Jeśli zostanie utworzona jakakolwiek dodatkowa strona internetowa/blog, musi ona przestrzegać wszystkich wytycznych UE dotyczących informacji (punkt e. poniżej);</w:t>
      </w:r>
    </w:p>
    <w:p w:rsidR="001E667C" w:rsidRDefault="001E667C" w:rsidP="001E667C">
      <w:pPr>
        <w:pStyle w:val="Akapitzlist"/>
      </w:pPr>
    </w:p>
    <w:p w:rsidR="001E667C" w:rsidRDefault="001E667C" w:rsidP="001E667C">
      <w:pPr>
        <w:pStyle w:val="Akapitzlist"/>
        <w:numPr>
          <w:ilvl w:val="1"/>
          <w:numId w:val="10"/>
        </w:numPr>
        <w:spacing w:after="0" w:line="276" w:lineRule="auto"/>
        <w:jc w:val="both"/>
      </w:pPr>
      <w:r>
        <w:t>Zapewnienie, że wszyscy partnerzy projektu zorganizują lokalne końcowe wydarzenia upowszechniające na koniec projektu, rozpowszechniając wyniki i rezultaty projektu wśród szerszej publiczności;</w:t>
      </w:r>
    </w:p>
    <w:p w:rsidR="001E667C" w:rsidRDefault="001E667C" w:rsidP="001E667C">
      <w:pPr>
        <w:pStyle w:val="Akapitzlist"/>
      </w:pPr>
    </w:p>
    <w:p w:rsidR="001E667C" w:rsidRDefault="001E667C" w:rsidP="001E667C">
      <w:pPr>
        <w:pStyle w:val="Akapitzlist"/>
        <w:numPr>
          <w:ilvl w:val="1"/>
          <w:numId w:val="10"/>
        </w:numPr>
        <w:spacing w:after="0" w:line="276" w:lineRule="auto"/>
        <w:jc w:val="both"/>
      </w:pPr>
      <w:r>
        <w:t xml:space="preserve">Stworzyć identyfikację wizualną (tj. logo i slogan) lub zaktualizować istniejącą </w:t>
      </w:r>
      <w:r>
        <w:br/>
        <w:t xml:space="preserve">i przenieść pliki (zarówno </w:t>
      </w:r>
      <w:proofErr w:type="spellStart"/>
      <w:r>
        <w:t>jpeg</w:t>
      </w:r>
      <w:proofErr w:type="spellEnd"/>
      <w:r>
        <w:t xml:space="preserve">, jak i </w:t>
      </w:r>
      <w:proofErr w:type="spellStart"/>
      <w:r>
        <w:t>eps</w:t>
      </w:r>
      <w:proofErr w:type="spellEnd"/>
      <w:r>
        <w:t>/</w:t>
      </w:r>
      <w:proofErr w:type="spellStart"/>
      <w:r>
        <w:t>ai</w:t>
      </w:r>
      <w:proofErr w:type="spellEnd"/>
      <w:r>
        <w:t>) do Sekretariatu URBACT w ciągu maksymalnie 3 miesięcy od rozpoczęcia projektu;</w:t>
      </w:r>
    </w:p>
    <w:p w:rsidR="001E667C" w:rsidRDefault="001E667C" w:rsidP="001E667C">
      <w:pPr>
        <w:pStyle w:val="Akapitzlist"/>
      </w:pPr>
    </w:p>
    <w:p w:rsidR="001E667C" w:rsidRDefault="001E667C" w:rsidP="001E667C">
      <w:pPr>
        <w:pStyle w:val="Akapitzlist"/>
        <w:numPr>
          <w:ilvl w:val="1"/>
          <w:numId w:val="10"/>
        </w:numPr>
        <w:spacing w:after="0" w:line="276" w:lineRule="auto"/>
        <w:jc w:val="both"/>
      </w:pPr>
      <w:r>
        <w:t xml:space="preserve">Przestrzegać wytycznych Komisji Europejskiej dotyczących informacji i komunikacji określonych w załączniku XII do rozporządzenia UE 1303/2013, a w szczególności zapewnić, aby wsparcie finansowe z Europejskiego Funduszu Rozwoju Regionalnego </w:t>
      </w:r>
      <w:r>
        <w:br/>
        <w:t xml:space="preserve">i programu URBACT III było wymienione we wszystkich oświadczeniach publicznych </w:t>
      </w:r>
      <w:r>
        <w:br/>
        <w:t>i stosowane są odpowiednie logo we wszystkich publikacjach.</w:t>
      </w:r>
    </w:p>
    <w:p w:rsidR="001E667C" w:rsidRDefault="001E667C" w:rsidP="001E667C">
      <w:pPr>
        <w:pStyle w:val="Akapitzlist"/>
      </w:pPr>
    </w:p>
    <w:p w:rsidR="001E667C" w:rsidRDefault="001E667C" w:rsidP="001E667C">
      <w:pPr>
        <w:pStyle w:val="Akapitzlist"/>
        <w:numPr>
          <w:ilvl w:val="0"/>
          <w:numId w:val="10"/>
        </w:numPr>
        <w:spacing w:after="0" w:line="276" w:lineRule="auto"/>
        <w:jc w:val="both"/>
      </w:pPr>
      <w:r w:rsidRPr="001E667C">
        <w:t>Jeśli chodzi o raportowanie projektu, obowiązki Partnera Wiodącego są następujące:</w:t>
      </w:r>
    </w:p>
    <w:p w:rsidR="001E667C" w:rsidRDefault="001E667C" w:rsidP="001E667C">
      <w:pPr>
        <w:pStyle w:val="Akapitzlist"/>
        <w:spacing w:after="0" w:line="276" w:lineRule="auto"/>
        <w:ind w:left="1440"/>
        <w:jc w:val="both"/>
      </w:pPr>
    </w:p>
    <w:p w:rsidR="001E667C" w:rsidRDefault="001E667C" w:rsidP="001E667C">
      <w:pPr>
        <w:pStyle w:val="Akapitzlist"/>
        <w:numPr>
          <w:ilvl w:val="1"/>
          <w:numId w:val="10"/>
        </w:numPr>
        <w:spacing w:after="0" w:line="276" w:lineRule="auto"/>
        <w:jc w:val="both"/>
      </w:pPr>
      <w:r>
        <w:t xml:space="preserve">Dostarczenie w wyznaczonym terminie raportów z postępów (działalności i finansów) oraz wszelkiej innej wymaganej dokumentacji do Instytucji Zarządzającej </w:t>
      </w:r>
      <w:r>
        <w:br/>
        <w:t>/ Sekretariatu URBACT w imieniu projektu;</w:t>
      </w:r>
    </w:p>
    <w:p w:rsidR="001E667C" w:rsidRDefault="001E667C" w:rsidP="001E667C">
      <w:pPr>
        <w:pStyle w:val="Akapitzlist"/>
        <w:numPr>
          <w:ilvl w:val="1"/>
          <w:numId w:val="10"/>
        </w:numPr>
        <w:spacing w:after="0" w:line="276" w:lineRule="auto"/>
        <w:jc w:val="both"/>
      </w:pPr>
      <w:r>
        <w:t xml:space="preserve">Informowanie Instytucji Zarządzającej / Sekretariatu URBACT poprzez sprawozdania </w:t>
      </w:r>
      <w:r>
        <w:br/>
        <w:t>z postępów o zmianach danych kontaktowych, danych bankowych, zmianach harmonogramu działań i odchyleniach budżetowych zgodnie z art. 2 niniejszej umowy;</w:t>
      </w:r>
    </w:p>
    <w:p w:rsidR="001E667C" w:rsidRDefault="001E667C" w:rsidP="001E667C">
      <w:pPr>
        <w:pStyle w:val="Akapitzlist"/>
        <w:spacing w:after="0" w:line="276" w:lineRule="auto"/>
        <w:ind w:left="1440"/>
        <w:jc w:val="both"/>
      </w:pPr>
    </w:p>
    <w:p w:rsidR="001E667C" w:rsidRDefault="001E667C" w:rsidP="001E667C">
      <w:pPr>
        <w:pStyle w:val="Akapitzlist"/>
        <w:numPr>
          <w:ilvl w:val="1"/>
          <w:numId w:val="10"/>
        </w:numPr>
        <w:spacing w:after="0" w:line="276" w:lineRule="auto"/>
        <w:jc w:val="both"/>
      </w:pPr>
      <w:r>
        <w:t>Zapewnienie, że partnerzy zgłaszają wydatki, które zostały sprawdzone i potwierdzone zgodnie z wymogami kontrolnymi ich państw członkowskich.</w:t>
      </w:r>
    </w:p>
    <w:p w:rsidR="001E667C" w:rsidRDefault="001E667C" w:rsidP="001E667C">
      <w:pPr>
        <w:pStyle w:val="Akapitzlist"/>
      </w:pPr>
    </w:p>
    <w:p w:rsidR="001E667C" w:rsidRDefault="001E667C" w:rsidP="001E667C">
      <w:pPr>
        <w:pStyle w:val="Akapitzlist"/>
        <w:numPr>
          <w:ilvl w:val="0"/>
          <w:numId w:val="10"/>
        </w:numPr>
        <w:spacing w:after="0" w:line="276" w:lineRule="auto"/>
        <w:jc w:val="both"/>
      </w:pPr>
      <w:r>
        <w:t>W przypadku zamknięcia projektu Partner Wiodący dostarczy w ustalonych terminach następujące dokumenty:</w:t>
      </w:r>
    </w:p>
    <w:p w:rsidR="001E667C" w:rsidRDefault="001E667C" w:rsidP="001E667C">
      <w:pPr>
        <w:pStyle w:val="Akapitzlist"/>
        <w:numPr>
          <w:ilvl w:val="1"/>
          <w:numId w:val="10"/>
        </w:numPr>
        <w:spacing w:after="0" w:line="276" w:lineRule="auto"/>
        <w:jc w:val="both"/>
      </w:pPr>
      <w:r>
        <w:t>Podpisany wniosek o płatność końcową projektu;</w:t>
      </w:r>
    </w:p>
    <w:p w:rsidR="001E667C" w:rsidRDefault="001E667C" w:rsidP="001E667C">
      <w:pPr>
        <w:pStyle w:val="Akapitzlist"/>
        <w:numPr>
          <w:ilvl w:val="1"/>
          <w:numId w:val="10"/>
        </w:numPr>
        <w:spacing w:after="0" w:line="276" w:lineRule="auto"/>
        <w:jc w:val="both"/>
      </w:pPr>
      <w:r>
        <w:t xml:space="preserve">Podpisane certyfikaty końcowe i deklaracje wydatków partnera wiodącego </w:t>
      </w:r>
      <w:r>
        <w:br/>
        <w:t>i partnerów;</w:t>
      </w:r>
    </w:p>
    <w:p w:rsidR="001E667C" w:rsidRDefault="001E667C" w:rsidP="001E667C">
      <w:pPr>
        <w:pStyle w:val="Akapitzlist"/>
        <w:numPr>
          <w:ilvl w:val="1"/>
          <w:numId w:val="10"/>
        </w:numPr>
        <w:spacing w:after="0" w:line="276" w:lineRule="auto"/>
        <w:jc w:val="both"/>
      </w:pPr>
      <w:r>
        <w:t>Podpisany końcowy raport z postępów;</w:t>
      </w:r>
    </w:p>
    <w:p w:rsidR="001E667C" w:rsidRDefault="001E667C" w:rsidP="001E667C">
      <w:pPr>
        <w:pStyle w:val="Akapitzlist"/>
        <w:numPr>
          <w:ilvl w:val="1"/>
          <w:numId w:val="10"/>
        </w:numPr>
        <w:spacing w:after="0" w:line="276" w:lineRule="auto"/>
        <w:jc w:val="both"/>
      </w:pPr>
      <w:r>
        <w:t>Raport zamknięcia dla wszystkich partnerów (jeśli jest wymagany);</w:t>
      </w:r>
    </w:p>
    <w:p w:rsidR="001E667C" w:rsidRDefault="001E667C" w:rsidP="001E667C">
      <w:pPr>
        <w:pStyle w:val="Akapitzlist"/>
        <w:numPr>
          <w:ilvl w:val="1"/>
          <w:numId w:val="10"/>
        </w:numPr>
        <w:spacing w:after="0" w:line="276" w:lineRule="auto"/>
        <w:jc w:val="both"/>
      </w:pPr>
      <w:r>
        <w:t xml:space="preserve">Ostateczne wyniki projektu określone w Formularzu Wniosku należy umieścić </w:t>
      </w:r>
      <w:r>
        <w:br/>
        <w:t>w przestrzeni projektu na stronie internetowej URBACT. Wersja papierowa może być wymagana do celów rozpowszechniania. Wszystkie dane wyjściowe powinny być dostarczone w formacie elektronicznym.</w:t>
      </w:r>
    </w:p>
    <w:p w:rsidR="001E667C" w:rsidRDefault="001E667C" w:rsidP="001E667C">
      <w:pPr>
        <w:pStyle w:val="Akapitzlist"/>
        <w:spacing w:after="0" w:line="276" w:lineRule="auto"/>
        <w:ind w:left="1440"/>
        <w:jc w:val="both"/>
      </w:pPr>
    </w:p>
    <w:p w:rsidR="001E667C" w:rsidRDefault="001E667C" w:rsidP="001E667C">
      <w:pPr>
        <w:pStyle w:val="Akapitzlist"/>
        <w:numPr>
          <w:ilvl w:val="0"/>
          <w:numId w:val="10"/>
        </w:numPr>
        <w:spacing w:after="0" w:line="276" w:lineRule="auto"/>
        <w:jc w:val="both"/>
      </w:pPr>
      <w:r>
        <w:t>Wszystkie te dokumenty powinny być zwykle składane do Instytucji Zarządzającej / Sekretariatu URBACT nie później niż 3 miesiące po oficjalnej dacie zakończenia projektu (wskazanej w Formularzu Wniosku) lub w ustalonych terminach określonych przez Sekretariat IZ / URBACT. Instytucja Zarządzająca może zastosować krótsze terminy zamknięcia projektu, jeśli jest to konieczne do przestrzegania terminów programu. Partnerzy wiodący zostaną poinformowani z odpowiednim wyprzedzeniem, jeśli będzie to konieczne.</w:t>
      </w:r>
    </w:p>
    <w:p w:rsidR="001E667C" w:rsidRDefault="001E667C" w:rsidP="001E667C">
      <w:pPr>
        <w:pStyle w:val="Akapitzlist"/>
        <w:spacing w:after="0" w:line="276" w:lineRule="auto"/>
        <w:jc w:val="both"/>
      </w:pPr>
    </w:p>
    <w:p w:rsidR="001E667C" w:rsidRDefault="001E667C" w:rsidP="001E667C">
      <w:pPr>
        <w:pStyle w:val="Akapitzlist"/>
        <w:numPr>
          <w:ilvl w:val="0"/>
          <w:numId w:val="10"/>
        </w:numPr>
        <w:spacing w:after="0" w:line="276" w:lineRule="auto"/>
        <w:jc w:val="both"/>
      </w:pPr>
      <w:r>
        <w:t>Oprócz tych obowiązków, Partner Wiodący ma możliwość złożenia propozycji przeprogramowania projektu zazwyczaj tylko raz w trakcie trwania projektu. Termin składania propozycji przeprogramowania zostanie odpowiednio ustalony przez Instytucję Zarządzającą / Sekretariat URBACT, zgodnie z procedurami określonymi w Podręczniku Programu, Arkusz 2E, rozdział 5.</w:t>
      </w:r>
    </w:p>
    <w:p w:rsidR="001E667C" w:rsidRDefault="001E667C" w:rsidP="001E667C">
      <w:pPr>
        <w:pStyle w:val="Akapitzlist"/>
      </w:pPr>
    </w:p>
    <w:p w:rsidR="001E667C" w:rsidRDefault="001E667C" w:rsidP="001E667C">
      <w:pPr>
        <w:pStyle w:val="Akapitzlist"/>
        <w:numPr>
          <w:ilvl w:val="0"/>
          <w:numId w:val="10"/>
        </w:numPr>
        <w:spacing w:after="0" w:line="276" w:lineRule="auto"/>
        <w:jc w:val="both"/>
      </w:pPr>
      <w:r>
        <w:t>Instytucja Zarządzająca / Sekretariat URBACT przedkłada propozycje przeprogramowania projektu Komitetowi Monitorującemu do zatwierdzenia. Instytucja Zarządzająca / Sekretariat URBACT poinformuje zainteresowanego Partnera Wiodącego o decyzji Komitetu Monitorującego iw razie potrzeby zmieni tę umowę o dofinansowanie.</w:t>
      </w:r>
    </w:p>
    <w:p w:rsidR="001E667C" w:rsidRDefault="001E667C" w:rsidP="001E667C">
      <w:pPr>
        <w:pStyle w:val="Akapitzlist"/>
      </w:pPr>
    </w:p>
    <w:p w:rsidR="001E667C" w:rsidRDefault="001E667C" w:rsidP="001E667C">
      <w:pPr>
        <w:pStyle w:val="Akapitzlist"/>
        <w:numPr>
          <w:ilvl w:val="0"/>
          <w:numId w:val="10"/>
        </w:numPr>
        <w:spacing w:after="0" w:line="276" w:lineRule="auto"/>
        <w:jc w:val="both"/>
      </w:pPr>
      <w:r>
        <w:t xml:space="preserve">W przypadku Partnerów Wiodących zlokalizowanych w krajach, które zapewniają współfinansowanie krajowe, ważne jest, aby wcześniej uzgodnić wymagania dotyczące ubiegania się o ten wkład z odpowiednim Państwem Członkowskim/Partnerskim. Projekty </w:t>
      </w:r>
      <w:r>
        <w:lastRenderedPageBreak/>
        <w:t xml:space="preserve">działające w trybie mieszanym </w:t>
      </w:r>
      <w:r w:rsidRPr="001E667C">
        <w:t>system zarządzania powinien również uzgodnić z państwem członkowskim/partnerem sposób zarządzania kosztami dzielonymi.</w:t>
      </w:r>
    </w:p>
    <w:p w:rsidR="001E667C" w:rsidRDefault="001E667C" w:rsidP="001E667C">
      <w:pPr>
        <w:spacing w:after="0" w:line="276" w:lineRule="auto"/>
        <w:jc w:val="both"/>
      </w:pPr>
    </w:p>
    <w:p w:rsidR="001E667C" w:rsidRDefault="001E667C" w:rsidP="001E667C">
      <w:pPr>
        <w:spacing w:after="0" w:line="276" w:lineRule="auto"/>
        <w:jc w:val="center"/>
        <w:rPr>
          <w:b/>
        </w:rPr>
      </w:pPr>
      <w:r w:rsidRPr="001E667C">
        <w:rPr>
          <w:b/>
        </w:rPr>
        <w:t>Artykuł 7 - Komunikacja i reklama</w:t>
      </w:r>
    </w:p>
    <w:p w:rsidR="001E667C" w:rsidRPr="001E667C" w:rsidRDefault="001E667C" w:rsidP="001E667C">
      <w:pPr>
        <w:spacing w:after="0" w:line="276" w:lineRule="auto"/>
        <w:jc w:val="center"/>
        <w:rPr>
          <w:b/>
        </w:rPr>
      </w:pPr>
    </w:p>
    <w:p w:rsidR="001E667C" w:rsidRDefault="001E667C" w:rsidP="001E667C">
      <w:pPr>
        <w:pStyle w:val="Akapitzlist"/>
        <w:numPr>
          <w:ilvl w:val="0"/>
          <w:numId w:val="12"/>
        </w:numPr>
        <w:spacing w:after="0" w:line="276" w:lineRule="auto"/>
        <w:jc w:val="both"/>
      </w:pPr>
      <w:r>
        <w:t>ile Instytucja Zarządzająca nie zażąda inaczej, wszelkie działania informacyjne i promocyjne skierowane do beneficjentów, potencjalnych beneficjentów oraz do społeczeństwa muszą określać, że operacja otrzymała dofinansowanie ze środków programu zgodnie z wymogami określonymi w Podręczniku Programu oraz zgodnie z wymogi określone w regulacyjnych ramach prawnych, w szczególności w załączniku XII do rozporządzenia (UE) nr 1303/2013 oraz w podręczniku programu.</w:t>
      </w:r>
    </w:p>
    <w:p w:rsidR="001E667C" w:rsidRDefault="001E667C" w:rsidP="001E667C">
      <w:pPr>
        <w:pStyle w:val="Akapitzlist"/>
        <w:spacing w:after="0" w:line="276" w:lineRule="auto"/>
        <w:jc w:val="both"/>
      </w:pPr>
    </w:p>
    <w:p w:rsidR="001E667C" w:rsidRDefault="001E667C" w:rsidP="001E667C">
      <w:pPr>
        <w:pStyle w:val="Akapitzlist"/>
        <w:numPr>
          <w:ilvl w:val="0"/>
          <w:numId w:val="12"/>
        </w:numPr>
        <w:spacing w:after="0" w:line="276" w:lineRule="auto"/>
        <w:jc w:val="both"/>
      </w:pPr>
      <w:r>
        <w:t xml:space="preserve">Ponadto, we wszelkich materiałach publicznych wykorzystywanych do promowania </w:t>
      </w:r>
      <w:r>
        <w:br/>
        <w:t xml:space="preserve">lub rozpowszechniania działań związanych z projektem – zarówno drukowanych, jak </w:t>
      </w:r>
      <w:r>
        <w:br/>
        <w:t>i dostępnych w formie elektronicznej – wykorzystanie logo programu URBACT III z jego hasłem i flagą UE wraz z odniesieniem do Unii Europejskiej i Europejskiego Rozwoju Regionalnego Fundusz jest obowiązkowy, jak określono w Podręczniku Programu.</w:t>
      </w:r>
    </w:p>
    <w:p w:rsidR="001E667C" w:rsidRDefault="001E667C" w:rsidP="001E667C">
      <w:pPr>
        <w:pStyle w:val="Akapitzlist"/>
      </w:pPr>
    </w:p>
    <w:p w:rsidR="001E667C" w:rsidRDefault="001E667C" w:rsidP="001E667C">
      <w:pPr>
        <w:pStyle w:val="Akapitzlist"/>
        <w:numPr>
          <w:ilvl w:val="0"/>
          <w:numId w:val="12"/>
        </w:numPr>
        <w:spacing w:after="0" w:line="276" w:lineRule="auto"/>
        <w:jc w:val="both"/>
      </w:pPr>
      <w:r>
        <w:t>Wszelkie zawiadomienia lub publikacje projektu, w jakiejkolwiek formie i na dowolnym nośniku, w tym w Internecie, muszą określać, że odzwierciedlają poglądy autora i że Instytucja Zarządzająca nie ponosi odpowiedzialności za jakiekolwiek wykorzystanie informacji zawarte w nim.</w:t>
      </w:r>
    </w:p>
    <w:p w:rsidR="001E667C" w:rsidRDefault="001E667C" w:rsidP="001E667C">
      <w:pPr>
        <w:pStyle w:val="Akapitzlist"/>
      </w:pPr>
    </w:p>
    <w:p w:rsidR="001E667C" w:rsidRDefault="001E667C" w:rsidP="001E667C">
      <w:pPr>
        <w:pStyle w:val="Akapitzlist"/>
        <w:numPr>
          <w:ilvl w:val="0"/>
          <w:numId w:val="12"/>
        </w:numPr>
        <w:spacing w:after="0" w:line="276" w:lineRule="auto"/>
        <w:jc w:val="both"/>
      </w:pPr>
      <w:r>
        <w:t>Instytucja Zarządzająca / Sekretariat URBACT jest upoważniona do publikowania – w dowolnej formie i na dowolnym nośniku, w tym w Internecie – następujących informacji:</w:t>
      </w:r>
    </w:p>
    <w:p w:rsidR="001E667C" w:rsidRDefault="001E667C" w:rsidP="001E667C">
      <w:pPr>
        <w:pStyle w:val="Akapitzlist"/>
      </w:pPr>
    </w:p>
    <w:p w:rsidR="001E667C" w:rsidRDefault="001E667C" w:rsidP="001E667C">
      <w:pPr>
        <w:pStyle w:val="Akapitzlist"/>
        <w:numPr>
          <w:ilvl w:val="1"/>
          <w:numId w:val="12"/>
        </w:numPr>
        <w:spacing w:after="0" w:line="276" w:lineRule="auto"/>
        <w:jc w:val="both"/>
      </w:pPr>
      <w:r>
        <w:t>nazwa Partnera Wiodącego i jego partnerów,</w:t>
      </w:r>
    </w:p>
    <w:p w:rsidR="001E667C" w:rsidRDefault="001E667C" w:rsidP="001E667C">
      <w:pPr>
        <w:pStyle w:val="Akapitzlist"/>
        <w:numPr>
          <w:ilvl w:val="1"/>
          <w:numId w:val="12"/>
        </w:numPr>
        <w:spacing w:after="0" w:line="276" w:lineRule="auto"/>
        <w:jc w:val="both"/>
      </w:pPr>
      <w:r>
        <w:t>dane kontaktowe od Partnera Wiodącego, w tym adres e-mail,</w:t>
      </w:r>
    </w:p>
    <w:p w:rsidR="001E667C" w:rsidRDefault="001E667C" w:rsidP="001E667C">
      <w:pPr>
        <w:pStyle w:val="Akapitzlist"/>
        <w:numPr>
          <w:ilvl w:val="1"/>
          <w:numId w:val="12"/>
        </w:numPr>
        <w:spacing w:after="0" w:line="276" w:lineRule="auto"/>
        <w:jc w:val="both"/>
      </w:pPr>
      <w:r>
        <w:t>dane kontaktowe od Partnerów Projektu, którzy są odpowiedzialni za zamieszczanie treści na stronie internetowej URBACT, w tym ich adresy e-mail,</w:t>
      </w:r>
    </w:p>
    <w:p w:rsidR="001E667C" w:rsidRDefault="001E667C" w:rsidP="001E667C">
      <w:pPr>
        <w:pStyle w:val="Akapitzlist"/>
        <w:numPr>
          <w:ilvl w:val="1"/>
          <w:numId w:val="12"/>
        </w:numPr>
        <w:spacing w:after="0" w:line="276" w:lineRule="auto"/>
        <w:jc w:val="both"/>
      </w:pPr>
      <w:r>
        <w:t>cel dotacji,</w:t>
      </w:r>
    </w:p>
    <w:p w:rsidR="001E667C" w:rsidRDefault="001E667C" w:rsidP="001E667C">
      <w:pPr>
        <w:pStyle w:val="Akapitzlist"/>
        <w:numPr>
          <w:ilvl w:val="1"/>
          <w:numId w:val="12"/>
        </w:numPr>
        <w:spacing w:after="0" w:line="276" w:lineRule="auto"/>
        <w:jc w:val="both"/>
      </w:pPr>
      <w:r>
        <w:t>przyznana kwota i udział w całkowitym koszcie projektu, jaki przypada na dofinansowanie,</w:t>
      </w:r>
    </w:p>
    <w:p w:rsidR="001E667C" w:rsidRDefault="001E667C" w:rsidP="001E667C">
      <w:pPr>
        <w:pStyle w:val="Akapitzlist"/>
        <w:numPr>
          <w:ilvl w:val="1"/>
          <w:numId w:val="12"/>
        </w:numPr>
        <w:spacing w:after="0" w:line="276" w:lineRule="auto"/>
        <w:jc w:val="both"/>
      </w:pPr>
      <w:r>
        <w:t>położenie geograficzne projektu,</w:t>
      </w:r>
    </w:p>
    <w:p w:rsidR="001E667C" w:rsidRDefault="001E667C" w:rsidP="001E667C">
      <w:pPr>
        <w:pStyle w:val="Akapitzlist"/>
        <w:numPr>
          <w:ilvl w:val="1"/>
          <w:numId w:val="12"/>
        </w:numPr>
        <w:spacing w:after="0" w:line="276" w:lineRule="auto"/>
        <w:jc w:val="both"/>
      </w:pPr>
      <w:r>
        <w:t>raporty z postępów, w tym raport końcowy i wszystkie końcowe wyniki,</w:t>
      </w:r>
    </w:p>
    <w:p w:rsidR="001E667C" w:rsidRDefault="001E667C" w:rsidP="001E667C">
      <w:pPr>
        <w:pStyle w:val="Akapitzlist"/>
        <w:numPr>
          <w:ilvl w:val="1"/>
          <w:numId w:val="12"/>
        </w:numPr>
        <w:spacing w:after="0" w:line="276" w:lineRule="auto"/>
        <w:jc w:val="both"/>
      </w:pPr>
      <w:r>
        <w:t>czy iw jaki sposób projekt był wcześniej nagłaśniany.</w:t>
      </w:r>
    </w:p>
    <w:p w:rsidR="001E667C" w:rsidRDefault="001E667C" w:rsidP="001E667C">
      <w:pPr>
        <w:pStyle w:val="Akapitzlist"/>
        <w:spacing w:after="0" w:line="276" w:lineRule="auto"/>
        <w:ind w:left="1440"/>
        <w:jc w:val="both"/>
      </w:pPr>
    </w:p>
    <w:p w:rsidR="001E667C" w:rsidRDefault="001E667C" w:rsidP="001E667C">
      <w:pPr>
        <w:pStyle w:val="Akapitzlist"/>
        <w:numPr>
          <w:ilvl w:val="0"/>
          <w:numId w:val="12"/>
        </w:numPr>
        <w:spacing w:after="0" w:line="276" w:lineRule="auto"/>
        <w:jc w:val="both"/>
      </w:pPr>
      <w:r>
        <w:t>Projekt zobowiązuje się do wysłania do Sekretariatu URBACT przynajmniej jednej kopii wszelkich materiałów reklamowych i/lub informacyjnych. Projekt upoważnia ponadto Sekretariat URBACT, Instytucję Zarządzającą i Komisję Europejską do wykorzystania tego materiału w celu zaprezentowania sposobu wykorzystania dotacji.</w:t>
      </w:r>
    </w:p>
    <w:p w:rsidR="001E667C" w:rsidRDefault="001E667C" w:rsidP="001E667C">
      <w:pPr>
        <w:pStyle w:val="Akapitzlist"/>
        <w:spacing w:after="0" w:line="276" w:lineRule="auto"/>
        <w:jc w:val="both"/>
      </w:pPr>
    </w:p>
    <w:p w:rsidR="001E667C" w:rsidRDefault="001E667C" w:rsidP="001E667C">
      <w:pPr>
        <w:pStyle w:val="Akapitzlist"/>
        <w:numPr>
          <w:ilvl w:val="0"/>
          <w:numId w:val="12"/>
        </w:numPr>
        <w:spacing w:after="0" w:line="276" w:lineRule="auto"/>
        <w:jc w:val="both"/>
      </w:pPr>
      <w:r>
        <w:t>Wszelkie informacje, wystąpienia w mediach lub inne formy reklamy projektu będą przekazywane do Sekretariatu URBACT w celu potencjalnych aktualizacji strony internetowej lub prezentacji.</w:t>
      </w:r>
    </w:p>
    <w:p w:rsidR="001E667C" w:rsidRDefault="001E667C" w:rsidP="001E667C">
      <w:pPr>
        <w:pStyle w:val="Akapitzlist"/>
      </w:pPr>
    </w:p>
    <w:p w:rsidR="001E667C" w:rsidRDefault="001E667C" w:rsidP="001E667C">
      <w:pPr>
        <w:pStyle w:val="Akapitzlist"/>
        <w:numPr>
          <w:ilvl w:val="0"/>
          <w:numId w:val="12"/>
        </w:numPr>
        <w:spacing w:after="0" w:line="276" w:lineRule="auto"/>
        <w:jc w:val="both"/>
      </w:pPr>
      <w:r>
        <w:t>Partner Wiodący zapewnia, że ​​wyniki projektu, w szczególności wszelkie badania lub analizy wykonane w trakcie wdrażania, zostaną udostępnione opinii publicznej w celu zagwarantowania szerokiej promocji wyników projektu.</w:t>
      </w:r>
    </w:p>
    <w:p w:rsidR="001E667C" w:rsidRDefault="001E667C" w:rsidP="001E667C">
      <w:pPr>
        <w:pStyle w:val="Akapitzlist"/>
      </w:pPr>
    </w:p>
    <w:p w:rsidR="001E667C" w:rsidRDefault="001E667C" w:rsidP="001E667C">
      <w:pPr>
        <w:pStyle w:val="Akapitzlist"/>
        <w:numPr>
          <w:ilvl w:val="0"/>
          <w:numId w:val="12"/>
        </w:numPr>
        <w:spacing w:after="0" w:line="276" w:lineRule="auto"/>
        <w:jc w:val="both"/>
      </w:pPr>
      <w:r>
        <w:t>Projekt powinien zapewniać, że wszelkie ważne spotkania/wydarzenia organizowane przez sieć są komunikowane Sekretariatowi URBACT oraz że co najmniej jeden członek Sekretariatu URBACT jest zapraszany do udziału w razie potrzeby.</w:t>
      </w:r>
    </w:p>
    <w:p w:rsidR="001E667C" w:rsidRDefault="001E667C" w:rsidP="001E667C">
      <w:pPr>
        <w:pStyle w:val="Akapitzlist"/>
      </w:pPr>
    </w:p>
    <w:p w:rsidR="001E667C" w:rsidRDefault="001E667C" w:rsidP="001E667C">
      <w:pPr>
        <w:pStyle w:val="Akapitzlist"/>
        <w:numPr>
          <w:ilvl w:val="0"/>
          <w:numId w:val="12"/>
        </w:numPr>
        <w:spacing w:after="0" w:line="276" w:lineRule="auto"/>
        <w:jc w:val="both"/>
      </w:pPr>
      <w:r>
        <w:t>Dla celów informacyjnych i promocyjnych, projekty proszone są o wyznaczenie osoby referencyjnej, która będzie miała bezpośredni kontakt z Sekretariatem URBACT.</w:t>
      </w:r>
    </w:p>
    <w:p w:rsidR="001E667C" w:rsidRDefault="001E667C" w:rsidP="001E667C">
      <w:pPr>
        <w:pStyle w:val="Akapitzlist"/>
        <w:spacing w:after="0" w:line="276" w:lineRule="auto"/>
        <w:jc w:val="both"/>
      </w:pPr>
    </w:p>
    <w:p w:rsidR="001E667C" w:rsidRDefault="001E667C" w:rsidP="001E667C">
      <w:pPr>
        <w:pStyle w:val="Akapitzlist"/>
        <w:numPr>
          <w:ilvl w:val="0"/>
          <w:numId w:val="12"/>
        </w:numPr>
        <w:spacing w:after="0" w:line="276" w:lineRule="auto"/>
        <w:jc w:val="both"/>
      </w:pPr>
      <w:r>
        <w:t>Językiem komunikacji URBACT jest język angielski. Odnosi się to z reguły do ​​wszystkich narzędzi komunikacji.</w:t>
      </w:r>
    </w:p>
    <w:p w:rsidR="00D71463" w:rsidRDefault="00D71463" w:rsidP="001E667C">
      <w:pPr>
        <w:spacing w:after="0" w:line="276" w:lineRule="auto"/>
        <w:jc w:val="center"/>
        <w:rPr>
          <w:b/>
        </w:rPr>
      </w:pPr>
    </w:p>
    <w:p w:rsidR="001E667C" w:rsidRPr="001E667C" w:rsidRDefault="001E667C" w:rsidP="001E667C">
      <w:pPr>
        <w:spacing w:after="0" w:line="276" w:lineRule="auto"/>
        <w:jc w:val="center"/>
        <w:rPr>
          <w:b/>
        </w:rPr>
      </w:pPr>
      <w:r w:rsidRPr="001E667C">
        <w:rPr>
          <w:b/>
        </w:rPr>
        <w:t>Artykuł 8 - Prawo do wypowiedzenia</w:t>
      </w:r>
    </w:p>
    <w:p w:rsidR="001E667C" w:rsidRDefault="001E667C" w:rsidP="001E667C">
      <w:pPr>
        <w:pStyle w:val="Akapitzlist"/>
        <w:spacing w:after="0" w:line="276" w:lineRule="auto"/>
        <w:jc w:val="both"/>
      </w:pPr>
    </w:p>
    <w:p w:rsidR="001E667C" w:rsidRDefault="001E667C" w:rsidP="001E667C">
      <w:pPr>
        <w:pStyle w:val="Akapitzlist"/>
        <w:numPr>
          <w:ilvl w:val="0"/>
          <w:numId w:val="14"/>
        </w:numPr>
        <w:spacing w:after="0" w:line="276" w:lineRule="auto"/>
        <w:jc w:val="both"/>
      </w:pPr>
      <w:r>
        <w:t>Oprócz prawa do wypowiedzenia określonego w art. 1 i art. 11 niniejszej umowy, Instytucja Zarządzająca jest uprawniona do rozwiązania niniejszej umowy oraz, w stosownych przypadkach, żądania zwrotu środków w całości lub w części, jeżeli:</w:t>
      </w:r>
    </w:p>
    <w:p w:rsidR="001E667C" w:rsidRDefault="001E667C" w:rsidP="001E667C">
      <w:pPr>
        <w:pStyle w:val="Akapitzlist"/>
        <w:numPr>
          <w:ilvl w:val="1"/>
          <w:numId w:val="14"/>
        </w:numPr>
        <w:spacing w:after="0" w:line="276" w:lineRule="auto"/>
        <w:jc w:val="both"/>
      </w:pPr>
      <w:r>
        <w:t>Partner Wiodący uzyskał dotację na podstawie fałszywych lub niekompletnych oświadczeń; lub</w:t>
      </w:r>
    </w:p>
    <w:p w:rsidR="001E667C" w:rsidRDefault="001E667C" w:rsidP="001E667C">
      <w:pPr>
        <w:pStyle w:val="Akapitzlist"/>
        <w:numPr>
          <w:ilvl w:val="1"/>
          <w:numId w:val="14"/>
        </w:numPr>
        <w:spacing w:after="0" w:line="276" w:lineRule="auto"/>
        <w:jc w:val="both"/>
      </w:pPr>
      <w:r>
        <w:t xml:space="preserve">projekt nie został lub nie może zostać w pełni wdrożony poprzez osiągnięcie planowanych produktów i rezultatów, lub nie został lub nie może zostać wdrożony </w:t>
      </w:r>
      <w:r>
        <w:br/>
        <w:t>w odpowiednim czasie; lub</w:t>
      </w:r>
    </w:p>
    <w:p w:rsidR="001E667C" w:rsidRDefault="001E667C" w:rsidP="001E667C">
      <w:pPr>
        <w:pStyle w:val="Akapitzlist"/>
        <w:numPr>
          <w:ilvl w:val="1"/>
          <w:numId w:val="14"/>
        </w:numPr>
        <w:spacing w:after="0" w:line="276" w:lineRule="auto"/>
        <w:jc w:val="both"/>
      </w:pPr>
      <w:r>
        <w:t xml:space="preserve">Partner Wiodący nie kontrasygnował niniejszej umowy o dofinansowanie </w:t>
      </w:r>
      <w:r>
        <w:br/>
        <w:t>lub nie przedłożył wymaganych raportów lub dowodów, ani nie dostarczył niezbędnych informacji, pod warunkiem, że Partner Wiodący otrzymał pisemne przypomnienie określające odpowiedni termin i wyraźnie określające skutki prawne niewykonania zobowiązania spełnienia wymagań i nie dotrzymał tego terminu; lub</w:t>
      </w:r>
    </w:p>
    <w:p w:rsidR="001E667C" w:rsidRDefault="001E667C" w:rsidP="001E667C">
      <w:pPr>
        <w:pStyle w:val="Akapitzlist"/>
        <w:numPr>
          <w:ilvl w:val="1"/>
          <w:numId w:val="14"/>
        </w:numPr>
        <w:spacing w:after="0" w:line="276" w:lineRule="auto"/>
        <w:jc w:val="both"/>
      </w:pPr>
      <w:r>
        <w:t xml:space="preserve">Partner Wiodący nie zgłosił niezwłocznie zdarzeń opóźniających </w:t>
      </w:r>
      <w:r>
        <w:br/>
        <w:t>lub uniemożliwiających realizację finansowanego projektu lub jakichkolwiek okoliczności prowadzących do jego modyfikacji; lub</w:t>
      </w:r>
    </w:p>
    <w:p w:rsidR="001E667C" w:rsidRDefault="001E667C" w:rsidP="001E667C">
      <w:pPr>
        <w:pStyle w:val="Akapitzlist"/>
        <w:numPr>
          <w:ilvl w:val="1"/>
          <w:numId w:val="14"/>
        </w:numPr>
        <w:spacing w:after="0" w:line="276" w:lineRule="auto"/>
        <w:jc w:val="both"/>
      </w:pPr>
      <w:r>
        <w:t xml:space="preserve">raportowanie projektu nie jest zgodne z ustalonymi harmonogramami, </w:t>
      </w:r>
      <w:r>
        <w:br/>
        <w:t>co uniemożliwia stwierdzenie, że projekt jest realizowany zgodnie z planem i osiągnie założone cele, rezultaty lub produkty; lub</w:t>
      </w:r>
    </w:p>
    <w:p w:rsidR="001E667C" w:rsidRDefault="001E667C" w:rsidP="001E667C">
      <w:pPr>
        <w:pStyle w:val="Akapitzlist"/>
        <w:numPr>
          <w:ilvl w:val="1"/>
          <w:numId w:val="14"/>
        </w:numPr>
        <w:spacing w:after="0" w:line="276" w:lineRule="auto"/>
        <w:jc w:val="both"/>
      </w:pPr>
      <w:r>
        <w:t>Partner Wiodący utrudniał lub uniemożliwiał kontrole i audyty (Artykuł 9); lub</w:t>
      </w:r>
    </w:p>
    <w:p w:rsidR="001E667C" w:rsidRDefault="001E667C" w:rsidP="001E667C">
      <w:pPr>
        <w:pStyle w:val="Akapitzlist"/>
        <w:numPr>
          <w:ilvl w:val="1"/>
          <w:numId w:val="14"/>
        </w:numPr>
        <w:spacing w:after="0" w:line="276" w:lineRule="auto"/>
        <w:jc w:val="both"/>
      </w:pPr>
      <w:r>
        <w:t>przyznana dotacja została częściowo lub całkowicie niewłaściwie wykorzystana na cele inne niż uzgodnione; lub</w:t>
      </w:r>
    </w:p>
    <w:p w:rsidR="001E667C" w:rsidRDefault="001E667C" w:rsidP="001E667C">
      <w:pPr>
        <w:pStyle w:val="Akapitzlist"/>
        <w:numPr>
          <w:ilvl w:val="1"/>
          <w:numId w:val="14"/>
        </w:numPr>
        <w:spacing w:after="0" w:line="276" w:lineRule="auto"/>
        <w:jc w:val="both"/>
      </w:pPr>
      <w:r>
        <w:t xml:space="preserve">wszczęcie postępowania upadłościowego wobec majątku Partnera Wiodącego </w:t>
      </w:r>
      <w:r>
        <w:br/>
        <w:t xml:space="preserve">lub umorzenie postępowania upadłościowego z powodu braku majątku do odzyskania kosztów, o ile wydaje się to zapobiegać lub zagrażać </w:t>
      </w:r>
      <w:r w:rsidRPr="001E667C">
        <w:t xml:space="preserve">realizacja celów programu lub zamknięcie Partnera Wiodącego; </w:t>
      </w:r>
      <w:r>
        <w:t xml:space="preserve">lub </w:t>
      </w:r>
    </w:p>
    <w:p w:rsidR="001E667C" w:rsidRDefault="001E667C" w:rsidP="001E667C">
      <w:pPr>
        <w:pStyle w:val="Akapitzlist"/>
        <w:numPr>
          <w:ilvl w:val="1"/>
          <w:numId w:val="14"/>
        </w:numPr>
        <w:spacing w:after="0" w:line="276" w:lineRule="auto"/>
        <w:jc w:val="both"/>
      </w:pPr>
      <w:r>
        <w:t>z zastrzeżeniem postanowień art. 11, Partner Wiodący w całości lub w części sprzedaje, wydzierżawia lub wynajmuje projekt stronie trzeciej; lub</w:t>
      </w:r>
    </w:p>
    <w:p w:rsidR="001E667C" w:rsidRDefault="001E667C" w:rsidP="001E667C">
      <w:pPr>
        <w:pStyle w:val="Akapitzlist"/>
        <w:numPr>
          <w:ilvl w:val="1"/>
          <w:numId w:val="14"/>
        </w:numPr>
        <w:spacing w:after="0" w:line="276" w:lineRule="auto"/>
        <w:jc w:val="both"/>
      </w:pPr>
      <w:r>
        <w:lastRenderedPageBreak/>
        <w:t>stało się niemożliwe zweryfikowanie, czy końcowe sprawozdanie z postępu jest poprawne, a tym samym kwalifikowalność projektu do finansowania URBACT III; lub</w:t>
      </w:r>
    </w:p>
    <w:p w:rsidR="001E667C" w:rsidRDefault="001E667C" w:rsidP="001E667C">
      <w:pPr>
        <w:pStyle w:val="Akapitzlist"/>
        <w:numPr>
          <w:ilvl w:val="1"/>
          <w:numId w:val="14"/>
        </w:numPr>
        <w:spacing w:after="0" w:line="276" w:lineRule="auto"/>
        <w:jc w:val="both"/>
      </w:pPr>
      <w:r>
        <w:t>Partner Wiodący nie spełnił żadnych innych warunków lub wymagań dotyczących pomocy określonych w niniejszej umowie i postanowieniach, na których jest ona oparta, zwłaszcza jeśli te warunki lub wymagania mają zagwarantować pomyślną realizację celów programu.</w:t>
      </w:r>
    </w:p>
    <w:p w:rsidR="0035356D" w:rsidRDefault="0035356D" w:rsidP="0035356D">
      <w:pPr>
        <w:pStyle w:val="Akapitzlist"/>
        <w:spacing w:after="0" w:line="276" w:lineRule="auto"/>
        <w:ind w:left="1440"/>
        <w:jc w:val="both"/>
      </w:pPr>
    </w:p>
    <w:p w:rsidR="0035356D" w:rsidRDefault="0035356D" w:rsidP="0035356D">
      <w:pPr>
        <w:pStyle w:val="Akapitzlist"/>
        <w:numPr>
          <w:ilvl w:val="0"/>
          <w:numId w:val="14"/>
        </w:numPr>
        <w:spacing w:after="0" w:line="276" w:lineRule="auto"/>
        <w:jc w:val="both"/>
      </w:pPr>
      <w:r>
        <w:t xml:space="preserve">W przypadku skorzystania przez Instytucję Zarządzającą z prawa do wypowiedzenia, Partner Wiodący jest zobowiązany do przekazania Instytucji Zarządzającej wnioskowanej spłaty środków. Spłata środków jest należna w ciągu miesiąca od daty pisma, w którym Instytucja Zarządzająca występuje z żądaniem zwrotu; termin płatności zostanie wyraźnie podany </w:t>
      </w:r>
      <w:r>
        <w:br/>
        <w:t>w nakazie zwrotu.</w:t>
      </w:r>
    </w:p>
    <w:p w:rsidR="0035356D" w:rsidRDefault="0035356D" w:rsidP="0035356D">
      <w:pPr>
        <w:pStyle w:val="Akapitzlist"/>
        <w:spacing w:after="0" w:line="276" w:lineRule="auto"/>
        <w:jc w:val="both"/>
      </w:pPr>
    </w:p>
    <w:p w:rsidR="0035356D" w:rsidRDefault="0035356D" w:rsidP="0035356D">
      <w:pPr>
        <w:pStyle w:val="Akapitzlist"/>
        <w:numPr>
          <w:ilvl w:val="0"/>
          <w:numId w:val="14"/>
        </w:numPr>
        <w:spacing w:after="0" w:line="276" w:lineRule="auto"/>
        <w:jc w:val="both"/>
      </w:pPr>
      <w:r>
        <w:t>W przypadku skorzystania przez Instytucję Zarządzającą z prawa do wypowiedzenia, Partnerowi Wiodącemu przysługuje wyłącznie potrącenie bezspornych roszczeń wobec Instytucji Zarządzającej.</w:t>
      </w:r>
    </w:p>
    <w:p w:rsidR="0035356D" w:rsidRDefault="0035356D" w:rsidP="0035356D">
      <w:pPr>
        <w:pStyle w:val="Akapitzlist"/>
      </w:pPr>
    </w:p>
    <w:p w:rsidR="0035356D" w:rsidRDefault="0035356D" w:rsidP="0035356D">
      <w:pPr>
        <w:pStyle w:val="Akapitzlist"/>
        <w:numPr>
          <w:ilvl w:val="0"/>
          <w:numId w:val="14"/>
        </w:numPr>
        <w:spacing w:after="0" w:line="276" w:lineRule="auto"/>
        <w:jc w:val="both"/>
      </w:pPr>
      <w:r>
        <w:t>W przypadku skorzystania przez Instytucję Zarządzającą z prawa do wypowiedzenia, spłacana kwota podlega oprocentowaniu, począwszy od dnia dokonania wpłaty, a kończącej się w dniu faktycznej spłaty. Stopa procentowa zostanie ustalona zgodnie z art. 147 rozporządzenia (UE) nr 1303/2013.</w:t>
      </w:r>
    </w:p>
    <w:p w:rsidR="0035356D" w:rsidRDefault="0035356D" w:rsidP="0035356D">
      <w:pPr>
        <w:pStyle w:val="Akapitzlist"/>
      </w:pPr>
    </w:p>
    <w:p w:rsidR="0035356D" w:rsidRDefault="0035356D" w:rsidP="0035356D">
      <w:pPr>
        <w:pStyle w:val="Akapitzlist"/>
        <w:numPr>
          <w:ilvl w:val="0"/>
          <w:numId w:val="14"/>
        </w:numPr>
        <w:spacing w:after="0" w:line="276" w:lineRule="auto"/>
        <w:jc w:val="both"/>
      </w:pPr>
      <w:r>
        <w:t>Jeżeli którakolwiek z okoliczności wskazanych w Artykule 8 wystąpi przed wypłaceniem pełnej kwoty dotacji Partnerowi Wiodącemu, płatności mogą zostać wstrzymane i nie będą zgłaszane roszczenia o wypłatę pozostałej kwoty.</w:t>
      </w:r>
    </w:p>
    <w:p w:rsidR="0035356D" w:rsidRDefault="0035356D" w:rsidP="0035356D">
      <w:pPr>
        <w:pStyle w:val="Akapitzlist"/>
      </w:pPr>
    </w:p>
    <w:p w:rsidR="0035356D" w:rsidRDefault="0035356D" w:rsidP="0035356D">
      <w:pPr>
        <w:pStyle w:val="Akapitzlist"/>
        <w:numPr>
          <w:ilvl w:val="0"/>
          <w:numId w:val="14"/>
        </w:numPr>
        <w:spacing w:after="0" w:line="276" w:lineRule="auto"/>
        <w:jc w:val="both"/>
      </w:pPr>
      <w:r>
        <w:t>Powyższe postanowienia nie mają wpływu na dalsze roszczenia prawne.</w:t>
      </w:r>
    </w:p>
    <w:p w:rsidR="00D71463" w:rsidRDefault="00D71463" w:rsidP="0035356D">
      <w:pPr>
        <w:spacing w:after="0" w:line="276" w:lineRule="auto"/>
        <w:jc w:val="center"/>
        <w:rPr>
          <w:b/>
        </w:rPr>
      </w:pPr>
    </w:p>
    <w:p w:rsidR="0035356D" w:rsidRPr="0035356D" w:rsidRDefault="0035356D" w:rsidP="0035356D">
      <w:pPr>
        <w:spacing w:after="0" w:line="276" w:lineRule="auto"/>
        <w:jc w:val="center"/>
        <w:rPr>
          <w:b/>
        </w:rPr>
      </w:pPr>
      <w:r w:rsidRPr="0035356D">
        <w:rPr>
          <w:b/>
        </w:rPr>
        <w:t>Artykuł 9 - Kontrole, audyty i ocena projektu</w:t>
      </w:r>
    </w:p>
    <w:p w:rsidR="0035356D" w:rsidRDefault="0035356D" w:rsidP="0035356D">
      <w:pPr>
        <w:pStyle w:val="Akapitzlist"/>
        <w:numPr>
          <w:ilvl w:val="0"/>
          <w:numId w:val="15"/>
        </w:numPr>
        <w:spacing w:after="0" w:line="276" w:lineRule="auto"/>
        <w:jc w:val="both"/>
      </w:pPr>
      <w:r>
        <w:t xml:space="preserve">Wszystkie koszty w każdym Wniosku o płatność za projekt złożonym przez Partnera Wiodącego do Sekretariatu IZ / URBACT muszą zostać zatwierdzone przez Kontrolerów Pierwszego Stopnia zgodnie z procedurą opisaną w Podręczniku Programu i zgodnie z wymogami określonymi </w:t>
      </w:r>
      <w:r>
        <w:br/>
        <w:t>w obowiązujących ramach prawnych .</w:t>
      </w:r>
    </w:p>
    <w:p w:rsidR="0035356D" w:rsidRDefault="0035356D" w:rsidP="0035356D">
      <w:pPr>
        <w:pStyle w:val="Akapitzlist"/>
        <w:spacing w:after="0" w:line="276" w:lineRule="auto"/>
        <w:jc w:val="both"/>
      </w:pPr>
    </w:p>
    <w:p w:rsidR="0035356D" w:rsidRDefault="0035356D" w:rsidP="0035356D">
      <w:pPr>
        <w:pStyle w:val="Akapitzlist"/>
        <w:numPr>
          <w:ilvl w:val="0"/>
          <w:numId w:val="15"/>
        </w:numPr>
        <w:spacing w:after="0" w:line="276" w:lineRule="auto"/>
        <w:jc w:val="both"/>
      </w:pPr>
      <w:r>
        <w:t>Odpowiedzialne organy kontrolne programu URBACT III Unii Europejskiej (w szczególności Europejski Trybunał Obrachunkowy) oraz, w zakresie ich odpowiedzialności, organy kontrolne uczestniczących państw członkowskich Unii Europejskiej, Norwegii i Szwajcarii reprezentowane w Grupie Audytorzy lub inne krajowe organy audytu publicznego, jak również Instytucja Zarządzająca / Sekretariat URBACT / Instytucja Certyfikująca oraz Instytucja Audytowa są uprawnieni do kontroli i audytu właściwego wykorzystania funduszy przez Partnera Wiodącego lub partnerów projektu lub organizowania takich kontroli i audyty przeprowadzane przez upoważnione osoby.</w:t>
      </w:r>
    </w:p>
    <w:p w:rsidR="0035356D" w:rsidRDefault="0035356D" w:rsidP="0035356D">
      <w:pPr>
        <w:pStyle w:val="Akapitzlist"/>
        <w:spacing w:after="0" w:line="276" w:lineRule="auto"/>
        <w:jc w:val="both"/>
      </w:pPr>
    </w:p>
    <w:p w:rsidR="0035356D" w:rsidRDefault="0035356D" w:rsidP="0035356D">
      <w:pPr>
        <w:pStyle w:val="Akapitzlist"/>
        <w:numPr>
          <w:ilvl w:val="0"/>
          <w:numId w:val="15"/>
        </w:numPr>
        <w:spacing w:after="0" w:line="276" w:lineRule="auto"/>
        <w:jc w:val="both"/>
      </w:pPr>
      <w:r>
        <w:lastRenderedPageBreak/>
        <w:t>Partner Wiodący oraz wszyscy Partnerzy Projektu przedstawią wszystkie dokumenty wymagane do powyższych kontroli i audytów, udzielą niezbędnych informacji oraz umożliwią dostęp do swojej siedziby.</w:t>
      </w:r>
    </w:p>
    <w:p w:rsidR="0035356D" w:rsidRDefault="0035356D" w:rsidP="0035356D">
      <w:pPr>
        <w:pStyle w:val="Akapitzlist"/>
      </w:pPr>
    </w:p>
    <w:p w:rsidR="0035356D" w:rsidRDefault="0035356D" w:rsidP="0035356D">
      <w:pPr>
        <w:pStyle w:val="Akapitzlist"/>
        <w:numPr>
          <w:ilvl w:val="0"/>
          <w:numId w:val="15"/>
        </w:numPr>
        <w:spacing w:after="0" w:line="276" w:lineRule="auto"/>
        <w:jc w:val="both"/>
      </w:pPr>
      <w:r>
        <w:t xml:space="preserve">Partner Wiodący i wszyscy jego partnerzy projektowi są przez cały czas zobowiązani </w:t>
      </w:r>
      <w:r>
        <w:br/>
        <w:t xml:space="preserve">do przechowywania w celu kontroli i audytu wszystkich plików, dokumentów i danych dotyczących projektu na zwyczajowych nośnikach danych w sposób bezpieczny </w:t>
      </w:r>
      <w:r>
        <w:br/>
        <w:t xml:space="preserve">i uporządkowany, co najmniej do dnia 31 grudnia 2025 r., ponieważ zdefiniowane </w:t>
      </w:r>
      <w:r>
        <w:br/>
        <w:t xml:space="preserve">w Podręczniku Programu. Okres ten zostaje przerwany w przypadku postępowania sądowego lub na należycie umotywowany wniosek Komisji. Inne, ewentualnie dłuższe ustawowe okresy przechowywania, które mogą być określone w prawie krajowym, pozostają nienaruszone. PW / PP są zobowiązani do przechowywania informacji w formie elektronicznej i zachowania ich łatwej do prześledzenia do celów kontroli i audytu oraz prowadzenia ewidencji faktur </w:t>
      </w:r>
      <w:r>
        <w:br/>
        <w:t>i organów przechowujących dokumentację w ścieżce audytu zgodnie z Artykułem 140 Rozporządzenia UE 1303/2013.</w:t>
      </w:r>
    </w:p>
    <w:p w:rsidR="0035356D" w:rsidRDefault="0035356D" w:rsidP="0035356D">
      <w:pPr>
        <w:pStyle w:val="Akapitzlist"/>
        <w:spacing w:after="0" w:line="276" w:lineRule="auto"/>
        <w:jc w:val="both"/>
      </w:pPr>
    </w:p>
    <w:p w:rsidR="0035356D" w:rsidRDefault="0035356D" w:rsidP="0035356D">
      <w:pPr>
        <w:pStyle w:val="Akapitzlist"/>
        <w:numPr>
          <w:ilvl w:val="0"/>
          <w:numId w:val="15"/>
        </w:numPr>
        <w:spacing w:after="0" w:line="276" w:lineRule="auto"/>
        <w:jc w:val="both"/>
      </w:pPr>
      <w:r>
        <w:t>Instytucja Zarządzająca ma prawo wstrzymać płatności na rzecz Partnera Wiodącego do czasu dostarczenia wszystkich wymaganych informacji i dokumentacji.</w:t>
      </w:r>
    </w:p>
    <w:p w:rsidR="0035356D" w:rsidRDefault="0035356D" w:rsidP="0035356D">
      <w:pPr>
        <w:pStyle w:val="Akapitzlist"/>
        <w:spacing w:after="0" w:line="276" w:lineRule="auto"/>
        <w:jc w:val="both"/>
      </w:pPr>
    </w:p>
    <w:p w:rsidR="0035356D" w:rsidRDefault="0035356D" w:rsidP="0035356D">
      <w:pPr>
        <w:pStyle w:val="Akapitzlist"/>
        <w:numPr>
          <w:ilvl w:val="0"/>
          <w:numId w:val="15"/>
        </w:numPr>
        <w:spacing w:after="0" w:line="276" w:lineRule="auto"/>
        <w:jc w:val="both"/>
      </w:pPr>
      <w:r>
        <w:t>Zgodnie z Rozdziałem II Rozporządzenia (UE) nr 1303/2013, Partner Wiodący zobowiązuje się zapewnić niezależnym ekspertom lub organom przeprowadzającym ocenę programu wszelkie dokumenty lub informacje niezbędne do wspomagania oceny.</w:t>
      </w:r>
    </w:p>
    <w:p w:rsidR="0035356D" w:rsidRDefault="0035356D" w:rsidP="0035356D">
      <w:pPr>
        <w:pStyle w:val="Akapitzlist"/>
        <w:spacing w:after="0" w:line="276" w:lineRule="auto"/>
        <w:jc w:val="both"/>
      </w:pPr>
    </w:p>
    <w:p w:rsidR="0035356D" w:rsidRDefault="0035356D" w:rsidP="0035356D">
      <w:pPr>
        <w:pStyle w:val="Akapitzlist"/>
        <w:numPr>
          <w:ilvl w:val="0"/>
          <w:numId w:val="15"/>
        </w:numPr>
        <w:spacing w:after="0" w:line="276" w:lineRule="auto"/>
        <w:jc w:val="both"/>
      </w:pPr>
      <w:r>
        <w:t>Partner Wiodący ma obowiązek zagwarantować, że zarówno Partner Wiodący, jak i wszyscy jego partnerzy wypełnili obowiązki określone powyżej.</w:t>
      </w:r>
    </w:p>
    <w:p w:rsidR="0035356D" w:rsidRDefault="0035356D" w:rsidP="0035356D">
      <w:pPr>
        <w:pStyle w:val="Akapitzlist"/>
      </w:pPr>
    </w:p>
    <w:p w:rsidR="0035356D" w:rsidRPr="0035356D" w:rsidRDefault="0035356D" w:rsidP="0035356D">
      <w:pPr>
        <w:spacing w:after="0" w:line="276" w:lineRule="auto"/>
        <w:jc w:val="center"/>
        <w:rPr>
          <w:b/>
        </w:rPr>
      </w:pPr>
      <w:r w:rsidRPr="0035356D">
        <w:rPr>
          <w:b/>
        </w:rPr>
        <w:t>Artykuł 10 - Cesja, następstwo prawne</w:t>
      </w:r>
    </w:p>
    <w:p w:rsidR="0035356D" w:rsidRDefault="0035356D" w:rsidP="0035356D">
      <w:pPr>
        <w:pStyle w:val="Akapitzlist"/>
        <w:numPr>
          <w:ilvl w:val="0"/>
          <w:numId w:val="16"/>
        </w:numPr>
        <w:spacing w:after="0" w:line="276" w:lineRule="auto"/>
        <w:jc w:val="both"/>
      </w:pPr>
      <w:r>
        <w:t>Instytucja Zarządzająca jest uprawniona w dowolnym momencie do cesji swoich praw wynikających z niniejszej umowy. W przypadku przydziału Instytucja Zarządzająca bezzwłocznie poinformuje Partnera Wiodącego.</w:t>
      </w:r>
    </w:p>
    <w:p w:rsidR="0035356D" w:rsidRDefault="0035356D" w:rsidP="0035356D">
      <w:pPr>
        <w:pStyle w:val="Akapitzlist"/>
        <w:spacing w:after="0" w:line="276" w:lineRule="auto"/>
        <w:jc w:val="both"/>
      </w:pPr>
    </w:p>
    <w:p w:rsidR="0035356D" w:rsidRDefault="0035356D" w:rsidP="0035356D">
      <w:pPr>
        <w:pStyle w:val="Akapitzlist"/>
        <w:numPr>
          <w:ilvl w:val="0"/>
          <w:numId w:val="16"/>
        </w:numPr>
        <w:spacing w:after="0" w:line="276" w:lineRule="auto"/>
        <w:jc w:val="both"/>
      </w:pPr>
      <w:r>
        <w:t>Partner Wiodący może scedować swoje obowiązki i prawa wynikające z niniejszej umowy wyłącznie po uprzedniej pisemnej zgodzie Instytucji Zarządzającej i Komitetu Monitorującego.</w:t>
      </w:r>
    </w:p>
    <w:p w:rsidR="0035356D" w:rsidRDefault="0035356D" w:rsidP="0035356D">
      <w:pPr>
        <w:pStyle w:val="Akapitzlist"/>
        <w:spacing w:after="0" w:line="276" w:lineRule="auto"/>
        <w:jc w:val="both"/>
      </w:pPr>
    </w:p>
    <w:p w:rsidR="0035356D" w:rsidRDefault="0035356D" w:rsidP="0035356D">
      <w:pPr>
        <w:pStyle w:val="Akapitzlist"/>
        <w:numPr>
          <w:ilvl w:val="0"/>
          <w:numId w:val="16"/>
        </w:numPr>
        <w:spacing w:after="0" w:line="276" w:lineRule="auto"/>
        <w:jc w:val="both"/>
      </w:pPr>
      <w:r>
        <w:t>W przypadku następstwa prawnego, np. w przypadku zmiany formy prawnej przez Partnera Wiodącego lub Partnera Projektu, Partner Wiodący lub Partner Projektu jest zobowiązany do przeniesienia wszystkich obowiązków wynikających z niniejszej umowy na następcę prawnego. Partner Wiodący powiadamia Instytucję Zarządzającą o wszelkich zmianach z wyprzedzeniem na piśmie.</w:t>
      </w:r>
    </w:p>
    <w:p w:rsidR="0035356D" w:rsidRDefault="0035356D" w:rsidP="0035356D">
      <w:pPr>
        <w:pStyle w:val="Akapitzlist"/>
      </w:pPr>
    </w:p>
    <w:p w:rsidR="0035356D" w:rsidRDefault="0035356D" w:rsidP="0035356D">
      <w:pPr>
        <w:spacing w:after="0" w:line="276" w:lineRule="auto"/>
        <w:jc w:val="center"/>
        <w:rPr>
          <w:b/>
        </w:rPr>
      </w:pPr>
      <w:r w:rsidRPr="0035356D">
        <w:rPr>
          <w:b/>
        </w:rPr>
        <w:t>Artykuł 11 – Siła wyższa</w:t>
      </w:r>
    </w:p>
    <w:p w:rsidR="0035356D" w:rsidRPr="0035356D" w:rsidRDefault="0035356D" w:rsidP="0035356D">
      <w:pPr>
        <w:spacing w:after="0" w:line="276" w:lineRule="auto"/>
        <w:jc w:val="center"/>
        <w:rPr>
          <w:b/>
        </w:rPr>
      </w:pPr>
    </w:p>
    <w:p w:rsidR="0035356D" w:rsidRDefault="0035356D" w:rsidP="0035356D">
      <w:pPr>
        <w:pStyle w:val="Akapitzlist"/>
        <w:numPr>
          <w:ilvl w:val="0"/>
          <w:numId w:val="17"/>
        </w:numPr>
        <w:spacing w:after="0" w:line="276" w:lineRule="auto"/>
        <w:jc w:val="both"/>
      </w:pPr>
      <w:r>
        <w:lastRenderedPageBreak/>
        <w:t>Zgodnie z niniejszą umową „siła wyższa” oznacza każde nieprzewidywalne i nie do pokonania zdarzenie, które miało miejsce po podpisaniu umowy niniejszej umowy, co uniemożliwia całkowite lub częściowe wykonanie umowy.</w:t>
      </w:r>
    </w:p>
    <w:p w:rsidR="0035356D" w:rsidRDefault="0035356D" w:rsidP="0035356D">
      <w:pPr>
        <w:pStyle w:val="Akapitzlist"/>
        <w:spacing w:after="0" w:line="276" w:lineRule="auto"/>
        <w:jc w:val="both"/>
      </w:pPr>
    </w:p>
    <w:p w:rsidR="0035356D" w:rsidRDefault="0035356D" w:rsidP="0035356D">
      <w:pPr>
        <w:pStyle w:val="Akapitzlist"/>
        <w:numPr>
          <w:ilvl w:val="0"/>
          <w:numId w:val="17"/>
        </w:numPr>
        <w:spacing w:after="0" w:line="276" w:lineRule="auto"/>
        <w:jc w:val="both"/>
      </w:pPr>
      <w:r>
        <w:t>Istnieją szczególne przypadki „siły wyższej”: wojny, klęski żywiołowe, strajki generalne, powstania, bunty, epidemie, trzęsienia ziemi, powodzie i inne podobne zdarzenia.</w:t>
      </w:r>
    </w:p>
    <w:p w:rsidR="0035356D" w:rsidRDefault="0035356D" w:rsidP="0035356D">
      <w:pPr>
        <w:pStyle w:val="Akapitzlist"/>
        <w:spacing w:after="0" w:line="276" w:lineRule="auto"/>
        <w:jc w:val="both"/>
      </w:pPr>
    </w:p>
    <w:p w:rsidR="0035356D" w:rsidRDefault="0035356D" w:rsidP="0035356D">
      <w:pPr>
        <w:pStyle w:val="Akapitzlist"/>
        <w:numPr>
          <w:ilvl w:val="0"/>
          <w:numId w:val="17"/>
        </w:numPr>
        <w:spacing w:after="0" w:line="276" w:lineRule="auto"/>
        <w:jc w:val="both"/>
      </w:pPr>
      <w:r>
        <w:t>„Siła wyższa” zwalnia strony z odpowiedzialności za niewykonanie części lub całości zobowiązań wynikających z niniejszej umowy w okresie, w którym się one pojawiają i tylko wtedy, gdy zdarzenia zostały prawidłowo zgłoszone.</w:t>
      </w:r>
    </w:p>
    <w:p w:rsidR="0035356D" w:rsidRDefault="0035356D" w:rsidP="0035356D">
      <w:pPr>
        <w:pStyle w:val="Akapitzlist"/>
        <w:spacing w:after="0" w:line="276" w:lineRule="auto"/>
        <w:jc w:val="both"/>
      </w:pPr>
    </w:p>
    <w:p w:rsidR="0035356D" w:rsidRDefault="0035356D" w:rsidP="0035356D">
      <w:pPr>
        <w:pStyle w:val="Akapitzlist"/>
        <w:numPr>
          <w:ilvl w:val="0"/>
          <w:numId w:val="17"/>
        </w:numPr>
        <w:spacing w:after="0" w:line="276" w:lineRule="auto"/>
        <w:jc w:val="both"/>
      </w:pPr>
      <w:r>
        <w:t>Za „siłę wyższą” nie uważa się zdarzenia podobnego do przedstawionych powyżej, które bez stwarzania niemożności egzekucji powoduje, że wykonanie zobowiązań jest bardzo kosztowne dla jednej ze stron.</w:t>
      </w:r>
    </w:p>
    <w:p w:rsidR="00F052D1" w:rsidRDefault="00F052D1" w:rsidP="00F052D1">
      <w:pPr>
        <w:pStyle w:val="Akapitzlist"/>
      </w:pPr>
    </w:p>
    <w:p w:rsidR="00F052D1" w:rsidRPr="00F052D1" w:rsidRDefault="00F052D1" w:rsidP="00F052D1">
      <w:pPr>
        <w:spacing w:after="0" w:line="276" w:lineRule="auto"/>
        <w:jc w:val="center"/>
        <w:rPr>
          <w:b/>
        </w:rPr>
      </w:pPr>
      <w:r w:rsidRPr="00F052D1">
        <w:rPr>
          <w:b/>
        </w:rPr>
        <w:t>Artykuł 12 - Zmiana niniejszej umowy</w:t>
      </w:r>
    </w:p>
    <w:p w:rsidR="00F052D1" w:rsidRDefault="00F052D1" w:rsidP="00F052D1">
      <w:pPr>
        <w:pStyle w:val="Akapitzlist"/>
        <w:numPr>
          <w:ilvl w:val="0"/>
          <w:numId w:val="18"/>
        </w:numPr>
        <w:spacing w:after="0" w:line="276" w:lineRule="auto"/>
        <w:jc w:val="both"/>
      </w:pPr>
      <w:r>
        <w:t>Niniejsza umowa może zostać zmieniona wyłącznie poprzez oficjalną poprawkę w tym celu podpisaną przez wszystkie zaangażowane strony.</w:t>
      </w:r>
    </w:p>
    <w:p w:rsidR="00F052D1" w:rsidRDefault="00F052D1" w:rsidP="00F052D1">
      <w:pPr>
        <w:pStyle w:val="Akapitzlist"/>
        <w:spacing w:after="0" w:line="276" w:lineRule="auto"/>
        <w:jc w:val="both"/>
      </w:pPr>
    </w:p>
    <w:p w:rsidR="00F052D1" w:rsidRDefault="00F052D1" w:rsidP="00F052D1">
      <w:pPr>
        <w:pStyle w:val="Akapitzlist"/>
        <w:numPr>
          <w:ilvl w:val="0"/>
          <w:numId w:val="18"/>
        </w:numPr>
        <w:spacing w:after="0" w:line="276" w:lineRule="auto"/>
        <w:jc w:val="both"/>
      </w:pPr>
      <w:r>
        <w:t>Zmiany w projekcie niemające wpływu na zatwierdzoną dotację (harmonogram, działania), które zostały zatwierdzone przez Komitet Monitorujący, mogą być przeprowadzane bez zmiany niniejszej umowy.</w:t>
      </w:r>
    </w:p>
    <w:p w:rsidR="00F052D1" w:rsidRDefault="00F052D1" w:rsidP="00F052D1">
      <w:pPr>
        <w:pStyle w:val="Akapitzlist"/>
      </w:pPr>
    </w:p>
    <w:p w:rsidR="00F052D1" w:rsidRDefault="00F052D1" w:rsidP="00F052D1">
      <w:pPr>
        <w:pStyle w:val="Akapitzlist"/>
        <w:numPr>
          <w:ilvl w:val="0"/>
          <w:numId w:val="18"/>
        </w:numPr>
        <w:spacing w:after="0" w:line="276" w:lineRule="auto"/>
        <w:jc w:val="both"/>
      </w:pPr>
      <w:r>
        <w:t xml:space="preserve">Zmiany w oficjalnym programie dokumentują niniejszą umowę (np. program operacyjny, podręcznik programu itp.), jeśli zostaną zatwierdzone przez Komitet Monitorujący oraz, </w:t>
      </w:r>
      <w:r>
        <w:br/>
        <w:t>w stosownych przypadkach, przez Komisję Europejską, automatycznie stosują się do niniejszej umowy bez jej wprowadzania zmian.</w:t>
      </w:r>
    </w:p>
    <w:p w:rsidR="00F052D1" w:rsidRDefault="00F052D1" w:rsidP="00F052D1">
      <w:pPr>
        <w:pStyle w:val="Akapitzlist"/>
      </w:pPr>
    </w:p>
    <w:p w:rsidR="00F052D1" w:rsidRPr="00F052D1" w:rsidRDefault="00F052D1" w:rsidP="00F052D1">
      <w:pPr>
        <w:spacing w:after="0" w:line="276" w:lineRule="auto"/>
        <w:jc w:val="center"/>
        <w:rPr>
          <w:b/>
        </w:rPr>
      </w:pPr>
      <w:r w:rsidRPr="00F052D1">
        <w:rPr>
          <w:b/>
        </w:rPr>
        <w:t>Artykuł 13 - Postanowienia końcowe</w:t>
      </w:r>
    </w:p>
    <w:p w:rsidR="00F052D1" w:rsidRDefault="00F052D1" w:rsidP="00F052D1">
      <w:pPr>
        <w:spacing w:after="0" w:line="276" w:lineRule="auto"/>
        <w:jc w:val="both"/>
      </w:pPr>
    </w:p>
    <w:p w:rsidR="00F052D1" w:rsidRDefault="00F052D1" w:rsidP="00F052D1">
      <w:pPr>
        <w:pStyle w:val="Akapitzlist"/>
        <w:numPr>
          <w:ilvl w:val="0"/>
          <w:numId w:val="19"/>
        </w:numPr>
        <w:spacing w:after="0" w:line="276" w:lineRule="auto"/>
        <w:jc w:val="both"/>
      </w:pPr>
      <w:r>
        <w:t>Wszelka korespondencja z Instytucją Zarządzającą / Sekretariatem URBACT w ramach niniejszej umowy musi być prowadzona w języku angielskim lub francuskim i musi być wysłana na następujący adres:</w:t>
      </w:r>
    </w:p>
    <w:p w:rsidR="00F052D1" w:rsidRDefault="00F052D1" w:rsidP="00F052D1">
      <w:pPr>
        <w:spacing w:after="0" w:line="276" w:lineRule="auto"/>
        <w:ind w:left="1416"/>
        <w:jc w:val="both"/>
      </w:pPr>
      <w:r>
        <w:t>Sekretariat URBACT</w:t>
      </w:r>
    </w:p>
    <w:p w:rsidR="00F052D1" w:rsidRDefault="00F052D1" w:rsidP="00F052D1">
      <w:pPr>
        <w:spacing w:after="0" w:line="276" w:lineRule="auto"/>
        <w:ind w:left="1416"/>
        <w:jc w:val="both"/>
      </w:pPr>
      <w:r>
        <w:t>Narodowa Agencja Spójności Terytorialnej</w:t>
      </w:r>
    </w:p>
    <w:p w:rsidR="00F052D1" w:rsidRDefault="00F052D1" w:rsidP="00F052D1">
      <w:pPr>
        <w:spacing w:after="0" w:line="276" w:lineRule="auto"/>
        <w:ind w:left="1416"/>
        <w:jc w:val="both"/>
      </w:pPr>
      <w:r>
        <w:t>TSA 10717</w:t>
      </w:r>
    </w:p>
    <w:p w:rsidR="00F052D1" w:rsidRDefault="00F052D1" w:rsidP="00F052D1">
      <w:pPr>
        <w:spacing w:after="0" w:line="276" w:lineRule="auto"/>
        <w:ind w:left="1416"/>
        <w:jc w:val="both"/>
      </w:pPr>
      <w:r>
        <w:t>75334 CEDEX PARYŻ 07</w:t>
      </w:r>
    </w:p>
    <w:p w:rsidR="00F052D1" w:rsidRDefault="00F052D1" w:rsidP="00F052D1">
      <w:pPr>
        <w:pStyle w:val="Akapitzlist"/>
        <w:spacing w:after="0" w:line="276" w:lineRule="auto"/>
        <w:jc w:val="both"/>
      </w:pPr>
    </w:p>
    <w:p w:rsidR="00F052D1" w:rsidRDefault="00F052D1" w:rsidP="00F052D1">
      <w:pPr>
        <w:pStyle w:val="Akapitzlist"/>
        <w:numPr>
          <w:ilvl w:val="0"/>
          <w:numId w:val="19"/>
        </w:numPr>
        <w:spacing w:after="0" w:line="276" w:lineRule="auto"/>
        <w:jc w:val="both"/>
      </w:pPr>
      <w:r>
        <w:t>Jeżeli którekolwiek z postanowień niniejszej umowy byłoby w całości lub w części nieskuteczne, strony niniejszej umowy zobowiązują się zastąpić nieskuteczne postanowienie postanowieniem skutecznym, które jest jak najbardziej zbliżone do celu nieskutecznego postanowienia.</w:t>
      </w:r>
    </w:p>
    <w:p w:rsidR="00F052D1" w:rsidRDefault="00F052D1" w:rsidP="00F052D1">
      <w:pPr>
        <w:pStyle w:val="Akapitzlist"/>
        <w:numPr>
          <w:ilvl w:val="0"/>
          <w:numId w:val="19"/>
        </w:numPr>
        <w:spacing w:after="0" w:line="276" w:lineRule="auto"/>
        <w:jc w:val="both"/>
      </w:pPr>
      <w:r>
        <w:t>Zmiany i uzupełnienia niniejszej umowy – oraz wszelkie zrzeczenia się wymogu formy pisemnej – muszą mieć formę pisemną.</w:t>
      </w:r>
    </w:p>
    <w:p w:rsidR="00F052D1" w:rsidRDefault="00F052D1" w:rsidP="00F052D1">
      <w:pPr>
        <w:pStyle w:val="Akapitzlist"/>
        <w:spacing w:after="0" w:line="276" w:lineRule="auto"/>
        <w:jc w:val="both"/>
      </w:pPr>
    </w:p>
    <w:p w:rsidR="00F052D1" w:rsidRPr="00F052D1" w:rsidRDefault="00F052D1" w:rsidP="00F052D1">
      <w:pPr>
        <w:spacing w:after="0" w:line="276" w:lineRule="auto"/>
        <w:jc w:val="center"/>
        <w:rPr>
          <w:b/>
        </w:rPr>
      </w:pPr>
      <w:r w:rsidRPr="00F052D1">
        <w:rPr>
          <w:b/>
        </w:rPr>
        <w:t>Artykuł 14 - Prawo właściwe - spory</w:t>
      </w:r>
    </w:p>
    <w:p w:rsidR="00F052D1" w:rsidRDefault="00F052D1" w:rsidP="00F052D1">
      <w:pPr>
        <w:pStyle w:val="Akapitzlist"/>
        <w:numPr>
          <w:ilvl w:val="0"/>
          <w:numId w:val="20"/>
        </w:numPr>
        <w:spacing w:after="0" w:line="276" w:lineRule="auto"/>
        <w:jc w:val="both"/>
      </w:pPr>
      <w:r>
        <w:t>Niniejsza umowa podlega prawu francuskiemu.</w:t>
      </w:r>
    </w:p>
    <w:p w:rsidR="00F052D1" w:rsidRDefault="00F052D1" w:rsidP="00F052D1">
      <w:pPr>
        <w:pStyle w:val="Akapitzlist"/>
        <w:spacing w:after="0" w:line="276" w:lineRule="auto"/>
        <w:jc w:val="both"/>
      </w:pPr>
    </w:p>
    <w:p w:rsidR="00F052D1" w:rsidRDefault="00F052D1" w:rsidP="00F052D1">
      <w:pPr>
        <w:pStyle w:val="Akapitzlist"/>
        <w:numPr>
          <w:ilvl w:val="0"/>
          <w:numId w:val="20"/>
        </w:numPr>
        <w:spacing w:after="0" w:line="276" w:lineRule="auto"/>
        <w:jc w:val="both"/>
      </w:pPr>
      <w:r>
        <w:t xml:space="preserve">Wszelkie spory między stronami, które nie mogły zostać rozwiązane polubownie, dotyczące ich stosunku umownego, a w szczególności interpretacji, wykonania i rozwiązania niniejszej umowy, będą kierowane do </w:t>
      </w:r>
      <w:proofErr w:type="spellStart"/>
      <w:r>
        <w:t>Tribunal</w:t>
      </w:r>
      <w:proofErr w:type="spellEnd"/>
      <w:r>
        <w:t xml:space="preserve"> </w:t>
      </w:r>
      <w:proofErr w:type="spellStart"/>
      <w:r>
        <w:t>Administratif</w:t>
      </w:r>
      <w:proofErr w:type="spellEnd"/>
      <w:r>
        <w:t xml:space="preserve"> de Paris, który ma wyłączną jurysdykcję.</w:t>
      </w:r>
    </w:p>
    <w:p w:rsidR="00F052D1" w:rsidRDefault="00F052D1" w:rsidP="00F052D1">
      <w:pPr>
        <w:pStyle w:val="Akapitzlist"/>
      </w:pPr>
    </w:p>
    <w:p w:rsidR="00F052D1" w:rsidRPr="00F052D1" w:rsidRDefault="00F052D1" w:rsidP="00F052D1">
      <w:pPr>
        <w:spacing w:after="0" w:line="276" w:lineRule="auto"/>
        <w:jc w:val="center"/>
        <w:rPr>
          <w:b/>
        </w:rPr>
      </w:pPr>
      <w:r w:rsidRPr="00F052D1">
        <w:rPr>
          <w:b/>
        </w:rPr>
        <w:t>Artykuł 15 - Podpisy</w:t>
      </w:r>
    </w:p>
    <w:p w:rsidR="00F052D1" w:rsidRPr="003F6262" w:rsidRDefault="00F052D1" w:rsidP="00F052D1">
      <w:pPr>
        <w:spacing w:after="0" w:line="276" w:lineRule="auto"/>
        <w:jc w:val="both"/>
      </w:pPr>
      <w:r>
        <w:t>Niniejsza Umowa o dofinansowanie jest wydawana w trzech egzemplarzach przez Instytucję Zarządzającą i kontrasygnowana przez Partnera Wiodącego.</w:t>
      </w:r>
      <w:r w:rsidR="00962CB3">
        <w:tab/>
      </w:r>
    </w:p>
    <w:sectPr w:rsidR="00F052D1" w:rsidRPr="003F626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13" w:rsidRDefault="000F6313" w:rsidP="007D5543">
      <w:pPr>
        <w:spacing w:after="0" w:line="240" w:lineRule="auto"/>
      </w:pPr>
      <w:r>
        <w:separator/>
      </w:r>
    </w:p>
  </w:endnote>
  <w:endnote w:type="continuationSeparator" w:id="0">
    <w:p w:rsidR="000F6313" w:rsidRDefault="000F6313" w:rsidP="007D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543" w:rsidRDefault="007D5543" w:rsidP="007D5543">
    <w:pPr>
      <w:pStyle w:val="Stopka"/>
      <w:rPr>
        <w:i/>
        <w:iCs/>
      </w:rPr>
    </w:pPr>
    <w:r w:rsidRPr="007D5543">
      <w:rPr>
        <w:i/>
        <w:iCs/>
      </w:rPr>
      <w:t xml:space="preserve">Umowa o dofinansowanie URBACT Sieć transferowa </w:t>
    </w:r>
    <w:proofErr w:type="spellStart"/>
    <w:r w:rsidRPr="007D5543">
      <w:rPr>
        <w:i/>
        <w:iCs/>
      </w:rPr>
      <w:t>TechRevolution</w:t>
    </w:r>
    <w:proofErr w:type="spellEnd"/>
    <w:r w:rsidRPr="007D5543">
      <w:rPr>
        <w:i/>
        <w:iCs/>
      </w:rPr>
      <w:t xml:space="preserve"> 2.0 (druga fala)</w:t>
    </w:r>
  </w:p>
  <w:p w:rsidR="007D5543" w:rsidRDefault="007D5543" w:rsidP="007D5543">
    <w:pPr>
      <w:pStyle w:val="Stopka"/>
    </w:pPr>
  </w:p>
  <w:p w:rsidR="00962CB3" w:rsidRPr="007D5543" w:rsidRDefault="00962CB3" w:rsidP="007D5543">
    <w:pPr>
      <w:pStyle w:val="Stopka"/>
    </w:pPr>
    <w:r>
      <w:t>- tłumaczenie robocze Wojciech Jarosz – WPM - 10.11.2021 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13" w:rsidRDefault="000F6313" w:rsidP="007D5543">
      <w:pPr>
        <w:spacing w:after="0" w:line="240" w:lineRule="auto"/>
      </w:pPr>
      <w:r>
        <w:separator/>
      </w:r>
    </w:p>
  </w:footnote>
  <w:footnote w:type="continuationSeparator" w:id="0">
    <w:p w:rsidR="000F6313" w:rsidRDefault="000F6313" w:rsidP="007D5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6F61"/>
    <w:multiLevelType w:val="hybridMultilevel"/>
    <w:tmpl w:val="E2427E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520DA1"/>
    <w:multiLevelType w:val="hybridMultilevel"/>
    <w:tmpl w:val="364097B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07201B"/>
    <w:multiLevelType w:val="hybridMultilevel"/>
    <w:tmpl w:val="3F12FA56"/>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5A63840"/>
    <w:multiLevelType w:val="hybridMultilevel"/>
    <w:tmpl w:val="727A387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72A4D92"/>
    <w:multiLevelType w:val="hybridMultilevel"/>
    <w:tmpl w:val="328438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2578FC"/>
    <w:multiLevelType w:val="hybridMultilevel"/>
    <w:tmpl w:val="6E9CD9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8522845"/>
    <w:multiLevelType w:val="hybridMultilevel"/>
    <w:tmpl w:val="2C6A67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8B47129"/>
    <w:multiLevelType w:val="hybridMultilevel"/>
    <w:tmpl w:val="E09083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B0B3900"/>
    <w:multiLevelType w:val="hybridMultilevel"/>
    <w:tmpl w:val="067E73D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40C1AE0"/>
    <w:multiLevelType w:val="hybridMultilevel"/>
    <w:tmpl w:val="93C683B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2F7C6C8E"/>
    <w:multiLevelType w:val="hybridMultilevel"/>
    <w:tmpl w:val="B22E1A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013FD7"/>
    <w:multiLevelType w:val="hybridMultilevel"/>
    <w:tmpl w:val="3F12FA56"/>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3C9C60B0"/>
    <w:multiLevelType w:val="hybridMultilevel"/>
    <w:tmpl w:val="F544EC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3042E6F"/>
    <w:multiLevelType w:val="hybridMultilevel"/>
    <w:tmpl w:val="45ECFA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427604D"/>
    <w:multiLevelType w:val="hybridMultilevel"/>
    <w:tmpl w:val="634828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6253B72"/>
    <w:multiLevelType w:val="hybridMultilevel"/>
    <w:tmpl w:val="9A4E36F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63F1F9C"/>
    <w:multiLevelType w:val="hybridMultilevel"/>
    <w:tmpl w:val="A5F8BE8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53CF6597"/>
    <w:multiLevelType w:val="hybridMultilevel"/>
    <w:tmpl w:val="65A8565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5C9513D0"/>
    <w:multiLevelType w:val="hybridMultilevel"/>
    <w:tmpl w:val="F3AA5810"/>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EAE0CE7"/>
    <w:multiLevelType w:val="hybridMultilevel"/>
    <w:tmpl w:val="70D294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0"/>
  </w:num>
  <w:num w:numId="5">
    <w:abstractNumId w:val="11"/>
  </w:num>
  <w:num w:numId="6">
    <w:abstractNumId w:val="13"/>
  </w:num>
  <w:num w:numId="7">
    <w:abstractNumId w:val="9"/>
  </w:num>
  <w:num w:numId="8">
    <w:abstractNumId w:val="2"/>
  </w:num>
  <w:num w:numId="9">
    <w:abstractNumId w:val="1"/>
  </w:num>
  <w:num w:numId="10">
    <w:abstractNumId w:val="15"/>
  </w:num>
  <w:num w:numId="11">
    <w:abstractNumId w:val="19"/>
  </w:num>
  <w:num w:numId="12">
    <w:abstractNumId w:val="18"/>
  </w:num>
  <w:num w:numId="13">
    <w:abstractNumId w:val="5"/>
  </w:num>
  <w:num w:numId="14">
    <w:abstractNumId w:val="8"/>
  </w:num>
  <w:num w:numId="15">
    <w:abstractNumId w:val="14"/>
  </w:num>
  <w:num w:numId="16">
    <w:abstractNumId w:val="6"/>
  </w:num>
  <w:num w:numId="17">
    <w:abstractNumId w:val="7"/>
  </w:num>
  <w:num w:numId="18">
    <w:abstractNumId w:val="12"/>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1B"/>
    <w:rsid w:val="000F6313"/>
    <w:rsid w:val="001E667C"/>
    <w:rsid w:val="0035356D"/>
    <w:rsid w:val="003F6262"/>
    <w:rsid w:val="005046FE"/>
    <w:rsid w:val="0071459C"/>
    <w:rsid w:val="00745846"/>
    <w:rsid w:val="007C511B"/>
    <w:rsid w:val="007D5543"/>
    <w:rsid w:val="00962CB3"/>
    <w:rsid w:val="00A9388B"/>
    <w:rsid w:val="00BD69E8"/>
    <w:rsid w:val="00CC5026"/>
    <w:rsid w:val="00D71463"/>
    <w:rsid w:val="00F052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B1D3-73A5-43BB-8805-27935BE5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D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5543"/>
    <w:pPr>
      <w:autoSpaceDE w:val="0"/>
      <w:autoSpaceDN w:val="0"/>
      <w:adjustRightInd w:val="0"/>
      <w:spacing w:after="0" w:line="240" w:lineRule="auto"/>
    </w:pPr>
    <w:rPr>
      <w:rFonts w:ascii="Verdana" w:hAnsi="Verdana" w:cs="Verdana"/>
      <w:color w:val="000000"/>
      <w:sz w:val="24"/>
      <w:szCs w:val="24"/>
    </w:rPr>
  </w:style>
  <w:style w:type="paragraph" w:styleId="Akapitzlist">
    <w:name w:val="List Paragraph"/>
    <w:basedOn w:val="Normalny"/>
    <w:uiPriority w:val="34"/>
    <w:qFormat/>
    <w:rsid w:val="007D5543"/>
    <w:pPr>
      <w:ind w:left="720"/>
      <w:contextualSpacing/>
    </w:pPr>
  </w:style>
  <w:style w:type="paragraph" w:styleId="Nagwek">
    <w:name w:val="header"/>
    <w:basedOn w:val="Normalny"/>
    <w:link w:val="NagwekZnak"/>
    <w:uiPriority w:val="99"/>
    <w:unhideWhenUsed/>
    <w:rsid w:val="007D55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D5543"/>
  </w:style>
  <w:style w:type="paragraph" w:styleId="Stopka">
    <w:name w:val="footer"/>
    <w:basedOn w:val="Normalny"/>
    <w:link w:val="StopkaZnak"/>
    <w:uiPriority w:val="99"/>
    <w:unhideWhenUsed/>
    <w:rsid w:val="007D55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D5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AE9A-0260-4970-B6E5-0DB2FB3F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Pages>
  <Words>6086</Words>
  <Characters>36521</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5</cp:revision>
  <dcterms:created xsi:type="dcterms:W3CDTF">2021-11-10T10:08:00Z</dcterms:created>
  <dcterms:modified xsi:type="dcterms:W3CDTF">2021-11-15T09:11:00Z</dcterms:modified>
</cp:coreProperties>
</file>