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AD" w:rsidRDefault="006635AD" w:rsidP="00C57782">
      <w:pPr>
        <w:spacing w:after="0"/>
        <w:jc w:val="both"/>
        <w:rPr>
          <w:rFonts w:eastAsia="Times New Roman" w:cstheme="minorHAnsi"/>
          <w:b/>
          <w:bCs/>
          <w:lang w:val="en-GB" w:eastAsia="pl-PL"/>
        </w:rPr>
      </w:pPr>
      <w:bookmarkStart w:id="0" w:name="_GoBack"/>
      <w:r w:rsidRPr="006635AD">
        <w:rPr>
          <w:rFonts w:eastAsia="Times New Roman" w:cstheme="minorHAnsi"/>
          <w:b/>
          <w:bCs/>
          <w:lang w:val="en-GB" w:eastAsia="pl-PL"/>
        </w:rPr>
        <w:t>TECHREVOLUTION - TRANSFER NETWORKS - SECOND WAVE</w:t>
      </w:r>
    </w:p>
    <w:bookmarkEnd w:id="0"/>
    <w:p w:rsidR="00C57782" w:rsidRDefault="00C57782" w:rsidP="00C57782">
      <w:pPr>
        <w:spacing w:after="0"/>
        <w:jc w:val="both"/>
        <w:rPr>
          <w:rFonts w:eastAsia="Times New Roman" w:cstheme="minorHAnsi"/>
          <w:b/>
          <w:bCs/>
          <w:lang w:val="en-GB" w:eastAsia="pl-PL"/>
        </w:rPr>
      </w:pPr>
      <w:proofErr w:type="spellStart"/>
      <w:r>
        <w:rPr>
          <w:rFonts w:eastAsia="Times New Roman" w:cstheme="minorHAnsi"/>
          <w:b/>
          <w:bCs/>
          <w:lang w:val="en-GB" w:eastAsia="pl-PL"/>
        </w:rPr>
        <w:t>czerwiec</w:t>
      </w:r>
      <w:proofErr w:type="spellEnd"/>
      <w:r>
        <w:rPr>
          <w:rFonts w:eastAsia="Times New Roman" w:cstheme="minorHAnsi"/>
          <w:b/>
          <w:bCs/>
          <w:lang w:val="en-GB" w:eastAsia="pl-PL"/>
        </w:rPr>
        <w:t xml:space="preserve"> 2021 – </w:t>
      </w:r>
      <w:proofErr w:type="spellStart"/>
      <w:r>
        <w:rPr>
          <w:rFonts w:eastAsia="Times New Roman" w:cstheme="minorHAnsi"/>
          <w:b/>
          <w:bCs/>
          <w:lang w:val="en-GB" w:eastAsia="pl-PL"/>
        </w:rPr>
        <w:t>grudzień</w:t>
      </w:r>
      <w:proofErr w:type="spellEnd"/>
      <w:r>
        <w:rPr>
          <w:rFonts w:eastAsia="Times New Roman" w:cstheme="minorHAnsi"/>
          <w:b/>
          <w:bCs/>
          <w:lang w:val="en-GB" w:eastAsia="pl-PL"/>
        </w:rPr>
        <w:t xml:space="preserve">  2022</w:t>
      </w:r>
    </w:p>
    <w:p w:rsidR="00C57782" w:rsidRPr="006635AD" w:rsidRDefault="00C57782" w:rsidP="00C57782">
      <w:pPr>
        <w:spacing w:before="240" w:after="0"/>
        <w:jc w:val="both"/>
        <w:rPr>
          <w:rFonts w:eastAsia="Times New Roman" w:cstheme="minorHAnsi"/>
          <w:b/>
          <w:bCs/>
          <w:lang w:val="en-GB" w:eastAsia="pl-PL"/>
        </w:rPr>
      </w:pPr>
    </w:p>
    <w:p w:rsidR="008749A5" w:rsidRPr="00F779C9" w:rsidRDefault="008749A5" w:rsidP="00F779C9">
      <w:pPr>
        <w:jc w:val="both"/>
        <w:rPr>
          <w:rFonts w:eastAsia="Times New Roman" w:cstheme="minorHAnsi"/>
          <w:b/>
          <w:bCs/>
          <w:color w:val="0070C0"/>
          <w:lang w:val="en-GB" w:eastAsia="pl-PL"/>
        </w:rPr>
      </w:pPr>
      <w:r w:rsidRPr="00F779C9">
        <w:rPr>
          <w:rFonts w:eastAsia="Times New Roman" w:cstheme="minorHAnsi"/>
          <w:b/>
          <w:bCs/>
          <w:color w:val="0070C0"/>
          <w:lang w:val="en-GB" w:eastAsia="pl-PL"/>
        </w:rPr>
        <w:t>BARNSLEY</w:t>
      </w:r>
      <w:r w:rsidR="00DE2BA3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 </w:t>
      </w:r>
      <w:r w:rsidR="00F779C9" w:rsidRPr="00F779C9">
        <w:rPr>
          <w:rFonts w:eastAsia="Times New Roman" w:cstheme="minorHAnsi"/>
          <w:b/>
          <w:bCs/>
          <w:color w:val="0070C0"/>
          <w:lang w:val="en-GB" w:eastAsia="pl-PL"/>
        </w:rPr>
        <w:t>–</w:t>
      </w:r>
      <w:r w:rsidR="00DE2BA3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 </w:t>
      </w:r>
      <w:r w:rsidR="00F779C9" w:rsidRPr="00F779C9">
        <w:rPr>
          <w:rFonts w:eastAsia="Times New Roman" w:cstheme="minorHAnsi"/>
          <w:b/>
          <w:bCs/>
          <w:color w:val="0070C0"/>
          <w:lang w:val="en-GB" w:eastAsia="pl-PL"/>
        </w:rPr>
        <w:t xml:space="preserve">LIDER PROJEKTU </w:t>
      </w:r>
    </w:p>
    <w:p w:rsidR="006635AD" w:rsidRPr="006635AD" w:rsidRDefault="006635AD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Państwo: Wielka Brytania</w:t>
      </w:r>
    </w:p>
    <w:p w:rsidR="006635AD" w:rsidRDefault="006635AD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 xml:space="preserve">Liczba ludności: </w:t>
      </w:r>
      <w:r w:rsidR="00F779C9">
        <w:rPr>
          <w:rFonts w:eastAsia="Times New Roman" w:cstheme="minorHAnsi"/>
          <w:bCs/>
          <w:lang w:eastAsia="pl-PL"/>
        </w:rPr>
        <w:t>ponad 120 000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99,5% wszystkich firm to małe i średnie przedsiębiorstwa (MŚP)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Największe sektory zatrudnienia to sektor publiczny (21% oraz handel hurtowy i detaliczny (16,9%), produkcja (14%) oraz transport i magazynowanie (6,5%)</w:t>
      </w:r>
    </w:p>
    <w:p w:rsidR="008749A5" w:rsidRPr="006635AD" w:rsidRDefault="008749A5" w:rsidP="00F779C9">
      <w:pPr>
        <w:pStyle w:val="Akapitzlist"/>
        <w:numPr>
          <w:ilvl w:val="0"/>
          <w:numId w:val="4"/>
        </w:numPr>
        <w:jc w:val="both"/>
        <w:rPr>
          <w:rFonts w:eastAsia="Times New Roman" w:cstheme="minorHAnsi"/>
          <w:bCs/>
          <w:lang w:eastAsia="pl-PL"/>
        </w:rPr>
      </w:pPr>
      <w:r w:rsidRPr="006635AD">
        <w:rPr>
          <w:rFonts w:eastAsia="Times New Roman" w:cstheme="minorHAnsi"/>
          <w:bCs/>
          <w:lang w:eastAsia="pl-PL"/>
        </w:rPr>
        <w:t>Branże kreatywne, technologiczne i cyfrowe są postrzegane jako potencjalnie transformacyjne sektory, a miasto ma jasny cel, jakim jest tworzenie większej liczby miejsc pracy o wyższej wartości dla lokalnej ludności</w:t>
      </w:r>
    </w:p>
    <w:p w:rsidR="008749A5" w:rsidRPr="00F779C9" w:rsidRDefault="008749A5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>DOBRA PRAKTYKA</w:t>
      </w:r>
    </w:p>
    <w:p w:rsidR="00DD303B" w:rsidRPr="00DD303B" w:rsidRDefault="00DD303B" w:rsidP="00F779C9">
      <w:pPr>
        <w:jc w:val="both"/>
      </w:pPr>
      <w:proofErr w:type="spellStart"/>
      <w:r w:rsidRPr="00DD303B">
        <w:t>Enterprising</w:t>
      </w:r>
      <w:proofErr w:type="spellEnd"/>
      <w:r w:rsidRPr="00DD303B">
        <w:t xml:space="preserve"> Barnsley to inicjatywa, która </w:t>
      </w:r>
      <w:r w:rsidR="00DE2BA3">
        <w:t>sf</w:t>
      </w:r>
      <w:r w:rsidRPr="00DD303B">
        <w:t>inansowana z</w:t>
      </w:r>
      <w:r w:rsidR="00DE2BA3">
        <w:t>ostała w ramach</w:t>
      </w:r>
      <w:r w:rsidRPr="00DD303B">
        <w:t xml:space="preserve"> EFRR, działała w jednym kształcie lub formie od 2007 r. Zapewnia zintegrowany pakiet intensywnego wsparcia</w:t>
      </w:r>
      <w:r w:rsidRPr="00DD303B">
        <w:t xml:space="preserve"> </w:t>
      </w:r>
      <w:r w:rsidR="00DE2BA3">
        <w:t>s</w:t>
      </w:r>
      <w:r w:rsidRPr="00DD303B">
        <w:t xml:space="preserve">koncentrowanego na lokalnych </w:t>
      </w:r>
      <w:r w:rsidRPr="00DD303B">
        <w:t xml:space="preserve">potrzebach przedsiębiorstw </w:t>
      </w:r>
      <w:r w:rsidRPr="00DD303B">
        <w:t xml:space="preserve">(start </w:t>
      </w:r>
      <w:proofErr w:type="spellStart"/>
      <w:r w:rsidRPr="00DD303B">
        <w:t>upach</w:t>
      </w:r>
      <w:proofErr w:type="spellEnd"/>
      <w:r w:rsidRPr="00DD303B">
        <w:t xml:space="preserve">), </w:t>
      </w:r>
      <w:r w:rsidRPr="00DD303B">
        <w:t xml:space="preserve">w celu tworzenie </w:t>
      </w:r>
      <w:r w:rsidR="00F779C9">
        <w:br/>
      </w:r>
      <w:r w:rsidRPr="00DD303B">
        <w:t>i przyspieszanie wzrostu gospodarczego. Portfolio projektów koncentruje się na wspieraniu rozpoczynania działalności gospodarczej, inkubacji przedsiębiorczości, coachingu przedsiębiorczości, inwestycjach wewnętrznych, sieciach i warsztatach oraz centrach przedsiębiorczości.</w:t>
      </w:r>
    </w:p>
    <w:p w:rsidR="00DD303B" w:rsidRPr="00DD303B" w:rsidRDefault="00DD303B" w:rsidP="00F779C9">
      <w:pPr>
        <w:jc w:val="both"/>
      </w:pPr>
      <w:r w:rsidRPr="00DD303B">
        <w:t xml:space="preserve">Obecnie tworzy około 1500 miejsc pracy rocznie, a każdy 1 GBP zainwestowany przez </w:t>
      </w:r>
      <w:proofErr w:type="spellStart"/>
      <w:r w:rsidRPr="00DD303B">
        <w:t>Enterprising</w:t>
      </w:r>
      <w:proofErr w:type="spellEnd"/>
      <w:r w:rsidRPr="00DD303B">
        <w:t xml:space="preserve"> Barnsley pomaga zabezpieczyć dodatkowe 5,33 GBP w inwestycjach sektora prywatnego w lokalną gospodarkę; a każdy 1 GBP inwestycji zapewnia dodatkowe 0,96 GBP w stawkach biznesowych.</w:t>
      </w:r>
    </w:p>
    <w:p w:rsidR="008749A5" w:rsidRPr="008749A5" w:rsidRDefault="008749A5" w:rsidP="00F779C9">
      <w:pPr>
        <w:jc w:val="both"/>
      </w:pPr>
      <w:r w:rsidRPr="008749A5">
        <w:t>Dobra praktyka obejmuje 2 główne filary:</w:t>
      </w:r>
    </w:p>
    <w:p w:rsidR="008749A5" w:rsidRPr="008749A5" w:rsidRDefault="008749A5" w:rsidP="00F779C9">
      <w:pPr>
        <w:pStyle w:val="Akapitzlist"/>
        <w:numPr>
          <w:ilvl w:val="0"/>
          <w:numId w:val="2"/>
        </w:numPr>
        <w:jc w:val="both"/>
      </w:pPr>
      <w:proofErr w:type="spellStart"/>
      <w:r w:rsidRPr="008749A5">
        <w:rPr>
          <w:b/>
        </w:rPr>
        <w:t>Enterprising</w:t>
      </w:r>
      <w:proofErr w:type="spellEnd"/>
      <w:r w:rsidRPr="008749A5">
        <w:rPr>
          <w:b/>
        </w:rPr>
        <w:t xml:space="preserve"> Barnsley</w:t>
      </w:r>
      <w:r w:rsidRPr="008749A5">
        <w:t xml:space="preserve"> - skuteczny program wspierania biznesu;</w:t>
      </w:r>
    </w:p>
    <w:p w:rsidR="00DF37AC" w:rsidRDefault="008749A5" w:rsidP="00F779C9">
      <w:pPr>
        <w:pStyle w:val="Akapitzlist"/>
        <w:numPr>
          <w:ilvl w:val="0"/>
          <w:numId w:val="2"/>
        </w:numPr>
        <w:jc w:val="both"/>
      </w:pPr>
      <w:r w:rsidRPr="008749A5">
        <w:rPr>
          <w:b/>
        </w:rPr>
        <w:t>Digital Media Center (DMC)</w:t>
      </w:r>
      <w:r w:rsidRPr="008749A5">
        <w:t xml:space="preserve"> - przełomowe centrum kreatywnego i cyfrowego biznesu </w:t>
      </w:r>
      <w:r w:rsidRPr="008749A5">
        <w:br/>
      </w:r>
      <w:r w:rsidRPr="008749A5">
        <w:t>w centrum miasta.</w:t>
      </w:r>
    </w:p>
    <w:p w:rsidR="00DE2BA3" w:rsidRDefault="00DE2BA3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>PROEJKT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Lider projektu: </w:t>
      </w:r>
      <w:r w:rsidRPr="002E491D">
        <w:t>Barnsley</w:t>
      </w:r>
      <w:r>
        <w:rPr>
          <w:b/>
        </w:rPr>
        <w:t xml:space="preserve"> 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Czas rozpoczęcia: </w:t>
      </w:r>
      <w:r w:rsidRPr="006F71D9">
        <w:t>czerwiec 2021 (wydarzenie inauguracyjne – 24 czerwca 2021)</w:t>
      </w:r>
    </w:p>
    <w:p w:rsidR="00F779C9" w:rsidRDefault="00F779C9" w:rsidP="00F779C9">
      <w:pPr>
        <w:spacing w:after="0"/>
        <w:jc w:val="both"/>
        <w:rPr>
          <w:b/>
        </w:rPr>
      </w:pPr>
      <w:r>
        <w:rPr>
          <w:b/>
        </w:rPr>
        <w:t xml:space="preserve">Ilość partnerów: </w:t>
      </w:r>
      <w:r w:rsidRPr="002E491D">
        <w:t>4 miasta UE</w:t>
      </w:r>
    </w:p>
    <w:p w:rsidR="00F779C9" w:rsidRDefault="00F779C9" w:rsidP="00F779C9">
      <w:pPr>
        <w:spacing w:after="0"/>
        <w:jc w:val="both"/>
      </w:pPr>
      <w:r w:rsidRPr="008749A5">
        <w:rPr>
          <w:b/>
        </w:rPr>
        <w:t>Budżet dla partnera:</w:t>
      </w:r>
      <w:r>
        <w:t xml:space="preserve"> 80 000 </w:t>
      </w:r>
      <w:r w:rsidRPr="008749A5">
        <w:t>€</w:t>
      </w:r>
    </w:p>
    <w:p w:rsidR="00F779C9" w:rsidRDefault="00F779C9" w:rsidP="00F779C9">
      <w:pPr>
        <w:spacing w:after="0"/>
        <w:jc w:val="both"/>
      </w:pPr>
      <w:r w:rsidRPr="008749A5">
        <w:rPr>
          <w:b/>
        </w:rPr>
        <w:t>Poziom współfinansowania z budżetu miasta</w:t>
      </w:r>
      <w:r>
        <w:t>: 15%</w:t>
      </w:r>
    </w:p>
    <w:p w:rsidR="00F779C9" w:rsidRDefault="00F779C9" w:rsidP="00F779C9">
      <w:pPr>
        <w:spacing w:after="0"/>
        <w:jc w:val="both"/>
      </w:pPr>
    </w:p>
    <w:p w:rsidR="006635AD" w:rsidRDefault="006635AD" w:rsidP="00F779C9">
      <w:pPr>
        <w:spacing w:after="0"/>
        <w:jc w:val="both"/>
      </w:pPr>
      <w:r>
        <w:t xml:space="preserve">Od 2018 roku, </w:t>
      </w:r>
      <w:r>
        <w:t>Barnsley</w:t>
      </w:r>
      <w:r>
        <w:t xml:space="preserve"> realizował pierwszą fazę projektu z programu </w:t>
      </w:r>
      <w:r>
        <w:t>URBACT</w:t>
      </w:r>
      <w:r>
        <w:t>, którego celem było utworzenie Sieci Transferu. Miasta partnerskie, przez czas realizacji projektu miały możliwość zapoznania się z działaniami real</w:t>
      </w:r>
      <w:r w:rsidR="00DD303B">
        <w:t xml:space="preserve">izowanymi przez Lidera Projektu, w celu tworzenia Mapy Transferu dobrych praktyk do własnych miast.  </w:t>
      </w:r>
    </w:p>
    <w:p w:rsidR="00F779C9" w:rsidRDefault="00F779C9" w:rsidP="00F779C9">
      <w:pPr>
        <w:spacing w:after="0"/>
        <w:jc w:val="both"/>
      </w:pPr>
    </w:p>
    <w:p w:rsidR="008749A5" w:rsidRDefault="008749A5" w:rsidP="00F779C9">
      <w:pPr>
        <w:jc w:val="both"/>
      </w:pPr>
      <w:r>
        <w:t xml:space="preserve">Po udanym pilotażu, w 2018 URBACT uruchomił </w:t>
      </w:r>
      <w:r>
        <w:t>kolejną fazę projektu „</w:t>
      </w:r>
      <w:r>
        <w:t>Sieci Transferu Dobrych Praktyk</w:t>
      </w:r>
      <w:r w:rsidR="00DD303B">
        <w:t xml:space="preserve"> – druga fala</w:t>
      </w:r>
      <w:r>
        <w:t>”</w:t>
      </w:r>
      <w:r>
        <w:t xml:space="preserve">. </w:t>
      </w:r>
      <w:r w:rsidR="00DD303B">
        <w:t>D</w:t>
      </w:r>
      <w:r>
        <w:t xml:space="preserve">ruga fala sieci transferowych umożliwi większej liczbie miast w Europie </w:t>
      </w:r>
      <w:r w:rsidR="00F779C9">
        <w:t xml:space="preserve">na stworzenie </w:t>
      </w:r>
      <w:r w:rsidR="00F779C9">
        <w:t xml:space="preserve">Mapy Transferu dobrych praktyk do własnych miast.  </w:t>
      </w:r>
      <w:r w:rsidR="00DD303B">
        <w:t xml:space="preserve">Realizacje założeń projektów URBACT, </w:t>
      </w:r>
      <w:r>
        <w:t xml:space="preserve">osiąga się </w:t>
      </w:r>
      <w:r>
        <w:lastRenderedPageBreak/>
        <w:t xml:space="preserve">dzięki wypróbowanej i przetestowanej metodzie wymiany i uczenia, z narzędziami dostosowanymi do potrzeb </w:t>
      </w:r>
      <w:r w:rsidR="00DD303B">
        <w:t xml:space="preserve">każdego partnera </w:t>
      </w:r>
      <w:r>
        <w:t>oraz przy wsparciu ekspertów.</w:t>
      </w:r>
    </w:p>
    <w:p w:rsidR="006635AD" w:rsidRPr="00F779C9" w:rsidRDefault="00F779C9" w:rsidP="00F779C9">
      <w:pPr>
        <w:jc w:val="both"/>
        <w:rPr>
          <w:b/>
          <w:color w:val="0070C0"/>
        </w:rPr>
      </w:pPr>
      <w:r w:rsidRPr="00F779C9">
        <w:rPr>
          <w:b/>
          <w:color w:val="0070C0"/>
        </w:rPr>
        <w:t xml:space="preserve">ETAPY I PRODUKTY PROJEKTU </w:t>
      </w: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Zrozumienie - 1 Kwartał (Czerwiec - Wrz</w:t>
      </w:r>
      <w:r>
        <w:rPr>
          <w:b/>
        </w:rPr>
        <w:t>esień</w:t>
      </w:r>
      <w:r w:rsidRPr="00F779C9">
        <w:rPr>
          <w:b/>
        </w:rPr>
        <w:t xml:space="preserve"> 2021)</w:t>
      </w:r>
    </w:p>
    <w:p w:rsidR="006F71D9" w:rsidRDefault="006F71D9" w:rsidP="00F779C9">
      <w:pPr>
        <w:spacing w:after="0"/>
        <w:jc w:val="both"/>
      </w:pPr>
      <w:r>
        <w:t>Główne produkty będą obejmować: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Seria wymian online, dwustronnych i międzynarodowych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Spotkanie inauguracyjne poświęcone głębokiemu zanurzeniu w sieci prowadzone przez miasto dobrych praktyk (wrzesień 2021)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Plany transferowe (1 na partnera transferowego do jesieni 2021 r.)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Utworzenie lokalnych grup URBACT (1 na partnera) - organizacje, stowarzyszenia, uczelnie itp. najlepiej odpowiadające charakterowi realizowanego projektu i jego celowi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Kwartalny raport sieciowy (przygotowany przez wiodącego eksperta)</w:t>
      </w:r>
    </w:p>
    <w:p w:rsidR="006F71D9" w:rsidRDefault="006F71D9" w:rsidP="00F779C9">
      <w:pPr>
        <w:pStyle w:val="Akapitzlist"/>
        <w:numPr>
          <w:ilvl w:val="0"/>
          <w:numId w:val="5"/>
        </w:numPr>
        <w:spacing w:after="0"/>
        <w:jc w:val="both"/>
      </w:pPr>
      <w:r>
        <w:t>Pierwszy artykuł sieciowy (przygotowany przez eksperta wiodącego)</w:t>
      </w:r>
    </w:p>
    <w:p w:rsidR="006F71D9" w:rsidRDefault="006F71D9" w:rsidP="00F779C9">
      <w:pPr>
        <w:jc w:val="both"/>
      </w:pP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Dostosuj / Ponownie Używaj - Kwartały 2-5 (Październik 2021 - Wrzesień 2022)</w:t>
      </w:r>
    </w:p>
    <w:p w:rsidR="006F71D9" w:rsidRDefault="006F71D9" w:rsidP="00F779C9">
      <w:pPr>
        <w:jc w:val="both"/>
      </w:pPr>
      <w:r>
        <w:t>Główne produkty obejmują: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4 podstawowe międzynarodowe spotkania dotyczące wymiany i nauki (co najmniej 1 na kwartał)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Zestaw</w:t>
      </w:r>
      <w:r>
        <w:t xml:space="preserve"> dodatkowych działań związanych z wymianą i uczeniem się w różnych formatach (do zdefiniowania przez sieć)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Kwartalne raporty sieciowe (przygotowywane przez wiodącego eksperta)</w:t>
      </w:r>
    </w:p>
    <w:p w:rsidR="006F71D9" w:rsidRDefault="006F71D9" w:rsidP="00F779C9">
      <w:pPr>
        <w:pStyle w:val="Akapitzlist"/>
        <w:numPr>
          <w:ilvl w:val="0"/>
          <w:numId w:val="6"/>
        </w:numPr>
        <w:jc w:val="both"/>
      </w:pPr>
      <w:r>
        <w:t>Zestaw produktów udostępniania sieci (na kwartał), które wychwytują wiedzę wszystkich miast zaangażowanych w Sieć Transferu w odniesieniu do przekazanych Dobrych Praktyk, w tym ulepszenia mające na celu ulepszenie praktyki i zalecenia dla miast spoza partnerstwa sieć).</w:t>
      </w:r>
    </w:p>
    <w:p w:rsidR="006F71D9" w:rsidRPr="00DD303B" w:rsidRDefault="006F71D9" w:rsidP="00F779C9">
      <w:pPr>
        <w:pStyle w:val="Akapitzlist"/>
        <w:numPr>
          <w:ilvl w:val="0"/>
          <w:numId w:val="6"/>
        </w:numPr>
        <w:jc w:val="both"/>
      </w:pPr>
      <w:r>
        <w:t>Kwartalne aktualizacje strony internetowej URBACT</w:t>
      </w:r>
    </w:p>
    <w:p w:rsidR="00F779C9" w:rsidRDefault="00F779C9" w:rsidP="00F779C9">
      <w:pPr>
        <w:jc w:val="both"/>
        <w:rPr>
          <w:b/>
        </w:rPr>
      </w:pPr>
      <w:r w:rsidRPr="00F779C9">
        <w:rPr>
          <w:b/>
        </w:rPr>
        <w:t>Finał - 6 Kwartał (Październik 2022 - Grudzień 2022)</w:t>
      </w:r>
    </w:p>
    <w:p w:rsidR="00DE2BA3" w:rsidRDefault="00DE2BA3" w:rsidP="00F779C9">
      <w:pPr>
        <w:jc w:val="both"/>
      </w:pPr>
      <w:r>
        <w:t>Główne produkty będą obejmować: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Końcowe wydarzenie sieciowe (z powrotem do ostatniego spotkania w sieci)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Ostateczny produkt wyników sieci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Zestawienie produktów do udostępniania w sieci (wyprodukowanych w trakcie podróży)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Końcowy raport z transferu zawierający kluczowe wnioski z transferu (opracowany przez każdego partnera)</w:t>
      </w:r>
    </w:p>
    <w:p w:rsidR="00DE2BA3" w:rsidRDefault="00DE2BA3" w:rsidP="00F779C9">
      <w:pPr>
        <w:pStyle w:val="Akapitzlist"/>
        <w:numPr>
          <w:ilvl w:val="0"/>
          <w:numId w:val="7"/>
        </w:numPr>
        <w:jc w:val="both"/>
      </w:pPr>
      <w:r>
        <w:t>Opcjonalne wydarzenie końcowe (ULG)</w:t>
      </w:r>
    </w:p>
    <w:p w:rsidR="00DE2BA3" w:rsidRDefault="00DE2BA3" w:rsidP="00F779C9">
      <w:pPr>
        <w:spacing w:after="0"/>
        <w:jc w:val="both"/>
        <w:rPr>
          <w:b/>
        </w:rPr>
      </w:pPr>
    </w:p>
    <w:p w:rsidR="008749A5" w:rsidRPr="008749A5" w:rsidRDefault="008749A5" w:rsidP="00F779C9">
      <w:pPr>
        <w:jc w:val="both"/>
      </w:pPr>
    </w:p>
    <w:p w:rsidR="00DE2BA3" w:rsidRPr="008749A5" w:rsidRDefault="00DE2BA3" w:rsidP="00F779C9">
      <w:pPr>
        <w:jc w:val="both"/>
      </w:pPr>
    </w:p>
    <w:sectPr w:rsidR="00DE2BA3" w:rsidRPr="0087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00" w:rsidRDefault="00694600" w:rsidP="008749A5">
      <w:pPr>
        <w:spacing w:after="0" w:line="240" w:lineRule="auto"/>
      </w:pPr>
      <w:r>
        <w:separator/>
      </w:r>
    </w:p>
  </w:endnote>
  <w:endnote w:type="continuationSeparator" w:id="0">
    <w:p w:rsidR="00694600" w:rsidRDefault="00694600" w:rsidP="0087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00" w:rsidRDefault="00694600" w:rsidP="008749A5">
      <w:pPr>
        <w:spacing w:after="0" w:line="240" w:lineRule="auto"/>
      </w:pPr>
      <w:r>
        <w:separator/>
      </w:r>
    </w:p>
  </w:footnote>
  <w:footnote w:type="continuationSeparator" w:id="0">
    <w:p w:rsidR="00694600" w:rsidRDefault="00694600" w:rsidP="0087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4A3C"/>
    <w:multiLevelType w:val="hybridMultilevel"/>
    <w:tmpl w:val="273CA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6154"/>
    <w:multiLevelType w:val="hybridMultilevel"/>
    <w:tmpl w:val="E3E08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4B846">
      <w:start w:val="4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AD3"/>
    <w:multiLevelType w:val="multilevel"/>
    <w:tmpl w:val="19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9E7"/>
    <w:multiLevelType w:val="hybridMultilevel"/>
    <w:tmpl w:val="E5CEA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6EBB"/>
    <w:multiLevelType w:val="hybridMultilevel"/>
    <w:tmpl w:val="B32E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126F"/>
    <w:multiLevelType w:val="hybridMultilevel"/>
    <w:tmpl w:val="8A066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94B0A"/>
    <w:multiLevelType w:val="hybridMultilevel"/>
    <w:tmpl w:val="262CB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5"/>
    <w:rsid w:val="002E491D"/>
    <w:rsid w:val="006635AD"/>
    <w:rsid w:val="00694600"/>
    <w:rsid w:val="006F71D9"/>
    <w:rsid w:val="00745846"/>
    <w:rsid w:val="008749A5"/>
    <w:rsid w:val="00A62D9F"/>
    <w:rsid w:val="00C57782"/>
    <w:rsid w:val="00CC5026"/>
    <w:rsid w:val="00DD303B"/>
    <w:rsid w:val="00DE2BA3"/>
    <w:rsid w:val="00F7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76D16-7C24-47D4-A2D7-7D01ADD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874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749A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8749A5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7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9A5"/>
  </w:style>
  <w:style w:type="paragraph" w:styleId="Stopka">
    <w:name w:val="footer"/>
    <w:basedOn w:val="Normalny"/>
    <w:link w:val="StopkaZnak"/>
    <w:uiPriority w:val="99"/>
    <w:unhideWhenUsed/>
    <w:rsid w:val="00874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9A5"/>
  </w:style>
  <w:style w:type="paragraph" w:styleId="Akapitzlist">
    <w:name w:val="List Paragraph"/>
    <w:basedOn w:val="Normalny"/>
    <w:uiPriority w:val="34"/>
    <w:qFormat/>
    <w:rsid w:val="008749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3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2021-04-15T09:20:00Z</dcterms:created>
  <dcterms:modified xsi:type="dcterms:W3CDTF">2021-04-15T09:20:00Z</dcterms:modified>
</cp:coreProperties>
</file>