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D192C" w14:textId="47FAC5F3" w:rsidR="00C6070D" w:rsidRPr="008A187D" w:rsidRDefault="008A187D">
      <w:pPr>
        <w:rPr>
          <w:sz w:val="20"/>
          <w:szCs w:val="20"/>
        </w:rPr>
      </w:pPr>
      <w:r w:rsidRPr="008A187D">
        <w:rPr>
          <w:sz w:val="20"/>
          <w:szCs w:val="20"/>
        </w:rPr>
        <w:fldChar w:fldCharType="begin"/>
      </w:r>
      <w:r w:rsidRPr="008A187D">
        <w:rPr>
          <w:sz w:val="20"/>
          <w:szCs w:val="20"/>
        </w:rPr>
        <w:instrText xml:space="preserve"> HYPERLINK "https://bip.erzeszow.pl/pl/332-wspolne-projekty-gminnych-jednostek-budzetowych-dofinansowane-ze-zrodel-zewnetrznych/4235-inne-zrodla-2014-2020/50609-tech-revolution-20.html" </w:instrText>
      </w:r>
      <w:r w:rsidRPr="008A187D">
        <w:rPr>
          <w:sz w:val="20"/>
          <w:szCs w:val="20"/>
        </w:rPr>
        <w:fldChar w:fldCharType="separate"/>
      </w:r>
      <w:r w:rsidRPr="008A187D">
        <w:rPr>
          <w:rStyle w:val="Hipercze"/>
          <w:sz w:val="20"/>
          <w:szCs w:val="20"/>
        </w:rPr>
        <w:t>https://bip.erzeszow.pl/pl/332-wspolne-projekty-gminnych-jednostek-budzetowych-dofinansowane-ze-zrodel-zewnetrznych/4235-inne-zrodla-2014-2020/50609-tech-revolution-20.html</w:t>
      </w:r>
      <w:r w:rsidRPr="008A187D">
        <w:rPr>
          <w:sz w:val="20"/>
          <w:szCs w:val="20"/>
        </w:rPr>
        <w:fldChar w:fldCharType="end"/>
      </w:r>
    </w:p>
    <w:p w14:paraId="52EA8137" w14:textId="7A88E705" w:rsidR="008A187D" w:rsidRPr="008A187D" w:rsidRDefault="008A187D">
      <w:pPr>
        <w:rPr>
          <w:sz w:val="20"/>
          <w:szCs w:val="20"/>
        </w:rPr>
      </w:pPr>
    </w:p>
    <w:p w14:paraId="7113B2A9" w14:textId="1BB9E360" w:rsidR="008A187D" w:rsidRPr="008A187D" w:rsidRDefault="008A187D">
      <w:pPr>
        <w:rPr>
          <w:sz w:val="20"/>
          <w:szCs w:val="20"/>
        </w:rPr>
      </w:pPr>
    </w:p>
    <w:p w14:paraId="11622C53" w14:textId="4E5C05A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>  </w:t>
      </w:r>
      <w:r w:rsidRPr="008A187D">
        <w:rPr>
          <w:rFonts w:ascii="Arial" w:hAnsi="Arial" w:cs="Arial"/>
          <w:b/>
          <w:bCs/>
          <w:noProof/>
          <w:color w:val="D60D06"/>
          <w:sz w:val="20"/>
          <w:szCs w:val="20"/>
        </w:rPr>
        <w:drawing>
          <wp:inline distT="0" distB="0" distL="0" distR="0" wp14:anchorId="3082C26F" wp14:editId="3C74227E">
            <wp:extent cx="2063750" cy="876300"/>
            <wp:effectExtent l="0" t="0" r="0" b="0"/>
            <wp:docPr id="5" name="Obraz 5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2C70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Nazwa projektu:</w:t>
      </w:r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 xml:space="preserve"> „Tech </w:t>
      </w:r>
      <w:proofErr w:type="spellStart"/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>Revolution</w:t>
      </w:r>
      <w:proofErr w:type="spellEnd"/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 xml:space="preserve"> 2.0”</w:t>
      </w:r>
    </w:p>
    <w:p w14:paraId="24F4BF0C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 xml:space="preserve">Program: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Urbact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III, Sieć Transferu</w:t>
      </w:r>
    </w:p>
    <w:p w14:paraId="5C51FAA9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 </w:t>
      </w:r>
    </w:p>
    <w:p w14:paraId="500A144A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Lider Projektu: Barnsley (Zjednoczone Królestwo)</w:t>
      </w:r>
    </w:p>
    <w:p w14:paraId="2DB92E21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Partnerzy Projektu:</w:t>
      </w:r>
    </w:p>
    <w:p w14:paraId="342B7A43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Rzeszów (Polska)</w:t>
      </w:r>
    </w:p>
    <w:p w14:paraId="02FE20C1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Altyus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(Litwa)</w:t>
      </w:r>
    </w:p>
    <w:p w14:paraId="6A3B395E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Novska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(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Chrowacja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>)</w:t>
      </w:r>
    </w:p>
    <w:p w14:paraId="7D14C043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Roeselare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(Belgia)</w:t>
      </w:r>
    </w:p>
    <w:p w14:paraId="2020B783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 </w:t>
      </w:r>
    </w:p>
    <w:p w14:paraId="222CE918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Okres realizacji: 01.06.2021 – 31.12.2022</w:t>
      </w:r>
    </w:p>
    <w:p w14:paraId="2FF702A7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Całkowita wartość projektu:  543,819.40 €</w:t>
      </w:r>
    </w:p>
    <w:p w14:paraId="322D9EB4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Wartość dofinasowania EFRR: 449,277.49 €</w:t>
      </w:r>
    </w:p>
    <w:p w14:paraId="1B2E37A9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 </w:t>
      </w:r>
    </w:p>
    <w:p w14:paraId="571A00D2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Opis projektu:</w:t>
      </w:r>
    </w:p>
    <w:p w14:paraId="1B9E5B7F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Istotą projektu jest wdrożenie dobrej praktyki miasta Barnsley, która ma być dostosowania i ponownie wykorzystana w sieci transferu przez partnerów projektu. Dobra praktyka obejmuje dwa filary:</w:t>
      </w:r>
    </w:p>
    <w:p w14:paraId="2528DD7F" w14:textId="77777777" w:rsidR="008A187D" w:rsidRPr="008A187D" w:rsidRDefault="008A187D" w:rsidP="008A1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0"/>
          <w:szCs w:val="20"/>
        </w:rPr>
      </w:pP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Enterprising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Barnsley - nagradzany program wsparcia biznesowego oraz</w:t>
      </w:r>
    </w:p>
    <w:p w14:paraId="2BC61A1E" w14:textId="77777777" w:rsidR="008A187D" w:rsidRPr="008A187D" w:rsidRDefault="008A187D" w:rsidP="008A1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Digital Media Center – przełomowe centrum kreatywnego i cyfrowego biznesu w centrum miasta, rozwijanym przez 12 lat, w celu rozwoju gospodarki cyfrowej Barnsley i tworzenia bardziej wartościowych miejsc pracy, w szczególności w sektorach kreatywnym. Technologicznym i cyfrowym.</w:t>
      </w:r>
    </w:p>
    <w:p w14:paraId="69E4C797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Celem projektu będzie wdrożenie dobrych praktyk i wymiana doświadczeń w zakresie wspierania przedsiębiorczości i lokalnej gospodarki europejskich miast.</w:t>
      </w:r>
    </w:p>
    <w:p w14:paraId="08C9CBC4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lastRenderedPageBreak/>
        <w:t>Cel projektu zostanie zrealizowany poprzez m.in.:</w:t>
      </w:r>
    </w:p>
    <w:p w14:paraId="409AE4DC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-udział w międzynarodowych spotkaniach eksperckich, warsztatach, szkoleniach</w:t>
      </w:r>
    </w:p>
    <w:p w14:paraId="114AB0C7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 xml:space="preserve">-wymianę wiedzy i najlepszych praktyk w zakresie tworzenia i rozwijania centrów kreatywnego i cyfrowego biznesu oraz wdrażania i dostarczania skutecznego programu wspierania biznesu lokalnego, nastawionego w szczególności na ekosystem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start’upów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i innowacyjne przedsięwzięcia</w:t>
      </w:r>
    </w:p>
    <w:p w14:paraId="796C887F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-promocję projektu.</w:t>
      </w:r>
    </w:p>
    <w:p w14:paraId="53BD77E8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>I spotkanie partnerów: Barnsley /Wielka Brytania – 16 – 16.09.2021</w:t>
      </w:r>
    </w:p>
    <w:p w14:paraId="26ADDE38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 xml:space="preserve">Spotkanie inicjujące projekt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Techrevolution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2.0, realizowany w ramach projektu URBACT III. Projekt wdrażanych przez miasto Barnsley w Wielkiej Brytanii wspólnie z miastem Rzeszów,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Roeselare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Novska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i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Alytus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, występującymi w projekcie jako partnerzy. W trakcie spotkanie prezentowane było miasto w obszarze Smart City oraz Digital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Economy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oraz przygotowane zostały wytyczne na czas wdrażania projektu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Techrevolution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2.0 zgodnych z założeniami projektowymi. W trakcie trzech dni spotkania, została zaprezentowane zostały dwa elementy dobrej praktyki Digital Media Center oraz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prgram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wsparcia przedsiębiorczości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Enterprising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Barnsley, które stanowią elementy referencyjne transferu dobrej praktyki do lokalnych ekosystemów partnerów projekty.</w:t>
      </w:r>
    </w:p>
    <w:p w14:paraId="7732C323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 </w:t>
      </w:r>
    </w:p>
    <w:p w14:paraId="717509C7" w14:textId="5A6E76B4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noProof/>
          <w:color w:val="D60D06"/>
          <w:sz w:val="20"/>
          <w:szCs w:val="20"/>
        </w:rPr>
        <w:drawing>
          <wp:inline distT="0" distB="0" distL="0" distR="0" wp14:anchorId="2369E801" wp14:editId="0170AB76">
            <wp:extent cx="4191000" cy="1936750"/>
            <wp:effectExtent l="0" t="0" r="0" b="6350"/>
            <wp:docPr id="4" name="Obraz 4" descr="http://bip.erzeszow.pl/static/img/k02/FP/Urbact/Zdj%C4%99cia%20Barnsley/Barnsley%20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p.erzeszow.pl/static/img/k02/FP/Urbact/Zdj%C4%99cia%20Barnsley/Barnsley%20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87D">
        <w:rPr>
          <w:rFonts w:ascii="Arial" w:hAnsi="Arial" w:cs="Arial"/>
          <w:noProof/>
          <w:color w:val="D60D06"/>
          <w:sz w:val="20"/>
          <w:szCs w:val="20"/>
        </w:rPr>
        <w:drawing>
          <wp:inline distT="0" distB="0" distL="0" distR="0" wp14:anchorId="30F63360" wp14:editId="3321DCDA">
            <wp:extent cx="4171950" cy="1924050"/>
            <wp:effectExtent l="0" t="0" r="0" b="0"/>
            <wp:docPr id="3" name="Obraz 3" descr="http://bip.erzeszow.pl/static/img/k02/FP/Urbact/Zdj%C4%99cia%20Barnsley/Barnsley%2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p.erzeszow.pl/static/img/k02/FP/Urbact/Zdj%C4%99cia%20Barnsley/Barnsley%2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FF12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 xml:space="preserve">II spotkanie partnerów: </w:t>
      </w:r>
      <w:proofErr w:type="spellStart"/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>Novska</w:t>
      </w:r>
      <w:proofErr w:type="spellEnd"/>
      <w:r w:rsidRPr="008A187D">
        <w:rPr>
          <w:rStyle w:val="Pogrubienie"/>
          <w:rFonts w:ascii="Arial" w:hAnsi="Arial" w:cs="Arial"/>
          <w:color w:val="212529"/>
          <w:sz w:val="20"/>
          <w:szCs w:val="20"/>
        </w:rPr>
        <w:t>, Chorwacja 21 – 26.11.2021</w:t>
      </w:r>
    </w:p>
    <w:p w14:paraId="04BA1F0C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 xml:space="preserve">Jeden z 4 zaplanowanych eventów międzynarodowych organizowanych w ramach projektu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Techrevolution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2.0. Spotkania mają na celu promowanie rozwiązań smart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city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oraz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digital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economy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wdrożonych w miastach partnerskich projektu oraz naukę i wymianę doświadczeń między partnerami i liderem projektu. Spotkanie związane było z budowaniem huba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gamingowego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w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Novskiej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 xml:space="preserve"> oraz budowania gospodarki lokalnej w oparciu o nowoczesne miejsca pracy oscylujące wokół huba.</w:t>
      </w:r>
    </w:p>
    <w:p w14:paraId="7345CA1A" w14:textId="3E6D88DC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noProof/>
          <w:color w:val="D60D06"/>
          <w:sz w:val="20"/>
          <w:szCs w:val="20"/>
        </w:rPr>
        <w:lastRenderedPageBreak/>
        <w:drawing>
          <wp:inline distT="0" distB="0" distL="0" distR="0" wp14:anchorId="701DA883" wp14:editId="77D195D2">
            <wp:extent cx="4356100" cy="2000250"/>
            <wp:effectExtent l="0" t="0" r="6350" b="0"/>
            <wp:docPr id="2" name="Obraz 2" descr="http://bip.erzeszow.pl/static/img/k02/FP/Urbact/Zdj%C4%99cia%20Novska/Novska%20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ip.erzeszow.pl/static/img/k02/FP/Urbact/Zdj%C4%99cia%20Novska/Novska%20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87D">
        <w:rPr>
          <w:rFonts w:ascii="Arial" w:hAnsi="Arial" w:cs="Arial"/>
          <w:noProof/>
          <w:color w:val="D60D06"/>
          <w:sz w:val="20"/>
          <w:szCs w:val="20"/>
        </w:rPr>
        <w:drawing>
          <wp:inline distT="0" distB="0" distL="0" distR="0" wp14:anchorId="3CD6A419" wp14:editId="2E66654D">
            <wp:extent cx="4318000" cy="2000250"/>
            <wp:effectExtent l="0" t="0" r="6350" b="0"/>
            <wp:docPr id="1" name="Obraz 1" descr="http://bip.erzeszow.pl/static/img/k02/FP/Urbact/Zdj%C4%99cia%20Novska/Novska%20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ip.erzeszow.pl/static/img/k02/FP/Urbact/Zdj%C4%99cia%20Novska/Novska%20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30DE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 xml:space="preserve">Link do oficjalnej strony </w:t>
      </w:r>
      <w:proofErr w:type="spellStart"/>
      <w:r w:rsidRPr="008A187D">
        <w:rPr>
          <w:rFonts w:ascii="Arial" w:hAnsi="Arial" w:cs="Arial"/>
          <w:color w:val="212529"/>
          <w:sz w:val="20"/>
          <w:szCs w:val="20"/>
        </w:rPr>
        <w:t>Urbact</w:t>
      </w:r>
      <w:proofErr w:type="spellEnd"/>
      <w:r w:rsidRPr="008A187D">
        <w:rPr>
          <w:rFonts w:ascii="Arial" w:hAnsi="Arial" w:cs="Arial"/>
          <w:color w:val="212529"/>
          <w:sz w:val="20"/>
          <w:szCs w:val="20"/>
        </w:rPr>
        <w:t>: </w:t>
      </w:r>
      <w:hyperlink r:id="rId15" w:history="1">
        <w:r w:rsidRPr="008A187D">
          <w:rPr>
            <w:rStyle w:val="Hipercze"/>
            <w:rFonts w:ascii="Arial" w:hAnsi="Arial" w:cs="Arial"/>
            <w:color w:val="D60D06"/>
            <w:sz w:val="20"/>
            <w:szCs w:val="20"/>
          </w:rPr>
          <w:t>https://urbact.eu/</w:t>
        </w:r>
      </w:hyperlink>
    </w:p>
    <w:p w14:paraId="2CCAA45E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bookmarkStart w:id="0" w:name="_Hlk97891492"/>
      <w:r w:rsidRPr="008A187D">
        <w:rPr>
          <w:rFonts w:ascii="Arial" w:hAnsi="Arial" w:cs="Arial"/>
          <w:color w:val="212529"/>
          <w:sz w:val="20"/>
          <w:szCs w:val="20"/>
        </w:rPr>
        <w:t>Link do strony polskojęzycznej: </w:t>
      </w:r>
      <w:hyperlink r:id="rId16" w:history="1">
        <w:r w:rsidRPr="008A187D">
          <w:rPr>
            <w:rStyle w:val="Hipercze"/>
            <w:rFonts w:ascii="Arial" w:hAnsi="Arial" w:cs="Arial"/>
            <w:color w:val="D60D06"/>
            <w:sz w:val="20"/>
            <w:szCs w:val="20"/>
          </w:rPr>
          <w:t>https://urbact</w:t>
        </w:r>
        <w:r w:rsidRPr="008A187D">
          <w:rPr>
            <w:rStyle w:val="Hipercze"/>
            <w:rFonts w:ascii="Arial" w:hAnsi="Arial" w:cs="Arial"/>
            <w:color w:val="D60D06"/>
            <w:sz w:val="20"/>
            <w:szCs w:val="20"/>
          </w:rPr>
          <w:t>.</w:t>
        </w:r>
        <w:r w:rsidRPr="008A187D">
          <w:rPr>
            <w:rStyle w:val="Hipercze"/>
            <w:rFonts w:ascii="Arial" w:hAnsi="Arial" w:cs="Arial"/>
            <w:color w:val="D60D06"/>
            <w:sz w:val="20"/>
            <w:szCs w:val="20"/>
          </w:rPr>
          <w:t>eu/urbact-polska</w:t>
        </w:r>
      </w:hyperlink>
    </w:p>
    <w:bookmarkEnd w:id="0"/>
    <w:p w14:paraId="75107D51" w14:textId="77777777" w:rsidR="008A187D" w:rsidRPr="008A187D" w:rsidRDefault="008A187D" w:rsidP="008A187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 w:rsidRPr="008A187D">
        <w:rPr>
          <w:rFonts w:ascii="Arial" w:hAnsi="Arial" w:cs="Arial"/>
          <w:color w:val="212529"/>
          <w:sz w:val="20"/>
          <w:szCs w:val="20"/>
        </w:rPr>
        <w:t>                 </w:t>
      </w:r>
    </w:p>
    <w:p w14:paraId="45549598" w14:textId="77777777" w:rsidR="008A187D" w:rsidRPr="008A187D" w:rsidRDefault="008A187D">
      <w:pPr>
        <w:rPr>
          <w:sz w:val="20"/>
          <w:szCs w:val="20"/>
        </w:rPr>
      </w:pPr>
      <w:bookmarkStart w:id="1" w:name="_GoBack"/>
      <w:bookmarkEnd w:id="1"/>
    </w:p>
    <w:sectPr w:rsidR="008A187D" w:rsidRPr="008A1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96096"/>
    <w:multiLevelType w:val="multilevel"/>
    <w:tmpl w:val="5B1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8F"/>
    <w:rsid w:val="00164EEE"/>
    <w:rsid w:val="008A187D"/>
    <w:rsid w:val="00AB6A8F"/>
    <w:rsid w:val="00C2291E"/>
    <w:rsid w:val="00C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4DB8"/>
  <w15:chartTrackingRefBased/>
  <w15:docId w15:val="{5F843C48-04B6-4E08-BB52-93F8DF7D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18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A187D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A1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ip.erzeszow.pl/static/img/k02/FP/Urbact/Zdj%C4%99cia%20Novska/Novska%20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p.erzeszow.pl/static/img/k02/FP/Urbact/Zdj%C4%99cia%20Barnsley/Barnsley%201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rbact.eu/urbact-polsk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ip.erzeszow.pl/static/img/k02/FP/Urbact/Zdj%C4%99cia%20Novska/Novska%201.jpg" TargetMode="External"/><Relationship Id="rId5" Type="http://schemas.openxmlformats.org/officeDocument/2006/relationships/hyperlink" Target="http://bip.erzeszow.pl/static/img/k02/FP/Urbact/logo-eu-urbact.jpg" TargetMode="External"/><Relationship Id="rId15" Type="http://schemas.openxmlformats.org/officeDocument/2006/relationships/hyperlink" Target="https://urbact.eu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ip.erzeszow.pl/static/img/k02/FP/Urbact/Zdj%C4%99cia%20Barnsley/Barnsley%20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2022-03-11T10:41:00Z</dcterms:created>
  <dcterms:modified xsi:type="dcterms:W3CDTF">2022-03-11T10:45:00Z</dcterms:modified>
</cp:coreProperties>
</file>