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66" w:rsidRDefault="00755066">
      <w:pPr>
        <w:rPr>
          <w:b/>
          <w:sz w:val="24"/>
        </w:rPr>
      </w:pPr>
    </w:p>
    <w:p w:rsidR="003543F9" w:rsidRDefault="000860EF" w:rsidP="00755066">
      <w:pPr>
        <w:spacing w:after="0"/>
        <w:rPr>
          <w:b/>
          <w:sz w:val="24"/>
        </w:rPr>
      </w:pPr>
      <w:r w:rsidRPr="00755066">
        <w:rPr>
          <w:b/>
          <w:sz w:val="24"/>
        </w:rPr>
        <w:t xml:space="preserve">TECHREVOLUTION </w:t>
      </w:r>
      <w:r w:rsidR="00574428" w:rsidRPr="00755066">
        <w:rPr>
          <w:b/>
          <w:sz w:val="24"/>
        </w:rPr>
        <w:t xml:space="preserve">2.0 </w:t>
      </w:r>
    </w:p>
    <w:p w:rsidR="00CF6671" w:rsidRPr="00CF6671" w:rsidRDefault="00CF6671" w:rsidP="00755066">
      <w:pPr>
        <w:spacing w:after="0"/>
        <w:rPr>
          <w:b/>
          <w:i/>
          <w:sz w:val="20"/>
        </w:rPr>
      </w:pPr>
      <w:r w:rsidRPr="00CF6671">
        <w:rPr>
          <w:b/>
          <w:i/>
          <w:sz w:val="20"/>
        </w:rPr>
        <w:t xml:space="preserve">Ewaluacja postępów w projekcie </w:t>
      </w:r>
    </w:p>
    <w:p w:rsidR="00CF6671" w:rsidRPr="00CF6671" w:rsidRDefault="00CF6671" w:rsidP="00755066">
      <w:pPr>
        <w:spacing w:after="0"/>
        <w:rPr>
          <w:b/>
          <w:i/>
          <w:sz w:val="20"/>
        </w:rPr>
      </w:pPr>
      <w:r w:rsidRPr="00CF6671">
        <w:rPr>
          <w:b/>
          <w:i/>
          <w:sz w:val="20"/>
        </w:rPr>
        <w:t xml:space="preserve">Rzeszów, 17.03.2022 r. </w:t>
      </w:r>
    </w:p>
    <w:p w:rsidR="00CF6671" w:rsidRPr="00CF6671" w:rsidRDefault="00CF6671" w:rsidP="00755066">
      <w:pPr>
        <w:spacing w:after="0"/>
        <w:rPr>
          <w:b/>
          <w:i/>
          <w:sz w:val="20"/>
        </w:rPr>
      </w:pPr>
      <w:r w:rsidRPr="00CF6671">
        <w:rPr>
          <w:b/>
          <w:i/>
          <w:sz w:val="20"/>
        </w:rPr>
        <w:t xml:space="preserve">Wojciech Jarosz </w:t>
      </w:r>
    </w:p>
    <w:p w:rsidR="00CF6671" w:rsidRPr="00755066" w:rsidRDefault="00CF6671" w:rsidP="00755066">
      <w:pPr>
        <w:spacing w:after="0"/>
        <w:rPr>
          <w:b/>
          <w:sz w:val="24"/>
        </w:rPr>
      </w:pPr>
    </w:p>
    <w:p w:rsidR="003543F9" w:rsidRPr="00646063" w:rsidRDefault="003543F9" w:rsidP="003543F9">
      <w:pPr>
        <w:jc w:val="both"/>
      </w:pPr>
      <w:bookmarkStart w:id="0" w:name="_GoBack"/>
      <w:bookmarkEnd w:id="0"/>
      <w:r w:rsidRPr="00646063">
        <w:t xml:space="preserve">Poszukiwanie wiarygodnych </w:t>
      </w:r>
      <w:r>
        <w:t xml:space="preserve">i trwałych </w:t>
      </w:r>
      <w:r w:rsidRPr="00646063">
        <w:t>strategii pobudzania regionalnej koniunktury gospodarczej jest tak stare, jak sama d</w:t>
      </w:r>
      <w:r>
        <w:t>ziedzina rozwoju gospodarczego.</w:t>
      </w:r>
      <w:r w:rsidRPr="00646063">
        <w:t xml:space="preserve"> Strategie te </w:t>
      </w:r>
      <w:r>
        <w:t xml:space="preserve">obejmują </w:t>
      </w:r>
      <w:r w:rsidRPr="00646063">
        <w:t>zachęcanie do inwestycji bezpośrednich, przyciąganie i zatrzymywanie przedsiębiorstw</w:t>
      </w:r>
      <w:r>
        <w:t xml:space="preserve"> </w:t>
      </w:r>
      <w:r w:rsidRPr="00646063">
        <w:t>oraz opracowywanie sektorowych strategii klastrowych</w:t>
      </w:r>
      <w:r>
        <w:t xml:space="preserve">, pobudzających branżową współpracę i efektywność działania zrzeszonych </w:t>
      </w:r>
      <w:r>
        <w:br/>
        <w:t>w klastrach firm</w:t>
      </w:r>
      <w:r w:rsidRPr="00646063">
        <w:t>.</w:t>
      </w:r>
    </w:p>
    <w:p w:rsidR="00312A75" w:rsidRDefault="003543F9" w:rsidP="003543F9">
      <w:pPr>
        <w:jc w:val="both"/>
      </w:pPr>
      <w:r>
        <w:t>W ostatnim czasie coraz większym uznaniem cieszy się strategia budowania efektywnego ekosystemu małych przedsiębiorstw, szczególnie z branż technologicznych i wykorzystujących najnowsze osiągnięcia informatyczne</w:t>
      </w:r>
      <w:r w:rsidR="005D1700">
        <w:t xml:space="preserve">. Są to firmy, które </w:t>
      </w:r>
      <w:r>
        <w:t xml:space="preserve">posiadają wyjątkową zdolność dostosowywania </w:t>
      </w:r>
      <w:r>
        <w:br/>
        <w:t>do zmieniających się dynamicznie warunków mikro i makroekonomicznych</w:t>
      </w:r>
      <w:r w:rsidR="00D70ACD">
        <w:t xml:space="preserve">, </w:t>
      </w:r>
      <w:r>
        <w:t xml:space="preserve">dużą odporność </w:t>
      </w:r>
      <w:r>
        <w:br/>
        <w:t>na wahania rynku</w:t>
      </w:r>
      <w:r w:rsidR="00312A75">
        <w:t xml:space="preserve"> oraz budowania lokalnej gospodarki opartej na miejscach pracy</w:t>
      </w:r>
      <w:r w:rsidR="007C47F0">
        <w:t xml:space="preserve"> wysokiej wartości</w:t>
      </w:r>
      <w:r w:rsidR="00966C0D">
        <w:t xml:space="preserve"> </w:t>
      </w:r>
      <w:r w:rsidR="00B97C88">
        <w:br/>
      </w:r>
      <w:r w:rsidR="00966C0D">
        <w:t>w ramach gospodarki cyfrowej</w:t>
      </w:r>
      <w:r>
        <w:t xml:space="preserve">. </w:t>
      </w:r>
    </w:p>
    <w:p w:rsidR="003543F9" w:rsidRDefault="003543F9" w:rsidP="003543F9">
      <w:pPr>
        <w:jc w:val="both"/>
      </w:pPr>
      <w:r>
        <w:t xml:space="preserve">Dowodem na słuszność takiej strategii są dane raportu PFR </w:t>
      </w:r>
      <w:proofErr w:type="spellStart"/>
      <w:r>
        <w:t>Ventures</w:t>
      </w:r>
      <w:proofErr w:type="spellEnd"/>
      <w:r>
        <w:t xml:space="preserve">, według którego, inwestycje Venture </w:t>
      </w:r>
      <w:proofErr w:type="spellStart"/>
      <w:r>
        <w:t>Capitals</w:t>
      </w:r>
      <w:proofErr w:type="spellEnd"/>
      <w:r>
        <w:t xml:space="preserve"> w Polsce, czyli inwestycje w małe i średnie przedsiębiorstwa </w:t>
      </w:r>
      <w:r w:rsidRPr="003B1344">
        <w:t>znajdujące się we wczesnych fazach rozwoju</w:t>
      </w:r>
      <w:r>
        <w:t xml:space="preserve">, w roku 2020 osiągnęły w Polsce poziom 2.21 mld zł. </w:t>
      </w:r>
      <w:r>
        <w:br/>
        <w:t>To wzrost w stosunku do roku poprzedniego o ponad 70% i to mimo pandemii, niestabilnej sytuacji na rynkach światowych i niepewności co do przyszłej sytuacji. Dla porównania, poziom inwestycji w roku 2019 wyni</w:t>
      </w:r>
      <w:r w:rsidR="00D70ACD">
        <w:t>ó</w:t>
      </w:r>
      <w:r>
        <w:t xml:space="preserve">sł niespełna 1.2 mld zł, a dwa lata wcześniej jedynie 156 mln zł. </w:t>
      </w:r>
    </w:p>
    <w:p w:rsidR="003543F9" w:rsidRDefault="003543F9" w:rsidP="003543F9">
      <w:pPr>
        <w:jc w:val="both"/>
      </w:pPr>
      <w:r w:rsidRPr="005A6D19">
        <w:t>Ponadto, z</w:t>
      </w:r>
      <w:r>
        <w:t xml:space="preserve"> raportu Polskie Startupy 2020, zrealizowanego przez Fundację </w:t>
      </w:r>
      <w:proofErr w:type="spellStart"/>
      <w:r>
        <w:t>Stratup</w:t>
      </w:r>
      <w:proofErr w:type="spellEnd"/>
      <w:r>
        <w:t xml:space="preserve"> Poland, jasno wynika, że w przeciwieństwie do dużych korporacji i pomimo negatywnych prognoz dla PKB krajowego jak i całej Unii (spadek kolejno o 4.3% i 7.2%), ekosystem startupów ma się całkiem dobrze. 61% badanych startupów deklaruje, iż wybuch pandemii Covid-19, nie wpłyną</w:t>
      </w:r>
      <w:r w:rsidR="00D70ACD">
        <w:t>ł</w:t>
      </w:r>
      <w:r>
        <w:t xml:space="preserve"> negatywnie na ich działalność, 23% oceniło iż wpłyną</w:t>
      </w:r>
      <w:r w:rsidR="00915BE8">
        <w:t>ł</w:t>
      </w:r>
      <w:r>
        <w:t xml:space="preserve"> raczej pozytywnie, a 11% że nawet bardzo pozytywnie. </w:t>
      </w:r>
    </w:p>
    <w:p w:rsidR="003543F9" w:rsidRDefault="003543F9" w:rsidP="003543F9">
      <w:pPr>
        <w:jc w:val="both"/>
      </w:pPr>
      <w:r w:rsidRPr="001A7B94">
        <w:t xml:space="preserve">Z raportu </w:t>
      </w:r>
      <w:proofErr w:type="spellStart"/>
      <w:r w:rsidRPr="001A7B94">
        <w:t>McKinsey</w:t>
      </w:r>
      <w:proofErr w:type="spellEnd"/>
      <w:r w:rsidRPr="001A7B94">
        <w:t xml:space="preserve"> &amp; Company wynika, że w okresie od stycznia do maja 2020 roku rozwój polskiej gospodarki cyfrowej gwałtownie przyspieszył i był 2,5-krotnie wyższy niż w poprzednich 2 latach.</w:t>
      </w:r>
      <w:r>
        <w:t xml:space="preserve"> </w:t>
      </w:r>
      <w:r w:rsidRPr="002543D8">
        <w:t xml:space="preserve">Potencjał rozwoju </w:t>
      </w:r>
      <w:r>
        <w:t xml:space="preserve">i perspektyw dla </w:t>
      </w:r>
      <w:r w:rsidRPr="002543D8">
        <w:t>start-</w:t>
      </w:r>
      <w:proofErr w:type="spellStart"/>
      <w:r w:rsidRPr="002543D8">
        <w:t>upów</w:t>
      </w:r>
      <w:proofErr w:type="spellEnd"/>
      <w:r w:rsidRPr="002543D8">
        <w:t xml:space="preserve"> w Polsce są znaczące. </w:t>
      </w:r>
      <w:r>
        <w:t>Według raportu Deloitte z roku 2019, w</w:t>
      </w:r>
      <w:r w:rsidRPr="002543D8">
        <w:t xml:space="preserve">ygenerowana wartość dodana przez takie podmioty w 2023 </w:t>
      </w:r>
      <w:r>
        <w:t>r</w:t>
      </w:r>
      <w:r w:rsidRPr="002543D8">
        <w:t xml:space="preserve">oku może sięgnąć nawet 2,2 mld zł, z ponad 50 tysiącami miejsc pracy. </w:t>
      </w:r>
      <w:r>
        <w:t xml:space="preserve">Z danych statystycznych i prognoz na najbliższe lata wyłania się jasny wniosek, że wykorzystanie potencjału leżącego w środowisku startupów może być dla </w:t>
      </w:r>
      <w:r w:rsidR="006B1F1F">
        <w:t>P</w:t>
      </w:r>
      <w:r>
        <w:t xml:space="preserve">odkarpacia kluczowym elementem sukcesu i siłą napędową jego rozwoju. </w:t>
      </w:r>
    </w:p>
    <w:p w:rsidR="003543F9" w:rsidRDefault="003543F9" w:rsidP="003543F9">
      <w:pPr>
        <w:jc w:val="both"/>
      </w:pPr>
      <w:r>
        <w:t xml:space="preserve">Ujęcie branży ICT jako jedna z czterech inteligentnych specjalizacji regionu, powoduje iż inwestycje </w:t>
      </w:r>
      <w:r>
        <w:br/>
        <w:t>i projekty realizowane w tym obszarze mają priorytet jeżeli chodzi o finansowanie w ramach unijnych programów rozwojowych, zarówno w kończącej się perspektywie 2014 – 2020 jak i nowej na lata 2021 - 2027,  a także w ramach systemowych</w:t>
      </w:r>
      <w:r w:rsidR="00D12B85">
        <w:t xml:space="preserve"> działań</w:t>
      </w:r>
      <w:r>
        <w:t xml:space="preserve"> władz krajowych.</w:t>
      </w:r>
    </w:p>
    <w:p w:rsidR="003543F9" w:rsidRDefault="003543F9" w:rsidP="003543F9">
      <w:pPr>
        <w:jc w:val="both"/>
      </w:pPr>
      <w:r>
        <w:t>Dobrze zorganizowany ekosystem startupów</w:t>
      </w:r>
      <w:r w:rsidR="00D8382F">
        <w:t xml:space="preserve"> oraz wsparcia nowoczesnych i innowacyjnych przedsiębiorstw </w:t>
      </w:r>
      <w:r>
        <w:t>budowany jest poprzez odpowiednie programy i polityki na styku indywidualnych przedsiębiorców, organizacji obywatelskich, funduszy strukturalnych i administracji regionaln</w:t>
      </w:r>
      <w:r w:rsidR="00515429">
        <w:t>ej</w:t>
      </w:r>
      <w:r>
        <w:t xml:space="preserve"> </w:t>
      </w:r>
      <w:r w:rsidR="00D8382F">
        <w:br/>
      </w:r>
      <w:r>
        <w:t>i lokaln</w:t>
      </w:r>
      <w:r w:rsidR="00515429">
        <w:t>ej</w:t>
      </w:r>
      <w:r>
        <w:t xml:space="preserve">. Podkarpacie, nazywane polską doliną krzemową, coraz skuteczniej wdraża programy </w:t>
      </w:r>
      <w:r w:rsidR="00D8382F">
        <w:br/>
      </w:r>
      <w:r>
        <w:t xml:space="preserve">i inicjatywy rozbudowy i wsparcia tego środowiska. </w:t>
      </w:r>
    </w:p>
    <w:p w:rsidR="001A2969" w:rsidRDefault="008241CE" w:rsidP="008241CE">
      <w:pPr>
        <w:jc w:val="both"/>
      </w:pPr>
      <w:r>
        <w:lastRenderedPageBreak/>
        <w:t>Rzeszów, który jest stolicą regionu i jednocze</w:t>
      </w:r>
      <w:r w:rsidR="00AF5103">
        <w:t xml:space="preserve">śnie </w:t>
      </w:r>
      <w:r>
        <w:t>stolicą branży IT we wschodniej części Polski, wdr</w:t>
      </w:r>
      <w:r w:rsidR="00D53081">
        <w:t>a</w:t>
      </w:r>
      <w:r>
        <w:t xml:space="preserve">ża wiele rozwiązań, które mają na celu budowanie silnego ekosystemu startupów. Jest to jeden </w:t>
      </w:r>
      <w:r>
        <w:br/>
        <w:t xml:space="preserve">z czynników, który pozwala miastu na konkurowanie w obszarze nowych technologii i branży ICT </w:t>
      </w:r>
      <w:r>
        <w:br/>
        <w:t xml:space="preserve">z innymi miastami zarówno </w:t>
      </w:r>
      <w:r w:rsidR="00F7799A">
        <w:t xml:space="preserve">w </w:t>
      </w:r>
      <w:r>
        <w:t>kraju jak i za</w:t>
      </w:r>
      <w:r w:rsidR="00FA18D8">
        <w:t xml:space="preserve"> </w:t>
      </w:r>
      <w:r>
        <w:t>granic</w:t>
      </w:r>
      <w:r w:rsidR="00FA18D8">
        <w:t>ą</w:t>
      </w:r>
      <w:r w:rsidR="00D41061">
        <w:t xml:space="preserve">, przyciągając wielu młodych specjalistów zapewniając im dogodne warunki rozwoju oraz budowania swojej przyszłości. </w:t>
      </w:r>
    </w:p>
    <w:p w:rsidR="001A2969" w:rsidRDefault="00D41061" w:rsidP="00D41061">
      <w:pPr>
        <w:jc w:val="both"/>
      </w:pPr>
      <w:r>
        <w:t xml:space="preserve">Zakres zmian w świecie cyfrowym jest jednak tak wielki i tak dynamiczny, że testowanie różnych rozwiązań i budowanie ich od zera, obarczone jest wielkim ryzykiem i kosztami. </w:t>
      </w:r>
      <w:r w:rsidR="009A6ACF">
        <w:t>Możliwości które leżą w wymianie doświadczeń i wzajemnej nauce z innymi ośrodkami miejskimi w kraju i na świecie, pozwala</w:t>
      </w:r>
      <w:r w:rsidR="00CD246C">
        <w:t>ją</w:t>
      </w:r>
      <w:r w:rsidR="009A6ACF">
        <w:t xml:space="preserve"> minimalizować to ryzyko</w:t>
      </w:r>
      <w:r w:rsidR="002B1C92">
        <w:t>, a</w:t>
      </w:r>
      <w:r w:rsidR="009A6ACF">
        <w:t xml:space="preserve"> transfer dobrych praktyk na lokalny grunt bez ponoszenia ogromnych nakładów</w:t>
      </w:r>
      <w:r w:rsidR="002B1C92">
        <w:t xml:space="preserve"> </w:t>
      </w:r>
      <w:r w:rsidR="009A6ACF">
        <w:t>finansowych</w:t>
      </w:r>
      <w:r w:rsidR="002B1C92">
        <w:t xml:space="preserve"> jak i pozafinansowych, pozwala w krótkim czasie zaadoptować wiele przetestowanych i sprawdzonych rozwiązań tworz</w:t>
      </w:r>
      <w:r w:rsidR="00A85719">
        <w:t xml:space="preserve">ąc tym samym silną </w:t>
      </w:r>
      <w:r w:rsidR="002B1C92">
        <w:t>lokaln</w:t>
      </w:r>
      <w:r w:rsidR="00A85719">
        <w:t>ą</w:t>
      </w:r>
      <w:r w:rsidR="002B1C92">
        <w:t xml:space="preserve"> gospodark</w:t>
      </w:r>
      <w:r w:rsidR="00A85719">
        <w:t>ę</w:t>
      </w:r>
      <w:r w:rsidR="002B1C92">
        <w:t xml:space="preserve"> cyfrow</w:t>
      </w:r>
      <w:r w:rsidR="00A85719">
        <w:t>ą</w:t>
      </w:r>
      <w:r w:rsidR="002B1C92">
        <w:t xml:space="preserve">. </w:t>
      </w:r>
    </w:p>
    <w:p w:rsidR="00E34D78" w:rsidRDefault="00770FD9" w:rsidP="00E34D78">
      <w:pPr>
        <w:jc w:val="both"/>
      </w:pPr>
      <w:r>
        <w:t>Sieć Transferu URBACT „</w:t>
      </w:r>
      <w:proofErr w:type="spellStart"/>
      <w:r>
        <w:t>TechRevolution</w:t>
      </w:r>
      <w:proofErr w:type="spellEnd"/>
      <w:r>
        <w:t xml:space="preserve"> 2.0”,  </w:t>
      </w:r>
      <w:r w:rsidR="00E34D78">
        <w:t xml:space="preserve"> daje miastom partnerskim możliwość zapoznania się z dobrą praktyką opracowaną i </w:t>
      </w:r>
      <w:r w:rsidR="00EC5635">
        <w:t xml:space="preserve">wdrażaną </w:t>
      </w:r>
      <w:r w:rsidR="00E34D78">
        <w:t>przez lidera</w:t>
      </w:r>
      <w:r w:rsidR="00EC5635">
        <w:t xml:space="preserve"> </w:t>
      </w:r>
      <w:r w:rsidR="000A6F8E">
        <w:t xml:space="preserve">projektu </w:t>
      </w:r>
      <w:r w:rsidR="00EC5635">
        <w:t>od ponad 15 lat</w:t>
      </w:r>
      <w:r w:rsidR="00E34D78">
        <w:t xml:space="preserve">, </w:t>
      </w:r>
      <w:r w:rsidR="001B2762">
        <w:t xml:space="preserve">w celu </w:t>
      </w:r>
      <w:r w:rsidR="0010384A">
        <w:t xml:space="preserve">transformacji lokalnej gospodarki w gospodarkę cyfrową opartą na nowoczesnych, wysokiej wartości miejscach pracy. </w:t>
      </w:r>
      <w:r w:rsidR="002F2C01">
        <w:t xml:space="preserve">Metodologia programu URBACT oraz specyfika Sieci Transferu daje możliwość </w:t>
      </w:r>
      <w:r w:rsidR="00E34D78">
        <w:t>przestudiowania każdego jej elementu, przeanalizowania jej w odniesieniu do własnego lokalnego kontekstu gospodarczego i strategicznych priorytetów, a następnie dostosowanie i przeniesienie różnych jej aspektów do lokalnego otoczenia, w celu usprawnienia procesu transformacji w gospodarkę cyfrową.</w:t>
      </w:r>
    </w:p>
    <w:p w:rsidR="00C5132C" w:rsidRDefault="00C5132C" w:rsidP="00C5132C">
      <w:pPr>
        <w:jc w:val="both"/>
      </w:pPr>
      <w:r>
        <w:t>Udział w sieci transferu</w:t>
      </w:r>
      <w:r w:rsidR="00BC7D5E">
        <w:t xml:space="preserve"> w ramach programu URBACT III</w:t>
      </w:r>
      <w:r>
        <w:t xml:space="preserve">, powala Rzeszowowi na pozyskanie cennej wiedzy zdobytej przez lidera projektu w trakcie długiej i trudnej drogi tworzenia kompleksowego systemu wsparcia nowoczesnych przedsiębiorstw, opartego na programie </w:t>
      </w:r>
      <w:proofErr w:type="spellStart"/>
      <w:r>
        <w:t>Enterprasing</w:t>
      </w:r>
      <w:proofErr w:type="spellEnd"/>
      <w:r>
        <w:t xml:space="preserve"> Barnsley tworzonego i rozwijanego w ramach Digital Media Center, cyfrowego Huba </w:t>
      </w:r>
      <w:r w:rsidR="00BC2F49">
        <w:t xml:space="preserve">i </w:t>
      </w:r>
      <w:r>
        <w:t>infrastruktury biurowo – konferencyjnej, na potrzeby nowoczesnego biznesu.</w:t>
      </w:r>
    </w:p>
    <w:p w:rsidR="00601DE7" w:rsidRDefault="00601DE7" w:rsidP="00C5132C">
      <w:pPr>
        <w:jc w:val="both"/>
      </w:pPr>
      <w:r>
        <w:t xml:space="preserve">Te dwa filary oraz szereg rozwiązań </w:t>
      </w:r>
      <w:proofErr w:type="spellStart"/>
      <w:r>
        <w:t>spin</w:t>
      </w:r>
      <w:proofErr w:type="spellEnd"/>
      <w:r>
        <w:t xml:space="preserve">-off, które zostały stworzone w odpowiedzi na pojawiające się wyzwania i nieprzewidziane wcześniej potrzeby, pozwoliły liderowi na przekształcenie lokalnej gospodarki, opartej kiedyś </w:t>
      </w:r>
      <w:r w:rsidR="004066C6">
        <w:t>na górnictwie i produkcji w nowoczesny hub cyfrowy</w:t>
      </w:r>
      <w:r w:rsidR="00610B20">
        <w:t>,</w:t>
      </w:r>
      <w:r w:rsidR="004066C6">
        <w:t xml:space="preserve"> </w:t>
      </w:r>
      <w:r w:rsidR="00AA2329">
        <w:t xml:space="preserve">tworzący </w:t>
      </w:r>
      <w:r w:rsidR="004066C6">
        <w:t xml:space="preserve"> </w:t>
      </w:r>
      <w:r w:rsidR="00191353">
        <w:t xml:space="preserve">1300 nowych miejsc pracy </w:t>
      </w:r>
      <w:r w:rsidR="00105DF8">
        <w:t xml:space="preserve">rocznie </w:t>
      </w:r>
      <w:r w:rsidR="00191353">
        <w:t xml:space="preserve">oraz </w:t>
      </w:r>
      <w:r w:rsidR="001A4658">
        <w:t>generujący 23 funty inwestycji w lokalną gospodarkę na każdy 1 funt zainwestowany w ramach programu.</w:t>
      </w:r>
    </w:p>
    <w:p w:rsidR="003A7179" w:rsidRDefault="003A7179" w:rsidP="00C5132C">
      <w:pPr>
        <w:jc w:val="both"/>
      </w:pPr>
      <w:r>
        <w:t xml:space="preserve">Program URBACT, którego głównym założeniem jest </w:t>
      </w:r>
      <w:r>
        <w:rPr>
          <w:rStyle w:val="jsgrdq"/>
          <w:color w:val="000000"/>
        </w:rPr>
        <w:t xml:space="preserve">wymiana dobrych praktyk ze wszystkimi profesjonalistami zaangażowanymi w politykę miejską w Europie, pozwala miastu Rzeszów, na pozyskanie cennej wiedzy, którą lider projektu pozyskał na przestrzeni wielu lat w trakcie budowania gospodarki cyfrowej w swoim mieście. </w:t>
      </w:r>
    </w:p>
    <w:p w:rsidR="00565EB5" w:rsidRDefault="007B069B" w:rsidP="0032191F">
      <w:pPr>
        <w:jc w:val="both"/>
      </w:pPr>
      <w:r>
        <w:t xml:space="preserve">Skuteczną </w:t>
      </w:r>
      <w:r w:rsidR="004679E3">
        <w:t xml:space="preserve">metodą prowadzenia </w:t>
      </w:r>
      <w:r>
        <w:t xml:space="preserve">transferu </w:t>
      </w:r>
      <w:r w:rsidR="00994C63">
        <w:t xml:space="preserve">według metodyki URBACT, </w:t>
      </w:r>
      <w:r>
        <w:t>jest</w:t>
      </w:r>
      <w:r w:rsidR="001957DB">
        <w:t xml:space="preserve"> podejście</w:t>
      </w:r>
      <w:r>
        <w:t xml:space="preserve"> </w:t>
      </w:r>
      <w:r w:rsidR="002378CC">
        <w:t xml:space="preserve">opartego na rozbiciu transferu </w:t>
      </w:r>
      <w:r w:rsidR="005B3262">
        <w:t xml:space="preserve">według etapów </w:t>
      </w:r>
      <w:r>
        <w:t>"Zrozumie</w:t>
      </w:r>
      <w:r w:rsidR="00B13D51">
        <w:t>nie</w:t>
      </w:r>
      <w:r>
        <w:t xml:space="preserve"> - Dostosowa</w:t>
      </w:r>
      <w:r w:rsidR="00B13D51">
        <w:t>nie</w:t>
      </w:r>
      <w:r>
        <w:t xml:space="preserve"> </w:t>
      </w:r>
      <w:r w:rsidR="00B13D51">
        <w:t>–</w:t>
      </w:r>
      <w:r>
        <w:t xml:space="preserve"> </w:t>
      </w:r>
      <w:r w:rsidR="00B13D51">
        <w:t>P</w:t>
      </w:r>
      <w:r>
        <w:t>onownie</w:t>
      </w:r>
      <w:r w:rsidR="00B13D51">
        <w:t xml:space="preserve"> wykorzystanie</w:t>
      </w:r>
      <w:r>
        <w:t>". Istotne jest</w:t>
      </w:r>
      <w:r w:rsidR="004679E3">
        <w:t xml:space="preserve"> w tym procesie to</w:t>
      </w:r>
      <w:r>
        <w:t xml:space="preserve">, aby </w:t>
      </w:r>
      <w:r w:rsidR="004679E3">
        <w:t>zaplanować odpowiedni czas i przestrzeń na dokładne zrozumienie celu projektu jak i dokładne przeanalizowanie dobrej praktyki w rozbiciu na najmniejsze elementy, zanim podejmie się próbę transferu jakiejkolwiek jej części. Zrozumienie dobrej praktyki jak i specyfiki lokalnego środowiska</w:t>
      </w:r>
      <w:r w:rsidR="0032191F">
        <w:t>,</w:t>
      </w:r>
      <w:r w:rsidR="004679E3">
        <w:t xml:space="preserve"> w której ona funkcjonuje jest </w:t>
      </w:r>
      <w:r w:rsidR="006D5859">
        <w:t>pierwszym krokiem, któr</w:t>
      </w:r>
      <w:r w:rsidR="00F64B75">
        <w:t>y</w:t>
      </w:r>
      <w:r w:rsidR="006D5859">
        <w:t xml:space="preserve"> daje szanse na transfer rokujący w długiej perspektywie czasu</w:t>
      </w:r>
      <w:r w:rsidR="0032191F">
        <w:t>,</w:t>
      </w:r>
      <w:r>
        <w:t xml:space="preserve"> "w sposób, który jest odpowiedni dla lokalnego kontekstu </w:t>
      </w:r>
      <w:r w:rsidR="00E52FD1">
        <w:br/>
      </w:r>
      <w:r>
        <w:t>i kultury".</w:t>
      </w:r>
      <w:r w:rsidR="00E34D78">
        <w:t xml:space="preserve"> </w:t>
      </w:r>
    </w:p>
    <w:p w:rsidR="007B069B" w:rsidRDefault="007B069B" w:rsidP="004679E3">
      <w:pPr>
        <w:jc w:val="both"/>
      </w:pPr>
      <w:r>
        <w:t>Rozbicie dobrej praktyki na "moduły", które mogą być dyskutowane i badane oddzielnie</w:t>
      </w:r>
      <w:r w:rsidR="004679E3">
        <w:t xml:space="preserve"> w trakcie międzynarodowych spotkań</w:t>
      </w:r>
      <w:r>
        <w:t xml:space="preserve">, </w:t>
      </w:r>
      <w:r w:rsidR="0067325C">
        <w:t xml:space="preserve">jest </w:t>
      </w:r>
      <w:r>
        <w:t xml:space="preserve">kluczowym czynnikiem sukcesu w procesie zrozumienia praktyki </w:t>
      </w:r>
      <w:r w:rsidR="004679E3">
        <w:br/>
      </w:r>
      <w:r>
        <w:t>i określenia, które aspekty mogą być odpowiednio przeniesione do nowego miasta.</w:t>
      </w:r>
    </w:p>
    <w:p w:rsidR="0031239E" w:rsidRDefault="00D747E0" w:rsidP="004679E3">
      <w:pPr>
        <w:jc w:val="both"/>
      </w:pPr>
      <w:r>
        <w:lastRenderedPageBreak/>
        <w:t xml:space="preserve">Spotkanie organizowane bezpośrednio u lidera projektu w Barnsley jak i każdego z partnerów projektu, pozwoliło już w chwili obecnej na wygenerowanie wartości dodanej w postaci perspektywy </w:t>
      </w:r>
      <w:r>
        <w:br/>
        <w:t xml:space="preserve">w odniesieniu do tego samego zagadnienia, która u każdego z partnerów jest inna. </w:t>
      </w:r>
      <w:r w:rsidR="001B2762">
        <w:t xml:space="preserve">Transfer </w:t>
      </w:r>
      <w:r w:rsidR="0031239E">
        <w:t>rozwiązań, któr</w:t>
      </w:r>
      <w:r w:rsidR="001B2762">
        <w:t>y</w:t>
      </w:r>
      <w:r w:rsidR="0031239E">
        <w:t xml:space="preserve"> polega </w:t>
      </w:r>
      <w:r w:rsidR="001B2762">
        <w:t xml:space="preserve">jedynie </w:t>
      </w:r>
      <w:r w:rsidR="0031239E">
        <w:t>na biernym kopiowaniu</w:t>
      </w:r>
      <w:r w:rsidR="001B2762">
        <w:t>,</w:t>
      </w:r>
      <w:r w:rsidR="0031239E">
        <w:t xml:space="preserve"> jest często z góry skazane na porażkę, ze względu na brak dogłębnej analizy lokalnych kontekstów i zróżnicowanego podejścia w zależności od lokalnego otoczenia. Dlatego możliwość analizowania dobrej praktyki z </w:t>
      </w:r>
      <w:r w:rsidR="0071254C">
        <w:t xml:space="preserve">uwzględnieniem </w:t>
      </w:r>
      <w:r w:rsidR="0031239E">
        <w:t xml:space="preserve">różnych perspektyw </w:t>
      </w:r>
      <w:r w:rsidR="002E4AD4">
        <w:br/>
      </w:r>
      <w:r w:rsidR="0071254C">
        <w:t xml:space="preserve">i doświadczeń </w:t>
      </w:r>
      <w:r w:rsidR="0031239E">
        <w:t>każdego z partnerów</w:t>
      </w:r>
      <w:r w:rsidR="0071254C">
        <w:t xml:space="preserve">, </w:t>
      </w:r>
      <w:r w:rsidR="0031239E">
        <w:t>przy bieżącej wymianie spostrzeżeń i uwag pozwala na skuteczną analizę tych elementów</w:t>
      </w:r>
      <w:r w:rsidR="0071254C">
        <w:t xml:space="preserve"> </w:t>
      </w:r>
      <w:r w:rsidR="00552D98">
        <w:t xml:space="preserve">pod kątem </w:t>
      </w:r>
      <w:r w:rsidR="00DD3963">
        <w:t>korzyści dla każdego z</w:t>
      </w:r>
      <w:r w:rsidR="00525F15">
        <w:t xml:space="preserve"> </w:t>
      </w:r>
      <w:r w:rsidR="00DD3963">
        <w:t xml:space="preserve">nich. </w:t>
      </w:r>
    </w:p>
    <w:p w:rsidR="00346665" w:rsidRDefault="00D66C7A" w:rsidP="00346665">
      <w:pPr>
        <w:jc w:val="both"/>
      </w:pPr>
      <w:r>
        <w:t xml:space="preserve">W trakcie wdrażania projektu, już od samego początku duży nacisk kładzie się na podejście oddolne, </w:t>
      </w:r>
      <w:r w:rsidR="007B069B">
        <w:t>które jest tak kluczowe dla całej metody URBACT</w:t>
      </w:r>
      <w:r>
        <w:t xml:space="preserve">. </w:t>
      </w:r>
      <w:r w:rsidR="00346665">
        <w:t xml:space="preserve">W ramach projektu jako kluczowy element wdrażania projekty </w:t>
      </w:r>
      <w:proofErr w:type="spellStart"/>
      <w:r w:rsidR="00346665">
        <w:t>TechRevolution</w:t>
      </w:r>
      <w:proofErr w:type="spellEnd"/>
      <w:r w:rsidR="00346665">
        <w:t xml:space="preserve">, jest utworzona nieformalna Lokalna Grupa Działania URBACT. </w:t>
      </w:r>
    </w:p>
    <w:p w:rsidR="00D66C7A" w:rsidRDefault="00346665" w:rsidP="00D66C7A">
      <w:pPr>
        <w:jc w:val="both"/>
      </w:pPr>
      <w:r w:rsidRPr="005C65CE">
        <w:t>Grupy Lokalne URBACT są podstawowym elementem program</w:t>
      </w:r>
      <w:r>
        <w:t>u</w:t>
      </w:r>
      <w:r w:rsidRPr="005C65CE">
        <w:t>. Każdy partner URBACT jest zobowiązany do utworzenia Grupy Lokalnej skupiającej kluczowych lokalnych interesariuszy</w:t>
      </w:r>
      <w:r>
        <w:t xml:space="preserve"> </w:t>
      </w:r>
      <w:r>
        <w:br/>
        <w:t>i perspektyw</w:t>
      </w:r>
      <w:r w:rsidRPr="005C65CE">
        <w:t xml:space="preserve"> w celu współtworzenia strategii miasta i planów działania</w:t>
      </w:r>
      <w:r>
        <w:t xml:space="preserve"> w obszarze wokół którego oscyluje dany projekt </w:t>
      </w:r>
      <w:r w:rsidRPr="002C686C">
        <w:t xml:space="preserve">oraz </w:t>
      </w:r>
      <w:r>
        <w:t xml:space="preserve">wygenerowania </w:t>
      </w:r>
      <w:r w:rsidRPr="002C686C">
        <w:t>konkretn</w:t>
      </w:r>
      <w:r>
        <w:t xml:space="preserve">ych </w:t>
      </w:r>
      <w:r w:rsidRPr="002C686C">
        <w:t>rozwiąza</w:t>
      </w:r>
      <w:r>
        <w:t>ń w najbardziej efektywny i skuteczny możliwy sposób</w:t>
      </w:r>
      <w:r w:rsidRPr="005C65CE">
        <w:t>.</w:t>
      </w:r>
      <w:r>
        <w:t xml:space="preserve"> P</w:t>
      </w:r>
      <w:r w:rsidR="00D66C7A">
        <w:t>ozwala</w:t>
      </w:r>
      <w:r>
        <w:t xml:space="preserve">ją one również </w:t>
      </w:r>
      <w:r w:rsidR="00D66C7A">
        <w:t xml:space="preserve">na przekrojowe podejście do problemu i skuteczne dostosowanie transferowanych elementów dobrej praktyki, z uwzględnieniem doświadczenia i wiedzy lokalnych praktyków w danym obszarze. </w:t>
      </w:r>
    </w:p>
    <w:p w:rsidR="00E17B2A" w:rsidRDefault="00D8382F" w:rsidP="00E17B2A">
      <w:pPr>
        <w:jc w:val="both"/>
      </w:pPr>
      <w:r>
        <w:t>Udział wielu uczestników funkcjonującego ekosystemu startupów, przedstawicieli środowiska akademickiego czy szeroko rozumianej branży IT oraz udział przedstawicieli miasta w sieci, dostarcza do tak skonstruowanej struktury projektu lokalne czynniki sukcesu obejmują</w:t>
      </w:r>
      <w:r w:rsidR="00D33911">
        <w:t>cą</w:t>
      </w:r>
      <w:r>
        <w:t xml:space="preserve"> wolę polityczną </w:t>
      </w:r>
      <w:r w:rsidR="00D33911">
        <w:br/>
      </w:r>
      <w:r>
        <w:t xml:space="preserve">i logiczne dopasowanie przeniesionej praktyki do szerszej strategii lub wizji lokalnej.  </w:t>
      </w:r>
      <w:r w:rsidR="00E17B2A">
        <w:t xml:space="preserve">Skuteczność działania i wysoka efektywność integrowania przedstawicieli różnych środowisk i branż </w:t>
      </w:r>
      <w:r w:rsidR="00E17B2A">
        <w:br/>
        <w:t xml:space="preserve">w ramach działania tak przekrojowo stworzonej grupy, skłania nas również do wpisania funkcjonowania podobnej grupy jako stały element, który będzie funkcjonował w Rzeszowie nie tylko </w:t>
      </w:r>
      <w:r w:rsidR="00E17B2A">
        <w:br/>
        <w:t xml:space="preserve">w ramach projektu ale również po jego zakończeniu. </w:t>
      </w:r>
    </w:p>
    <w:p w:rsidR="00D33911" w:rsidRDefault="00D33911" w:rsidP="00D66C7A">
      <w:pPr>
        <w:jc w:val="both"/>
      </w:pPr>
      <w:r>
        <w:t xml:space="preserve">Skuteczność metodologii Sieci Transferu </w:t>
      </w:r>
      <w:proofErr w:type="spellStart"/>
      <w:r>
        <w:t>Urbact</w:t>
      </w:r>
      <w:proofErr w:type="spellEnd"/>
      <w:r>
        <w:t xml:space="preserve">, </w:t>
      </w:r>
      <w:r w:rsidR="001270AA">
        <w:t xml:space="preserve">zapewniona jest </w:t>
      </w:r>
      <w:r w:rsidR="00014B39">
        <w:t xml:space="preserve">nie tylko </w:t>
      </w:r>
      <w:r w:rsidR="001270AA">
        <w:t xml:space="preserve">przez </w:t>
      </w:r>
      <w:r w:rsidR="00B41ABC">
        <w:t xml:space="preserve">możliwość bezpośredniej interakcji nie tylko na linii </w:t>
      </w:r>
      <w:r w:rsidR="00014B39">
        <w:t>l</w:t>
      </w:r>
      <w:r w:rsidR="00B41ABC">
        <w:t xml:space="preserve">ider – </w:t>
      </w:r>
      <w:proofErr w:type="spellStart"/>
      <w:r w:rsidR="00B41ABC">
        <w:t>parnter</w:t>
      </w:r>
      <w:proofErr w:type="spellEnd"/>
      <w:r w:rsidR="00B41ABC">
        <w:t xml:space="preserve">, ale także </w:t>
      </w:r>
      <w:r w:rsidR="00BC6CC3">
        <w:t>na</w:t>
      </w:r>
      <w:r w:rsidR="00B41ABC">
        <w:t xml:space="preserve"> wymian</w:t>
      </w:r>
      <w:r w:rsidR="00BC6CC3">
        <w:t>ie i</w:t>
      </w:r>
      <w:r w:rsidR="00B41ABC">
        <w:t xml:space="preserve"> refleksjach między wszystkimi partnerami miejskimi w ramach każdej sieci.</w:t>
      </w:r>
      <w:r w:rsidR="00014B39">
        <w:t xml:space="preserve"> Tak wszechstronny przepływ doświadczeń </w:t>
      </w:r>
      <w:r w:rsidR="00A204D0">
        <w:br/>
      </w:r>
      <w:r w:rsidR="00014B39">
        <w:t>i wiedzy, na zasadzie synergii, pozwala wygenerować wartość dodaną do projektu</w:t>
      </w:r>
      <w:r w:rsidR="001957DB">
        <w:t>,</w:t>
      </w:r>
      <w:r w:rsidR="00014B39">
        <w:t xml:space="preserve"> poprzez analizowanie różnych rozwiązań </w:t>
      </w:r>
      <w:r w:rsidR="001957DB">
        <w:t xml:space="preserve">stosowanych w wielu kontekstach lokalnych, </w:t>
      </w:r>
      <w:r w:rsidR="00014B39">
        <w:t>odpowiadających na wyzwania</w:t>
      </w:r>
      <w:r w:rsidR="001957DB">
        <w:t>,</w:t>
      </w:r>
      <w:r w:rsidR="00014B39">
        <w:t xml:space="preserve"> które napotykają partnerzy w obszarze, którego dotyczy projekt Sieci Transferu. </w:t>
      </w:r>
    </w:p>
    <w:p w:rsidR="000B05E0" w:rsidRDefault="000B05E0" w:rsidP="000B05E0">
      <w:pPr>
        <w:jc w:val="both"/>
      </w:pPr>
      <w:r>
        <w:t xml:space="preserve">Rzeszów, po wstępnej fazie projektu, który z założenia jest czasem na naukę i analizę dobrej praktyki oraz wymianę doświadczeń z liderem i pozostałymi partnerami projektu, wyodrębnił kilka elementów dobrej praktyki, które mogą podlegać transferowi. Pokrywają się one z </w:t>
      </w:r>
      <w:r w:rsidR="00E3254A">
        <w:t xml:space="preserve">już wcześniej </w:t>
      </w:r>
      <w:r>
        <w:t xml:space="preserve">planowanymi do wprowadzenia działaniami </w:t>
      </w:r>
      <w:r w:rsidR="00C43919">
        <w:t xml:space="preserve">oraz tymi które są już wdrażana, a </w:t>
      </w:r>
      <w:r>
        <w:t xml:space="preserve">w szczególny sposób wpisują się </w:t>
      </w:r>
      <w:r w:rsidR="00C43919">
        <w:br/>
      </w:r>
      <w:r>
        <w:t xml:space="preserve">w długofalowe podejście do systemu wsparcia przedsiębiorczości w mieście. </w:t>
      </w:r>
    </w:p>
    <w:p w:rsidR="00945B0E" w:rsidRDefault="00E3254A" w:rsidP="00945B0E">
      <w:pPr>
        <w:jc w:val="both"/>
      </w:pPr>
      <w:r>
        <w:t>Głównym elementem jest infrastruktura</w:t>
      </w:r>
      <w:r w:rsidR="000E3615">
        <w:t xml:space="preserve"> oraz </w:t>
      </w:r>
      <w:r w:rsidR="00A748D9">
        <w:t xml:space="preserve">jej </w:t>
      </w:r>
      <w:r w:rsidR="000E3615">
        <w:t>s</w:t>
      </w:r>
      <w:r w:rsidR="000E3615" w:rsidRPr="000E3615">
        <w:t>tała centralna lokalizacja</w:t>
      </w:r>
      <w:r>
        <w:t xml:space="preserve">, w której swoją przestrzeń znajdą </w:t>
      </w:r>
      <w:r w:rsidR="000E3615">
        <w:t xml:space="preserve">między innymi </w:t>
      </w:r>
      <w:r>
        <w:t xml:space="preserve">startupy oraz młodzi przedsiębiorczy ludzie, którzy są na etapie przekuwania swoich pomysłów w biznes. Od 3 lat, w Rzeszowie funkcjonuje przestrzeń laboratorium miejskiego URBAN LAB. Jest to element, który w pierwszej fazie wdrażany był w ramach pilotażowego projektu, </w:t>
      </w:r>
      <w:r w:rsidR="001F5B54">
        <w:br/>
      </w:r>
      <w:r>
        <w:t xml:space="preserve">a w chwili obecnej stał się częścią struktury Urzędu Miasta Rzeszowa. </w:t>
      </w:r>
      <w:r w:rsidR="00E12EF2">
        <w:t>Istotną wskazówką ze strony lidera</w:t>
      </w:r>
      <w:r w:rsidR="00AD5ADA">
        <w:t xml:space="preserve"> wynikającą z ich własnego doświadczenia</w:t>
      </w:r>
      <w:r w:rsidR="00E12EF2">
        <w:t xml:space="preserve">, </w:t>
      </w:r>
      <w:r w:rsidR="00AD5ADA">
        <w:t>jest zarządzani</w:t>
      </w:r>
      <w:r w:rsidR="001F5B54">
        <w:t>e</w:t>
      </w:r>
      <w:r w:rsidR="00AD5ADA">
        <w:t xml:space="preserve"> obiektem przez zespół </w:t>
      </w:r>
      <w:r w:rsidR="003E5E86">
        <w:br/>
      </w:r>
      <w:r w:rsidR="00AD5ADA">
        <w:t>z wewnętrznych struktur miasta</w:t>
      </w:r>
      <w:r w:rsidR="001F5B54">
        <w:t>,</w:t>
      </w:r>
      <w:r w:rsidR="00AD5ADA">
        <w:t xml:space="preserve"> </w:t>
      </w:r>
      <w:r w:rsidR="001F5B54">
        <w:t xml:space="preserve">który w ich przypadku okazał się znacznie bardziej efektywny niż </w:t>
      </w:r>
      <w:r w:rsidR="001F5B54">
        <w:lastRenderedPageBreak/>
        <w:t xml:space="preserve">wynajęta zewnętrzna firma, przez którą Centrum zarządzana była przez 3 lata i osiągała znacznie gorsze wyniki pod kątem efektywności. </w:t>
      </w:r>
    </w:p>
    <w:p w:rsidR="00945B0E" w:rsidRDefault="00945B0E" w:rsidP="00945B0E">
      <w:pPr>
        <w:jc w:val="both"/>
      </w:pPr>
      <w:r>
        <w:t xml:space="preserve">Podejście otwartych drzwi, które funkcjonuje w Barnsley, jest również wpisane w politykę Urban </w:t>
      </w:r>
      <w:proofErr w:type="spellStart"/>
      <w:r>
        <w:t>Labu</w:t>
      </w:r>
      <w:proofErr w:type="spellEnd"/>
      <w:r>
        <w:t xml:space="preserve">, jako działanie mające na celu zintegrowanie różnych środowisk i udostępnienie zasobów miejskich różnym grupom społecznym, w tym przedsiębiorcom na etapie startup. </w:t>
      </w:r>
    </w:p>
    <w:p w:rsidR="00A53F14" w:rsidRDefault="00945B0E" w:rsidP="00D66C7A">
      <w:pPr>
        <w:jc w:val="both"/>
      </w:pPr>
      <w:r>
        <w:t xml:space="preserve">Kolejnym elementem, który już w chwili obecnej funkcjonuje w Urzędzie Miasta Rzeszowa jest dedykowany team odpowiedzialny za wsparcie przedsiębiorców. Jest to działanie, które zostało wdrożone początkiem 2022 r., jako jedna ze zmian struktury Urzędu. W ramach Referatu Obsługi Inwestora, przedsiębiorcy na każdym etapie swojej działalności otrzymają wsparcie w różnych obszarach. Jest to również ułatwienie dla przedsiębiorców na każdym etapie swojej działalności </w:t>
      </w:r>
      <w:r w:rsidR="00EE411D">
        <w:br/>
      </w:r>
      <w:r>
        <w:t xml:space="preserve">w dostępie do </w:t>
      </w:r>
      <w:r w:rsidR="00A53F14">
        <w:t xml:space="preserve">usług administracji </w:t>
      </w:r>
      <w:r>
        <w:t xml:space="preserve">miejskiej, w formie tzw. One Stop Shop, gdzie przedsiębiorca będzie mógł otrzymać wszelkie niezbędne informacje bez konieczności szukania ich na własną rękę w różnych miejscach miejskiej administracji. </w:t>
      </w:r>
    </w:p>
    <w:p w:rsidR="00AD3C7B" w:rsidRDefault="00CF5E05" w:rsidP="00AD3C7B">
      <w:pPr>
        <w:jc w:val="both"/>
      </w:pPr>
      <w:r>
        <w:t>D</w:t>
      </w:r>
      <w:r w:rsidR="00134085">
        <w:t>ziałanie, na które lider projektu kł</w:t>
      </w:r>
      <w:r>
        <w:t>a</w:t>
      </w:r>
      <w:r w:rsidR="00134085">
        <w:t>dzie szczególny nacisk w budowaniu lokalnej społeczności zintegrowanej wokół DMC</w:t>
      </w:r>
      <w:r>
        <w:t xml:space="preserve"> jest bogaty kalendarz wydarzeń </w:t>
      </w:r>
      <w:proofErr w:type="spellStart"/>
      <w:r>
        <w:t>networkingowych</w:t>
      </w:r>
      <w:proofErr w:type="spellEnd"/>
      <w:r>
        <w:t xml:space="preserve"> i warsztatowych</w:t>
      </w:r>
      <w:r w:rsidR="00134085">
        <w:t xml:space="preserve">. </w:t>
      </w:r>
      <w:r>
        <w:t>Rzeszów, od kilku lat wdraża podobne podejście bazując na infrastrukturze Urban Lab, któr</w:t>
      </w:r>
      <w:r w:rsidR="0040487F">
        <w:t>a</w:t>
      </w:r>
      <w:r>
        <w:t xml:space="preserve"> stanowi zaplecze organizacyjne wydarzeń takich jak konferencje tematyczne, debaty różnych grup społecznych czy </w:t>
      </w:r>
      <w:proofErr w:type="spellStart"/>
      <w:r>
        <w:t>H</w:t>
      </w:r>
      <w:r w:rsidR="00E812BD">
        <w:t>a</w:t>
      </w:r>
      <w:r>
        <w:t>ckhatony</w:t>
      </w:r>
      <w:proofErr w:type="spellEnd"/>
      <w:r>
        <w:t xml:space="preserve">, których celem jest zrzeszenie młodych talentów z obszaru IT w celu tworzenia nowoczesnych narzędzi odpowiadających na problemy występujące  w mieście. </w:t>
      </w:r>
      <w:r w:rsidR="00AD3C7B">
        <w:t xml:space="preserve">Kolejnym krokiem, który plany jest już w tej chwili jest organizacja wydarzeń podobnych do tych organizowanych przez lidera w obszarze sieciowania międzybranżowego, takich jak </w:t>
      </w:r>
      <w:proofErr w:type="spellStart"/>
      <w:r w:rsidR="00AD3C7B" w:rsidRPr="00E35370">
        <w:t>Connected</w:t>
      </w:r>
      <w:proofErr w:type="spellEnd"/>
      <w:r w:rsidR="00AD3C7B" w:rsidRPr="00E35370">
        <w:t xml:space="preserve"> Manufacturing</w:t>
      </w:r>
      <w:r w:rsidR="00AD3C7B">
        <w:t xml:space="preserve"> czy </w:t>
      </w:r>
      <w:proofErr w:type="spellStart"/>
      <w:r w:rsidR="00AD3C7B" w:rsidRPr="00E35370">
        <w:t>Connected</w:t>
      </w:r>
      <w:proofErr w:type="spellEnd"/>
      <w:r w:rsidR="00AD3C7B" w:rsidRPr="00E35370">
        <w:t xml:space="preserve"> Healthcare</w:t>
      </w:r>
      <w:r w:rsidR="00AD3C7B">
        <w:t xml:space="preserve">, których celem jest połączenie branż produkcyjnych, przemysłowych czy opieki zdrowia </w:t>
      </w:r>
      <w:r w:rsidR="00AD3C7B">
        <w:br/>
        <w:t xml:space="preserve">z branżą dostawców nowoczesnych i innowacyjnych rozwiązań z obszaru ICT. </w:t>
      </w:r>
    </w:p>
    <w:p w:rsidR="001957DB" w:rsidRDefault="000C04AD" w:rsidP="001957DB">
      <w:pPr>
        <w:jc w:val="both"/>
      </w:pPr>
      <w:r>
        <w:t>Rozkładanie</w:t>
      </w:r>
      <w:r w:rsidR="001957DB">
        <w:t xml:space="preserve"> dobrej praktyki na drobne elementy, dogłębna analiza każdego z nich, możliwość czerpania z doświadczeń i perspektywy zarówno lidera jak i wszystkich partnerów projektu są kluczowymi elementami, które wpływają na stworzenie dogodnych warunków transferu i ułatwiają odniesienie sukcesu sieci. </w:t>
      </w:r>
    </w:p>
    <w:p w:rsidR="007B069B" w:rsidRDefault="001957DB" w:rsidP="00FF13E9">
      <w:pPr>
        <w:jc w:val="both"/>
      </w:pPr>
      <w:r>
        <w:t xml:space="preserve">Prostota ułatwia transfer. Jednym z głównych wniosków i refleksji na temat metodologii transferu jest prostota prezentowanych rozwiązań oraz możliwości przekrojowego ich przeanalizowania od ogółu do szczegółu. </w:t>
      </w:r>
      <w:r w:rsidR="007B069B">
        <w:t xml:space="preserve">To szczególnie pomogło w procesie "zrozumienia" </w:t>
      </w:r>
      <w:r w:rsidR="00FF13E9">
        <w:t xml:space="preserve">zarówno </w:t>
      </w:r>
      <w:r w:rsidR="007B069B">
        <w:t>różnych aspektów dobr</w:t>
      </w:r>
      <w:r w:rsidR="00FF13E9">
        <w:t>ej</w:t>
      </w:r>
      <w:r w:rsidR="007B069B">
        <w:t xml:space="preserve"> praktyk</w:t>
      </w:r>
      <w:r w:rsidR="00FF13E9">
        <w:t>i</w:t>
      </w:r>
      <w:r w:rsidR="007B069B">
        <w:t xml:space="preserve"> </w:t>
      </w:r>
      <w:r w:rsidR="00FF13E9">
        <w:t>przez partnerów jak i tego</w:t>
      </w:r>
      <w:r w:rsidR="007B069B">
        <w:t>, jak mogą być one odpowiednio zaadaptowane i ponownie wykorzystane</w:t>
      </w:r>
      <w:r w:rsidR="00FF13E9">
        <w:t xml:space="preserve"> w lokalnych kontekstach każdego z nich</w:t>
      </w:r>
      <w:r w:rsidR="007B069B">
        <w:t>.</w:t>
      </w:r>
    </w:p>
    <w:p w:rsidR="002B1C92" w:rsidRDefault="00496BB2" w:rsidP="00606EE5">
      <w:pPr>
        <w:jc w:val="both"/>
      </w:pPr>
      <w:r>
        <w:t>Ważnym wnioskiem wyłaniającym się w chwili obecnej jest również to iż t</w:t>
      </w:r>
      <w:r w:rsidR="007B069B">
        <w:t xml:space="preserve">ransfer może odbywać się </w:t>
      </w:r>
      <w:r>
        <w:br/>
      </w:r>
      <w:r w:rsidR="007B069B">
        <w:t xml:space="preserve">w różnym tempie. </w:t>
      </w:r>
      <w:r>
        <w:t xml:space="preserve">W zależności od momentu w którym znajduje się każdy partner oraz od tego jakie elementy dobrej praktyki każdy z nich zdecyduje się transferować, transfer </w:t>
      </w:r>
      <w:r w:rsidR="007B069B">
        <w:t xml:space="preserve">mogą </w:t>
      </w:r>
      <w:r>
        <w:t xml:space="preserve">odbyć się </w:t>
      </w:r>
      <w:r w:rsidR="007B069B">
        <w:t xml:space="preserve">stosunkowo szybko - zwłaszcza konkretne inicjatywy/działania, </w:t>
      </w:r>
      <w:r>
        <w:t xml:space="preserve">lub wymagać dłuższego czasu, szczególnie te </w:t>
      </w:r>
      <w:r w:rsidR="007B069B">
        <w:t>które są bardziej związane z procesami i dostosowanymi sposobami pracy</w:t>
      </w:r>
      <w:r>
        <w:t>, c</w:t>
      </w:r>
      <w:r w:rsidR="00CF6E1E">
        <w:t>zego</w:t>
      </w:r>
      <w:r>
        <w:t xml:space="preserve"> nie należy odbierać jako brak sukcesu ale jako sukces, który wbrew pozorom może wpłynąć na trwałość rozwiązań, które </w:t>
      </w:r>
      <w:r w:rsidR="006351D0">
        <w:br/>
      </w:r>
      <w:r>
        <w:t xml:space="preserve">w efekcie zostaną wdrożone. </w:t>
      </w:r>
    </w:p>
    <w:p w:rsidR="003543F9" w:rsidRDefault="003543F9"/>
    <w:sectPr w:rsidR="003543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7B3" w:rsidRDefault="002707B3" w:rsidP="00755066">
      <w:pPr>
        <w:spacing w:after="0" w:line="240" w:lineRule="auto"/>
      </w:pPr>
      <w:r>
        <w:separator/>
      </w:r>
    </w:p>
  </w:endnote>
  <w:endnote w:type="continuationSeparator" w:id="0">
    <w:p w:rsidR="002707B3" w:rsidRDefault="002707B3" w:rsidP="0075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7B3" w:rsidRDefault="002707B3" w:rsidP="00755066">
      <w:pPr>
        <w:spacing w:after="0" w:line="240" w:lineRule="auto"/>
      </w:pPr>
      <w:r>
        <w:separator/>
      </w:r>
    </w:p>
  </w:footnote>
  <w:footnote w:type="continuationSeparator" w:id="0">
    <w:p w:rsidR="002707B3" w:rsidRDefault="002707B3" w:rsidP="0075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66" w:rsidRDefault="00755066" w:rsidP="00755066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AB90AE" wp14:editId="30DA41FF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022A4DC" wp14:editId="0C1B61DE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186423D" wp14:editId="66A7E7AA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55066" w:rsidRDefault="00755066" w:rsidP="00755066">
    <w:pPr>
      <w:pStyle w:val="Nagwek"/>
    </w:pPr>
  </w:p>
  <w:p w:rsidR="00755066" w:rsidRPr="00755066" w:rsidRDefault="00755066" w:rsidP="007550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5B0"/>
    <w:multiLevelType w:val="hybridMultilevel"/>
    <w:tmpl w:val="66986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9"/>
    <w:rsid w:val="000112D4"/>
    <w:rsid w:val="00014B39"/>
    <w:rsid w:val="00084A93"/>
    <w:rsid w:val="000860EF"/>
    <w:rsid w:val="000A6F8E"/>
    <w:rsid w:val="000B05E0"/>
    <w:rsid w:val="000C04AD"/>
    <w:rsid w:val="000E3615"/>
    <w:rsid w:val="0010384A"/>
    <w:rsid w:val="00105DF8"/>
    <w:rsid w:val="00124896"/>
    <w:rsid w:val="001270AA"/>
    <w:rsid w:val="00134085"/>
    <w:rsid w:val="00164EEE"/>
    <w:rsid w:val="00191353"/>
    <w:rsid w:val="001957DB"/>
    <w:rsid w:val="001A2969"/>
    <w:rsid w:val="001A4658"/>
    <w:rsid w:val="001B2762"/>
    <w:rsid w:val="001C531A"/>
    <w:rsid w:val="001F5B54"/>
    <w:rsid w:val="002325DD"/>
    <w:rsid w:val="002378CC"/>
    <w:rsid w:val="002707B3"/>
    <w:rsid w:val="002867A6"/>
    <w:rsid w:val="002B1C92"/>
    <w:rsid w:val="002B2A64"/>
    <w:rsid w:val="002C686C"/>
    <w:rsid w:val="002E4AD4"/>
    <w:rsid w:val="002F2C01"/>
    <w:rsid w:val="0031239E"/>
    <w:rsid w:val="00312A75"/>
    <w:rsid w:val="0032191F"/>
    <w:rsid w:val="0033106A"/>
    <w:rsid w:val="00346665"/>
    <w:rsid w:val="003543F9"/>
    <w:rsid w:val="00392FDD"/>
    <w:rsid w:val="003A1425"/>
    <w:rsid w:val="003A4603"/>
    <w:rsid w:val="003A5AA2"/>
    <w:rsid w:val="003A7179"/>
    <w:rsid w:val="003D7797"/>
    <w:rsid w:val="003E5E86"/>
    <w:rsid w:val="0040487F"/>
    <w:rsid w:val="004066C6"/>
    <w:rsid w:val="00427E8E"/>
    <w:rsid w:val="004679E3"/>
    <w:rsid w:val="00496BB2"/>
    <w:rsid w:val="00515429"/>
    <w:rsid w:val="00525F15"/>
    <w:rsid w:val="00540BE5"/>
    <w:rsid w:val="00552D98"/>
    <w:rsid w:val="00553783"/>
    <w:rsid w:val="00565EB5"/>
    <w:rsid w:val="00574428"/>
    <w:rsid w:val="00576023"/>
    <w:rsid w:val="005B3262"/>
    <w:rsid w:val="005B3590"/>
    <w:rsid w:val="005C07FA"/>
    <w:rsid w:val="005C65CE"/>
    <w:rsid w:val="005D1700"/>
    <w:rsid w:val="00601DE7"/>
    <w:rsid w:val="00606EE5"/>
    <w:rsid w:val="00610B20"/>
    <w:rsid w:val="006351D0"/>
    <w:rsid w:val="0067325C"/>
    <w:rsid w:val="006A6111"/>
    <w:rsid w:val="006B1F1F"/>
    <w:rsid w:val="006D5859"/>
    <w:rsid w:val="0071254C"/>
    <w:rsid w:val="00755066"/>
    <w:rsid w:val="00770FD9"/>
    <w:rsid w:val="007B069B"/>
    <w:rsid w:val="007C47F0"/>
    <w:rsid w:val="008241CE"/>
    <w:rsid w:val="00837EBC"/>
    <w:rsid w:val="00857471"/>
    <w:rsid w:val="00892352"/>
    <w:rsid w:val="00915BE8"/>
    <w:rsid w:val="00945B0E"/>
    <w:rsid w:val="00966C0D"/>
    <w:rsid w:val="0097358A"/>
    <w:rsid w:val="00994C63"/>
    <w:rsid w:val="009A4B43"/>
    <w:rsid w:val="009A6ACF"/>
    <w:rsid w:val="009C24AD"/>
    <w:rsid w:val="009D7164"/>
    <w:rsid w:val="00A204D0"/>
    <w:rsid w:val="00A53F14"/>
    <w:rsid w:val="00A659D1"/>
    <w:rsid w:val="00A715F3"/>
    <w:rsid w:val="00A748D9"/>
    <w:rsid w:val="00A85719"/>
    <w:rsid w:val="00AA2329"/>
    <w:rsid w:val="00AD3C7B"/>
    <w:rsid w:val="00AD5ADA"/>
    <w:rsid w:val="00AF40B9"/>
    <w:rsid w:val="00AF5103"/>
    <w:rsid w:val="00B13D51"/>
    <w:rsid w:val="00B41ABC"/>
    <w:rsid w:val="00B97C88"/>
    <w:rsid w:val="00BC2F49"/>
    <w:rsid w:val="00BC6CC3"/>
    <w:rsid w:val="00BC7D5E"/>
    <w:rsid w:val="00C2291E"/>
    <w:rsid w:val="00C43919"/>
    <w:rsid w:val="00C5132C"/>
    <w:rsid w:val="00C6070D"/>
    <w:rsid w:val="00C645EE"/>
    <w:rsid w:val="00C74B84"/>
    <w:rsid w:val="00CD246C"/>
    <w:rsid w:val="00CD4D9A"/>
    <w:rsid w:val="00CE28D2"/>
    <w:rsid w:val="00CF219D"/>
    <w:rsid w:val="00CF5E05"/>
    <w:rsid w:val="00CF6671"/>
    <w:rsid w:val="00CF6E1E"/>
    <w:rsid w:val="00D12B85"/>
    <w:rsid w:val="00D33911"/>
    <w:rsid w:val="00D41061"/>
    <w:rsid w:val="00D53081"/>
    <w:rsid w:val="00D66C7A"/>
    <w:rsid w:val="00D70ACD"/>
    <w:rsid w:val="00D747E0"/>
    <w:rsid w:val="00D8382F"/>
    <w:rsid w:val="00DD3963"/>
    <w:rsid w:val="00E12EF2"/>
    <w:rsid w:val="00E17B2A"/>
    <w:rsid w:val="00E3254A"/>
    <w:rsid w:val="00E34D78"/>
    <w:rsid w:val="00E35370"/>
    <w:rsid w:val="00E52FD1"/>
    <w:rsid w:val="00E812BD"/>
    <w:rsid w:val="00EB03D5"/>
    <w:rsid w:val="00EB2612"/>
    <w:rsid w:val="00EC5635"/>
    <w:rsid w:val="00EE411D"/>
    <w:rsid w:val="00EE6EDA"/>
    <w:rsid w:val="00F37839"/>
    <w:rsid w:val="00F64B75"/>
    <w:rsid w:val="00F7799A"/>
    <w:rsid w:val="00FA18D8"/>
    <w:rsid w:val="00FB639F"/>
    <w:rsid w:val="00FF13E9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CE18"/>
  <w15:chartTrackingRefBased/>
  <w15:docId w15:val="{A44822A1-6D43-4199-86D8-BAD435F6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sgrdq">
    <w:name w:val="jsgrdq"/>
    <w:basedOn w:val="Domylnaczcionkaakapitu"/>
    <w:rsid w:val="003A7179"/>
  </w:style>
  <w:style w:type="paragraph" w:styleId="Nagwek">
    <w:name w:val="header"/>
    <w:basedOn w:val="Normalny"/>
    <w:link w:val="NagwekZnak"/>
    <w:uiPriority w:val="99"/>
    <w:unhideWhenUsed/>
    <w:rsid w:val="0075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5066"/>
  </w:style>
  <w:style w:type="paragraph" w:styleId="Stopka">
    <w:name w:val="footer"/>
    <w:basedOn w:val="Normalny"/>
    <w:link w:val="StopkaZnak"/>
    <w:uiPriority w:val="99"/>
    <w:unhideWhenUsed/>
    <w:rsid w:val="00755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5066"/>
  </w:style>
  <w:style w:type="paragraph" w:styleId="Akapitzlist">
    <w:name w:val="List Paragraph"/>
    <w:basedOn w:val="Normalny"/>
    <w:uiPriority w:val="34"/>
    <w:qFormat/>
    <w:rsid w:val="0055378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715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15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15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15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15F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1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1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2095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27</cp:revision>
  <dcterms:created xsi:type="dcterms:W3CDTF">2022-03-17T09:42:00Z</dcterms:created>
  <dcterms:modified xsi:type="dcterms:W3CDTF">2022-05-12T12:20:00Z</dcterms:modified>
</cp:coreProperties>
</file>