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60"/>
        <w:jc w:val="center"/>
      </w:pPr>
      <w:r>
        <w:rPr>
          <w:rFonts w:ascii="Palatino Linotype" w:cs="Palatino Linotype" w:eastAsia="Palatino Linotype" w:hAnsi="Palatino Linotype"/>
          <w:b/>
          <w:bCs/>
          <w:color w:val="1A1A2E"/>
          <w:sz w:val="40"/>
          <w:szCs w:val="40"/>
        </w:rPr>
        <w:t xml:space="preserve">COMMON ARTICLE 3</w:t>
      </w:r>
    </w:p>
    <w:p>
      <w:pPr>
        <w:spacing w:after="180"/>
        <w:jc w:val="center"/>
      </w:pPr>
      <w:r>
        <w:rPr>
          <w:rFonts w:ascii="Palatino Linotype" w:cs="Palatino Linotype" w:eastAsia="Palatino Linotype" w:hAnsi="Palatino Linotype"/>
          <w:b/>
          <w:bCs/>
          <w:color w:val="1A1A2E"/>
          <w:sz w:val="26"/>
          <w:szCs w:val="26"/>
        </w:rPr>
        <w:t xml:space="preserve">TO THE FOUR GENEVA CONVENTIONS OF 1949</w:t>
      </w:r>
    </w:p>
    <w:p>
      <w:pPr>
        <w:spacing w:after="160"/>
        <w:jc w:val="center"/>
      </w:pPr>
      <w:r>
        <w:rPr>
          <w:rFonts w:ascii="Palatino Linotype" w:cs="Palatino Linotype" w:eastAsia="Palatino Linotype" w:hAnsi="Palatino Linotype"/>
          <w:i/>
          <w:iCs/>
          <w:color w:val="666666"/>
          <w:sz w:val="20"/>
          <w:szCs w:val="20"/>
        </w:rPr>
        <w:t xml:space="preserve">As interpreted by international tribunals, the ICRC Customary IHL Study, and the ICRC Commentaries (through 2025)</w:t>
      </w:r>
    </w:p>
    <w:p>
      <w:pPr>
        <w:spacing w:after="60"/>
        <w:jc w:val="center"/>
      </w:pPr>
      <w:r>
        <w:rPr>
          <w:rFonts w:ascii="Palatino Linotype" w:cs="Palatino Linotype" w:eastAsia="Palatino Linotype" w:hAnsi="Palatino Linotype"/>
          <w:color w:val="888888"/>
          <w:sz w:val="19"/>
          <w:szCs w:val="19"/>
        </w:rPr>
        <w:t xml:space="preserve">Applicable to Non-International Armed Conflicts (NIAC)</w:t>
      </w:r>
    </w:p>
    <w:p>
      <w:pPr>
        <w:spacing w:after="360"/>
        <w:jc w:val="center"/>
      </w:pPr>
      <w:r>
        <w:rPr>
          <w:rFonts w:ascii="Palatino Linotype" w:cs="Palatino Linotype" w:eastAsia="Palatino Linotype" w:hAnsi="Palatino Linotype"/>
          <w:color w:val="888888"/>
          <w:sz w:val="19"/>
          <w:szCs w:val="19"/>
        </w:rPr>
        <w:t xml:space="preserve">Appears identically in GC I, II, III, and IV</w:t>
      </w:r>
    </w:p>
    <w:p>
      <w:pPr>
        <w:pBdr>
          <w:top w:val="single" w:color="CCCCCC" w:sz="1" w:space="6"/>
          <w:bottom w:val="single" w:color="CCCCCC" w:sz="1" w:space="6"/>
        </w:pBdr>
        <w:spacing w:after="200"/>
      </w:pPr>
      <w:r>
        <w:rPr>
          <w:rFonts w:ascii="Palatino Linotype" w:cs="Palatino Linotype" w:eastAsia="Palatino Linotype" w:hAnsi="Palatino Linotype"/>
          <w:b/>
          <w:bCs/>
          <w:color w:val="555555"/>
          <w:sz w:val="19"/>
          <w:szCs w:val="19"/>
        </w:rPr>
        <w:t xml:space="preserve">Methodology: </w:t>
      </w:r>
      <w:r>
        <w:rPr>
          <w:rFonts w:ascii="Palatino Linotype" w:cs="Palatino Linotype" w:eastAsia="Palatino Linotype" w:hAnsi="Palatino Linotype"/>
          <w:color w:val="555555"/>
          <w:sz w:val="19"/>
          <w:szCs w:val="19"/>
        </w:rPr>
        <w:t xml:space="preserve">Bold text = original treaty verbatim. Colour-coded text = interpretations by source (legend below). Superscript numbers link to footnotes with full citations. This document is a research tool; it does not constitute legal advice.</w:t>
      </w:r>
    </w:p>
    <w:p>
      <w:pPr>
        <w:spacing w:after="80"/>
      </w:pPr>
      <w:r>
        <w:rPr>
          <w:rFonts w:ascii="Palatino Linotype" w:cs="Palatino Linotype" w:eastAsia="Palatino Linotype" w:hAnsi="Palatino Linotype"/>
          <w:b/>
          <w:bCs/>
          <w:color w:val="333333"/>
          <w:sz w:val="20"/>
          <w:szCs w:val="20"/>
        </w:rPr>
        <w:t xml:space="preserve">Colour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DDDDDD" w:sz="1"/>
              <w:left w:val="single" w:color="DDDDDD" w:sz="1"/>
              <w:bottom w:val="single" w:color="DDDDDD" w:sz="1"/>
              <w:right w:val="single" w:color="DDDDDD" w:sz="1"/>
            </w:tcBorders>
            <w:shd w:fill="2563EB" w:val="clear"/>
            <w:tcMar>
              <w:top w:type="dxa" w:w="30"/>
              <w:left w:type="dxa" w:w="40"/>
              <w:bottom w:type="dxa" w:w="30"/>
              <w:right w:type="dxa" w:w="40"/>
            </w:tcMar>
          </w:tcPr>
          <w:p>
            <w:r>
              <w:rPr>
                <w:sz w:val="16"/>
                <w:szCs w:val="16"/>
              </w:rPr>
              <w:t xml:space="preserve"> </w:t>
            </w:r>
          </w:p>
        </w:tc>
        <w:tc>
          <w:tcPr>
            <w:tcW w:type="dxa" w:w="8860"/>
            <w:tcBorders>
              <w:top w:val="single" w:color="DDDDDD" w:sz="1"/>
              <w:left w:val="single" w:color="DDDDDD" w:sz="1"/>
              <w:bottom w:val="single" w:color="DDDDDD" w:sz="1"/>
              <w:right w:val="single" w:color="DDDDDD" w:sz="1"/>
            </w:tcBorders>
            <w:tcMar>
              <w:top w:type="dxa" w:w="30"/>
              <w:left w:type="dxa" w:w="100"/>
              <w:bottom w:type="dxa" w:w="30"/>
              <w:right w:type="dxa" w:w="40"/>
            </w:tcMar>
          </w:tcPr>
          <w:p>
            <w:r>
              <w:rPr>
                <w:rFonts w:ascii="Palatino Linotype" w:cs="Palatino Linotype" w:eastAsia="Palatino Linotype" w:hAnsi="Palatino Linotype"/>
                <w:b/>
                <w:bCs/>
                <w:color w:val="2563EB"/>
                <w:sz w:val="19"/>
                <w:szCs w:val="19"/>
              </w:rPr>
              <w:t xml:space="preserve">ICTY</w:t>
            </w:r>
          </w:p>
        </w:tc>
      </w:tr>
      <w:tr>
        <w:tc>
          <w:tcPr>
            <w:tcW w:type="dxa" w:w="500"/>
            <w:tcBorders>
              <w:top w:val="single" w:color="DDDDDD" w:sz="1"/>
              <w:left w:val="single" w:color="DDDDDD" w:sz="1"/>
              <w:bottom w:val="single" w:color="DDDDDD" w:sz="1"/>
              <w:right w:val="single" w:color="DDDDDD" w:sz="1"/>
            </w:tcBorders>
            <w:shd w:fill="DC2626" w:val="clear"/>
            <w:tcMar>
              <w:top w:type="dxa" w:w="30"/>
              <w:left w:type="dxa" w:w="40"/>
              <w:bottom w:type="dxa" w:w="30"/>
              <w:right w:type="dxa" w:w="40"/>
            </w:tcMar>
          </w:tcPr>
          <w:p>
            <w:r>
              <w:rPr>
                <w:sz w:val="16"/>
                <w:szCs w:val="16"/>
              </w:rPr>
              <w:t xml:space="preserve"> </w:t>
            </w:r>
          </w:p>
        </w:tc>
        <w:tc>
          <w:tcPr>
            <w:tcW w:type="dxa" w:w="8860"/>
            <w:tcBorders>
              <w:top w:val="single" w:color="DDDDDD" w:sz="1"/>
              <w:left w:val="single" w:color="DDDDDD" w:sz="1"/>
              <w:bottom w:val="single" w:color="DDDDDD" w:sz="1"/>
              <w:right w:val="single" w:color="DDDDDD" w:sz="1"/>
            </w:tcBorders>
            <w:tcMar>
              <w:top w:type="dxa" w:w="30"/>
              <w:left w:type="dxa" w:w="100"/>
              <w:bottom w:type="dxa" w:w="30"/>
              <w:right w:type="dxa" w:w="40"/>
            </w:tcMar>
          </w:tcPr>
          <w:p>
            <w:r>
              <w:rPr>
                <w:rFonts w:ascii="Palatino Linotype" w:cs="Palatino Linotype" w:eastAsia="Palatino Linotype" w:hAnsi="Palatino Linotype"/>
                <w:b/>
                <w:bCs/>
                <w:color w:val="DC2626"/>
                <w:sz w:val="19"/>
                <w:szCs w:val="19"/>
              </w:rPr>
              <w:t xml:space="preserve">ICTR</w:t>
            </w:r>
          </w:p>
        </w:tc>
      </w:tr>
      <w:tr>
        <w:tc>
          <w:tcPr>
            <w:tcW w:type="dxa" w:w="500"/>
            <w:tcBorders>
              <w:top w:val="single" w:color="DDDDDD" w:sz="1"/>
              <w:left w:val="single" w:color="DDDDDD" w:sz="1"/>
              <w:bottom w:val="single" w:color="DDDDDD" w:sz="1"/>
              <w:right w:val="single" w:color="DDDDDD" w:sz="1"/>
            </w:tcBorders>
            <w:shd w:fill="059669" w:val="clear"/>
            <w:tcMar>
              <w:top w:type="dxa" w:w="30"/>
              <w:left w:type="dxa" w:w="40"/>
              <w:bottom w:type="dxa" w:w="30"/>
              <w:right w:type="dxa" w:w="40"/>
            </w:tcMar>
          </w:tcPr>
          <w:p>
            <w:r>
              <w:rPr>
                <w:sz w:val="16"/>
                <w:szCs w:val="16"/>
              </w:rPr>
              <w:t xml:space="preserve"> </w:t>
            </w:r>
          </w:p>
        </w:tc>
        <w:tc>
          <w:tcPr>
            <w:tcW w:type="dxa" w:w="8860"/>
            <w:tcBorders>
              <w:top w:val="single" w:color="DDDDDD" w:sz="1"/>
              <w:left w:val="single" w:color="DDDDDD" w:sz="1"/>
              <w:bottom w:val="single" w:color="DDDDDD" w:sz="1"/>
              <w:right w:val="single" w:color="DDDDDD" w:sz="1"/>
            </w:tcBorders>
            <w:tcMar>
              <w:top w:type="dxa" w:w="30"/>
              <w:left w:type="dxa" w:w="100"/>
              <w:bottom w:type="dxa" w:w="30"/>
              <w:right w:type="dxa" w:w="40"/>
            </w:tcMar>
          </w:tcPr>
          <w:p>
            <w:r>
              <w:rPr>
                <w:rFonts w:ascii="Palatino Linotype" w:cs="Palatino Linotype" w:eastAsia="Palatino Linotype" w:hAnsi="Palatino Linotype"/>
                <w:b/>
                <w:bCs/>
                <w:color w:val="059669"/>
                <w:sz w:val="19"/>
                <w:szCs w:val="19"/>
              </w:rPr>
              <w:t xml:space="preserve">ICC</w:t>
            </w:r>
          </w:p>
        </w:tc>
      </w:tr>
      <w:tr>
        <w:tc>
          <w:tcPr>
            <w:tcW w:type="dxa" w:w="500"/>
            <w:tcBorders>
              <w:top w:val="single" w:color="DDDDDD" w:sz="1"/>
              <w:left w:val="single" w:color="DDDDDD" w:sz="1"/>
              <w:bottom w:val="single" w:color="DDDDDD" w:sz="1"/>
              <w:right w:val="single" w:color="DDDDDD" w:sz="1"/>
            </w:tcBorders>
            <w:shd w:fill="7C3AED" w:val="clear"/>
            <w:tcMar>
              <w:top w:type="dxa" w:w="30"/>
              <w:left w:type="dxa" w:w="40"/>
              <w:bottom w:type="dxa" w:w="30"/>
              <w:right w:type="dxa" w:w="40"/>
            </w:tcMar>
          </w:tcPr>
          <w:p>
            <w:r>
              <w:rPr>
                <w:sz w:val="16"/>
                <w:szCs w:val="16"/>
              </w:rPr>
              <w:t xml:space="preserve"> </w:t>
            </w:r>
          </w:p>
        </w:tc>
        <w:tc>
          <w:tcPr>
            <w:tcW w:type="dxa" w:w="8860"/>
            <w:tcBorders>
              <w:top w:val="single" w:color="DDDDDD" w:sz="1"/>
              <w:left w:val="single" w:color="DDDDDD" w:sz="1"/>
              <w:bottom w:val="single" w:color="DDDDDD" w:sz="1"/>
              <w:right w:val="single" w:color="DDDDDD" w:sz="1"/>
            </w:tcBorders>
            <w:tcMar>
              <w:top w:type="dxa" w:w="30"/>
              <w:left w:type="dxa" w:w="100"/>
              <w:bottom w:type="dxa" w:w="30"/>
              <w:right w:type="dxa" w:w="40"/>
            </w:tcMar>
          </w:tcPr>
          <w:p>
            <w:r>
              <w:rPr>
                <w:rFonts w:ascii="Palatino Linotype" w:cs="Palatino Linotype" w:eastAsia="Palatino Linotype" w:hAnsi="Palatino Linotype"/>
                <w:b/>
                <w:bCs/>
                <w:color w:val="7C3AED"/>
                <w:sz w:val="19"/>
                <w:szCs w:val="19"/>
              </w:rPr>
              <w:t xml:space="preserve">ICJ</w:t>
            </w:r>
          </w:p>
        </w:tc>
      </w:tr>
      <w:tr>
        <w:tc>
          <w:tcPr>
            <w:tcW w:type="dxa" w:w="500"/>
            <w:tcBorders>
              <w:top w:val="single" w:color="DDDDDD" w:sz="1"/>
              <w:left w:val="single" w:color="DDDDDD" w:sz="1"/>
              <w:bottom w:val="single" w:color="DDDDDD" w:sz="1"/>
              <w:right w:val="single" w:color="DDDDDD" w:sz="1"/>
            </w:tcBorders>
            <w:shd w:fill="D97706" w:val="clear"/>
            <w:tcMar>
              <w:top w:type="dxa" w:w="30"/>
              <w:left w:type="dxa" w:w="40"/>
              <w:bottom w:type="dxa" w:w="30"/>
              <w:right w:type="dxa" w:w="40"/>
            </w:tcMar>
          </w:tcPr>
          <w:p>
            <w:r>
              <w:rPr>
                <w:sz w:val="16"/>
                <w:szCs w:val="16"/>
              </w:rPr>
              <w:t xml:space="preserve"> </w:t>
            </w:r>
          </w:p>
        </w:tc>
        <w:tc>
          <w:tcPr>
            <w:tcW w:type="dxa" w:w="8860"/>
            <w:tcBorders>
              <w:top w:val="single" w:color="DDDDDD" w:sz="1"/>
              <w:left w:val="single" w:color="DDDDDD" w:sz="1"/>
              <w:bottom w:val="single" w:color="DDDDDD" w:sz="1"/>
              <w:right w:val="single" w:color="DDDDDD" w:sz="1"/>
            </w:tcBorders>
            <w:tcMar>
              <w:top w:type="dxa" w:w="30"/>
              <w:left w:type="dxa" w:w="100"/>
              <w:bottom w:type="dxa" w:w="30"/>
              <w:right w:type="dxa" w:w="40"/>
            </w:tcMar>
          </w:tcPr>
          <w:p>
            <w:r>
              <w:rPr>
                <w:rFonts w:ascii="Palatino Linotype" w:cs="Palatino Linotype" w:eastAsia="Palatino Linotype" w:hAnsi="Palatino Linotype"/>
                <w:b/>
                <w:bCs/>
                <w:color w:val="D97706"/>
                <w:sz w:val="19"/>
                <w:szCs w:val="19"/>
              </w:rPr>
              <w:t xml:space="preserve">ICRC Customary IHL Rules</w:t>
            </w:r>
          </w:p>
        </w:tc>
      </w:tr>
      <w:tr>
        <w:tc>
          <w:tcPr>
            <w:tcW w:type="dxa" w:w="500"/>
            <w:tcBorders>
              <w:top w:val="single" w:color="DDDDDD" w:sz="1"/>
              <w:left w:val="single" w:color="DDDDDD" w:sz="1"/>
              <w:bottom w:val="single" w:color="DDDDDD" w:sz="1"/>
              <w:right w:val="single" w:color="DDDDDD" w:sz="1"/>
            </w:tcBorders>
            <w:shd w:fill="0891B2" w:val="clear"/>
            <w:tcMar>
              <w:top w:type="dxa" w:w="30"/>
              <w:left w:type="dxa" w:w="40"/>
              <w:bottom w:type="dxa" w:w="30"/>
              <w:right w:type="dxa" w:w="40"/>
            </w:tcMar>
          </w:tcPr>
          <w:p>
            <w:r>
              <w:rPr>
                <w:sz w:val="16"/>
                <w:szCs w:val="16"/>
              </w:rPr>
              <w:t xml:space="preserve"> </w:t>
            </w:r>
          </w:p>
        </w:tc>
        <w:tc>
          <w:tcPr>
            <w:tcW w:type="dxa" w:w="8860"/>
            <w:tcBorders>
              <w:top w:val="single" w:color="DDDDDD" w:sz="1"/>
              <w:left w:val="single" w:color="DDDDDD" w:sz="1"/>
              <w:bottom w:val="single" w:color="DDDDDD" w:sz="1"/>
              <w:right w:val="single" w:color="DDDDDD" w:sz="1"/>
            </w:tcBorders>
            <w:tcMar>
              <w:top w:type="dxa" w:w="30"/>
              <w:left w:type="dxa" w:w="100"/>
              <w:bottom w:type="dxa" w:w="30"/>
              <w:right w:type="dxa" w:w="40"/>
            </w:tcMar>
          </w:tcPr>
          <w:p>
            <w:r>
              <w:rPr>
                <w:rFonts w:ascii="Palatino Linotype" w:cs="Palatino Linotype" w:eastAsia="Palatino Linotype" w:hAnsi="Palatino Linotype"/>
                <w:b/>
                <w:bCs/>
                <w:color w:val="0891B2"/>
                <w:sz w:val="19"/>
                <w:szCs w:val="19"/>
              </w:rPr>
              <w:t xml:space="preserve">ICRC Commentary</w:t>
            </w:r>
          </w:p>
        </w:tc>
      </w:tr>
      <w:tr>
        <w:tc>
          <w:tcPr>
            <w:tcW w:type="dxa" w:w="500"/>
            <w:tcBorders>
              <w:top w:val="single" w:color="DDDDDD" w:sz="1"/>
              <w:left w:val="single" w:color="DDDDDD" w:sz="1"/>
              <w:bottom w:val="single" w:color="DDDDDD" w:sz="1"/>
              <w:right w:val="single" w:color="DDDDDD" w:sz="1"/>
            </w:tcBorders>
            <w:shd w:fill="92400E" w:val="clear"/>
            <w:tcMar>
              <w:top w:type="dxa" w:w="30"/>
              <w:left w:type="dxa" w:w="40"/>
              <w:bottom w:type="dxa" w:w="30"/>
              <w:right w:type="dxa" w:w="40"/>
            </w:tcMar>
          </w:tcPr>
          <w:p>
            <w:r>
              <w:rPr>
                <w:sz w:val="16"/>
                <w:szCs w:val="16"/>
              </w:rPr>
              <w:t xml:space="preserve"> </w:t>
            </w:r>
          </w:p>
        </w:tc>
        <w:tc>
          <w:tcPr>
            <w:tcW w:type="dxa" w:w="8860"/>
            <w:tcBorders>
              <w:top w:val="single" w:color="DDDDDD" w:sz="1"/>
              <w:left w:val="single" w:color="DDDDDD" w:sz="1"/>
              <w:bottom w:val="single" w:color="DDDDDD" w:sz="1"/>
              <w:right w:val="single" w:color="DDDDDD" w:sz="1"/>
            </w:tcBorders>
            <w:tcMar>
              <w:top w:type="dxa" w:w="30"/>
              <w:left w:type="dxa" w:w="100"/>
              <w:bottom w:type="dxa" w:w="30"/>
              <w:right w:type="dxa" w:w="40"/>
            </w:tcMar>
          </w:tcPr>
          <w:p>
            <w:r>
              <w:rPr>
                <w:rFonts w:ascii="Palatino Linotype" w:cs="Palatino Linotype" w:eastAsia="Palatino Linotype" w:hAnsi="Palatino Linotype"/>
                <w:b/>
                <w:bCs/>
                <w:color w:val="92400E"/>
                <w:sz w:val="19"/>
                <w:szCs w:val="19"/>
              </w:rPr>
              <w:t xml:space="preserve">Doctrine</w:t>
            </w:r>
          </w:p>
        </w:tc>
      </w:tr>
      <w:tr>
        <w:tc>
          <w:tcPr>
            <w:tcW w:type="dxa" w:w="500"/>
            <w:tcBorders>
              <w:top w:val="single" w:color="DDDDDD" w:sz="1"/>
              <w:left w:val="single" w:color="DDDDDD" w:sz="1"/>
              <w:bottom w:val="single" w:color="DDDDDD" w:sz="1"/>
              <w:right w:val="single" w:color="DDDDDD" w:sz="1"/>
            </w:tcBorders>
            <w:shd w:fill="BE185D" w:val="clear"/>
            <w:tcMar>
              <w:top w:type="dxa" w:w="30"/>
              <w:left w:type="dxa" w:w="40"/>
              <w:bottom w:type="dxa" w:w="30"/>
              <w:right w:type="dxa" w:w="40"/>
            </w:tcMar>
          </w:tcPr>
          <w:p>
            <w:r>
              <w:rPr>
                <w:sz w:val="16"/>
                <w:szCs w:val="16"/>
              </w:rPr>
              <w:t xml:space="preserve"> </w:t>
            </w:r>
          </w:p>
        </w:tc>
        <w:tc>
          <w:tcPr>
            <w:tcW w:type="dxa" w:w="8860"/>
            <w:tcBorders>
              <w:top w:val="single" w:color="DDDDDD" w:sz="1"/>
              <w:left w:val="single" w:color="DDDDDD" w:sz="1"/>
              <w:bottom w:val="single" w:color="DDDDDD" w:sz="1"/>
              <w:right w:val="single" w:color="DDDDDD" w:sz="1"/>
            </w:tcBorders>
            <w:tcMar>
              <w:top w:type="dxa" w:w="30"/>
              <w:left w:type="dxa" w:w="100"/>
              <w:bottom w:type="dxa" w:w="30"/>
              <w:right w:type="dxa" w:w="40"/>
            </w:tcMar>
          </w:tcPr>
          <w:p>
            <w:r>
              <w:rPr>
                <w:rFonts w:ascii="Palatino Linotype" w:cs="Palatino Linotype" w:eastAsia="Palatino Linotype" w:hAnsi="Palatino Linotype"/>
                <w:b/>
                <w:bCs/>
                <w:color w:val="BE185D"/>
                <w:sz w:val="19"/>
                <w:szCs w:val="19"/>
              </w:rPr>
              <w:t xml:space="preserve">Other Tribunals</w:t>
            </w:r>
          </w:p>
        </w:tc>
      </w:tr>
    </w:tbl>
    <w:p>
      <w:r>
        <w:br w:type="page"/>
      </w:r>
    </w:p>
    <w:p>
      <w:pPr>
        <w:pStyle w:val="Heading2"/>
        <w:pBdr>
          <w:bottom w:val="single" w:color="CCCCCC" w:sz="1" w:space="4"/>
        </w:pBdr>
        <w:spacing w:after="120" w:before="320"/>
      </w:pPr>
      <w:r>
        <w:rPr>
          <w:rFonts w:ascii="Palatino Linotype" w:cs="Palatino Linotype" w:eastAsia="Palatino Linotype" w:hAnsi="Palatino Linotype"/>
          <w:b/>
          <w:bCs/>
          <w:color w:val="1A1A2E"/>
          <w:sz w:val="24"/>
          <w:szCs w:val="24"/>
        </w:rPr>
        <w:t xml:space="preserve">Article 3 — Chapeau (Scope of Application)</w:t>
      </w:r>
    </w:p>
    <w:p>
      <w:pPr>
        <w:pBdr>
          <w:left w:val="single" w:color="C41E3A" w:sz="6" w:space="8"/>
        </w:pBdr>
        <w:spacing w:after="140"/>
      </w:pPr>
      <w:r>
        <w:rPr>
          <w:rFonts w:ascii="Palatino Linotype" w:cs="Palatino Linotype" w:eastAsia="Palatino Linotype" w:hAnsi="Palatino Linotype"/>
          <w:b/>
          <w:bCs/>
          <w:color w:val="1A1A2E"/>
          <w:sz w:val="22"/>
          <w:szCs w:val="22"/>
        </w:rPr>
        <w:t xml:space="preserve">In the case of armed conflict not of an international character occurring in the territory of one of the High Contracting Parties, each Party to the conflict shall be bound to apply, as a minimum, the following provisions:</w:t>
      </w:r>
    </w:p>
    <w:p>
      <w:pPr>
        <w:spacing w:after="120"/>
      </w:pPr>
      <w:r>
        <w:rPr>
          <w:rFonts w:ascii="Palatino Linotype" w:cs="Palatino Linotype" w:eastAsia="Palatino Linotype" w:hAnsi="Palatino Linotype"/>
          <w:color w:val="2563EB"/>
          <w:sz w:val="21"/>
          <w:szCs w:val="21"/>
        </w:rPr>
        <w:t xml:space="preserve">Two cumulative criteria apply: (i) intensity of hostilities and (ii) organisation of the non-state party.</w:t>
      </w:r>
      <w:r>
        <w:rPr>
          <w:rStyle w:val="FootnoteReference"/>
        </w:rPr>
        <w:footnoteReference w:id="1"/>
      </w:r>
      <w:r>
        <w:rPr>
          <w:rFonts w:ascii="Palatino Linotype" w:cs="Palatino Linotype" w:eastAsia="Palatino Linotype" w:hAnsi="Palatino Linotype"/>
          <w:color w:val="333333"/>
          <w:sz w:val="21"/>
          <w:szCs w:val="21"/>
        </w:rPr>
        <w:t xml:space="preserve"> </w:t>
      </w:r>
      <w:r>
        <w:rPr>
          <w:rFonts w:ascii="Palatino Linotype" w:cs="Palatino Linotype" w:eastAsia="Palatino Linotype" w:hAnsi="Palatino Linotype"/>
          <w:color w:val="2563EB"/>
          <w:sz w:val="21"/>
          <w:szCs w:val="21"/>
        </w:rPr>
        <w:t xml:space="preserve">Intensity requires collective hostilities or use of military force; banditry, unorganised insurrections, or terrorism are insufficient.</w:t>
      </w:r>
      <w:r>
        <w:rPr>
          <w:rStyle w:val="FootnoteReference"/>
        </w:rPr>
        <w:footnoteReference w:id="2"/>
      </w:r>
      <w:r>
        <w:rPr>
          <w:rFonts w:ascii="Palatino Linotype" w:cs="Palatino Linotype" w:eastAsia="Palatino Linotype" w:hAnsi="Palatino Linotype"/>
          <w:color w:val="333333"/>
          <w:sz w:val="21"/>
          <w:szCs w:val="21"/>
        </w:rPr>
        <w:t xml:space="preserve"> </w:t>
      </w:r>
      <w:r>
        <w:rPr>
          <w:rFonts w:ascii="Palatino Linotype" w:cs="Palatino Linotype" w:eastAsia="Palatino Linotype" w:hAnsi="Palatino Linotype"/>
          <w:color w:val="0891B2"/>
          <w:sz w:val="21"/>
          <w:szCs w:val="21"/>
        </w:rPr>
        <w:t xml:space="preserve">The ‘protracted armed violence’ standard is widely accepted; a single isolated act will not qualify.</w:t>
      </w:r>
      <w:r>
        <w:rPr>
          <w:rStyle w:val="FootnoteReference"/>
        </w:rPr>
        <w:footnoteReference w:id="3"/>
      </w:r>
    </w:p>
    <w:p>
      <w:pPr>
        <w:spacing w:after="120"/>
      </w:pPr>
      <w:r>
        <w:rPr>
          <w:rFonts w:ascii="Palatino Linotype" w:cs="Palatino Linotype" w:eastAsia="Palatino Linotype" w:hAnsi="Palatino Linotype"/>
          <w:color w:val="2563EB"/>
          <w:sz w:val="21"/>
          <w:szCs w:val="21"/>
        </w:rPr>
        <w:t xml:space="preserve">Organisation requires command structure, capacity to sustain operations, and ability to implement IHL—assessed via hierarchy, discipline, logistics, and ability to speak with one voice.</w:t>
      </w:r>
      <w:r>
        <w:rPr>
          <w:rStyle w:val="FootnoteReference"/>
        </w:rPr>
        <w:footnoteReference w:id="4"/>
      </w:r>
      <w:r>
        <w:rPr>
          <w:rFonts w:ascii="Palatino Linotype" w:cs="Palatino Linotype" w:eastAsia="Palatino Linotype" w:hAnsi="Palatino Linotype"/>
          <w:color w:val="333333"/>
          <w:sz w:val="21"/>
          <w:szCs w:val="21"/>
        </w:rPr>
        <w:t xml:space="preserve"> </w:t>
      </w:r>
      <w:r>
        <w:rPr>
          <w:rFonts w:ascii="Palatino Linotype" w:cs="Palatino Linotype" w:eastAsia="Palatino Linotype" w:hAnsi="Palatino Linotype"/>
          <w:color w:val="059669"/>
          <w:sz w:val="21"/>
          <w:szCs w:val="21"/>
        </w:rPr>
        <w:t xml:space="preserve">The ICC endorsed this test; criteria are assessed holistically.</w:t>
      </w:r>
      <w:r>
        <w:rPr>
          <w:rStyle w:val="FootnoteReference"/>
        </w:rPr>
        <w:footnoteReference w:id="5"/>
      </w:r>
    </w:p>
    <w:p>
      <w:pPr>
        <w:spacing w:after="120"/>
      </w:pPr>
      <w:r>
        <w:rPr>
          <w:rFonts w:ascii="Palatino Linotype" w:cs="Palatino Linotype" w:eastAsia="Palatino Linotype" w:hAnsi="Palatino Linotype"/>
          <w:color w:val="0891B2"/>
          <w:sz w:val="21"/>
          <w:szCs w:val="21"/>
        </w:rPr>
        <w:t xml:space="preserve">Classification is objective and independent of legal status or state recognition.</w:t>
      </w:r>
      <w:r>
        <w:rPr>
          <w:rStyle w:val="FootnoteReference"/>
        </w:rPr>
        <w:footnoteReference w:id="6"/>
      </w:r>
      <w:r>
        <w:rPr>
          <w:rFonts w:ascii="Palatino Linotype" w:cs="Palatino Linotype" w:eastAsia="Palatino Linotype" w:hAnsi="Palatino Linotype"/>
          <w:color w:val="333333"/>
          <w:sz w:val="21"/>
          <w:szCs w:val="21"/>
        </w:rPr>
        <w:t xml:space="preserve"> </w:t>
      </w:r>
      <w:r>
        <w:rPr>
          <w:rFonts w:ascii="Palatino Linotype" w:cs="Palatino Linotype" w:eastAsia="Palatino Linotype" w:hAnsi="Palatino Linotype"/>
          <w:color w:val="2563EB"/>
          <w:sz w:val="21"/>
          <w:szCs w:val="21"/>
        </w:rPr>
        <w:t xml:space="preserve">IHL applies to the entire territory under the parties’ control, not only the immediate theatre.</w:t>
      </w:r>
      <w:r>
        <w:rPr>
          <w:rStyle w:val="FootnoteReference"/>
        </w:rPr>
        <w:footnoteReference w:id="7"/>
      </w:r>
    </w:p>
    <w:p>
      <w:pPr>
        <w:spacing w:after="80" w:before="200"/>
      </w:pPr>
      <w:r>
        <w:rPr>
          <w:rFonts w:ascii="Palatino Linotype" w:cs="Palatino Linotype" w:eastAsia="Palatino Linotype" w:hAnsi="Palatino Linotype"/>
          <w:b/>
          <w:bCs/>
          <w:i/>
          <w:iCs/>
          <w:color w:val="555555"/>
          <w:sz w:val="21"/>
          <w:szCs w:val="21"/>
        </w:rPr>
        <w:t xml:space="preserve">Art. 3A. Coalitions and Third-Party Support (2025 update)</w:t>
      </w:r>
    </w:p>
    <w:p>
      <w:pPr>
        <w:spacing w:after="120"/>
      </w:pPr>
      <w:r>
        <w:rPr>
          <w:rFonts w:ascii="Palatino Linotype" w:cs="Palatino Linotype" w:eastAsia="Palatino Linotype" w:hAnsi="Palatino Linotype"/>
          <w:color w:val="0891B2"/>
          <w:sz w:val="21"/>
          <w:szCs w:val="21"/>
        </w:rPr>
        <w:t xml:space="preserve">Coalition groups: intensity may be assessed in aggregate if coordination is sufficient.</w:t>
      </w:r>
      <w:r>
        <w:rPr>
          <w:rStyle w:val="FootnoteReference"/>
        </w:rPr>
        <w:footnoteReference w:id="8"/>
      </w:r>
      <w:r>
        <w:rPr>
          <w:rFonts w:ascii="Palatino Linotype" w:cs="Palatino Linotype" w:eastAsia="Palatino Linotype" w:hAnsi="Palatino Linotype"/>
          <w:color w:val="333333"/>
          <w:sz w:val="21"/>
          <w:szCs w:val="21"/>
        </w:rPr>
        <w:t xml:space="preserve"> </w:t>
      </w:r>
      <w:r>
        <w:rPr>
          <w:rFonts w:ascii="Palatino Linotype" w:cs="Palatino Linotype" w:eastAsia="Palatino Linotype" w:hAnsi="Palatino Linotype"/>
          <w:color w:val="0891B2"/>
          <w:sz w:val="21"/>
          <w:szCs w:val="21"/>
        </w:rPr>
        <w:t xml:space="preserve">Third-party status requires a ‘direct and effective contribution’—pooling military resources or coordinating against a common enemy.</w:t>
      </w:r>
      <w:r>
        <w:rPr>
          <w:rStyle w:val="FootnoteReference"/>
        </w:rPr>
        <w:footnoteReference w:id="9"/>
      </w:r>
      <w:r>
        <w:rPr>
          <w:rFonts w:ascii="Palatino Linotype" w:cs="Palatino Linotype" w:eastAsia="Palatino Linotype" w:hAnsi="Palatino Linotype"/>
          <w:color w:val="333333"/>
          <w:sz w:val="21"/>
          <w:szCs w:val="21"/>
        </w:rPr>
        <w:t xml:space="preserve"> </w:t>
      </w:r>
      <w:r>
        <w:rPr>
          <w:rFonts w:ascii="Palatino Linotype" w:cs="Palatino Linotype" w:eastAsia="Palatino Linotype" w:hAnsi="Palatino Linotype"/>
          <w:color w:val="0891B2"/>
          <w:sz w:val="21"/>
          <w:szCs w:val="21"/>
        </w:rPr>
        <w:t xml:space="preserve">Private companies may qualify if they meet the same organisational criteria.</w:t>
      </w:r>
      <w:r>
        <w:rPr>
          <w:rStyle w:val="FootnoteReference"/>
        </w:rPr>
        <w:footnoteReference w:id="10"/>
      </w:r>
    </w:p>
    <w:p>
      <w:pPr>
        <w:pStyle w:val="Heading2"/>
        <w:pBdr>
          <w:bottom w:val="single" w:color="CCCCCC" w:sz="1" w:space="4"/>
        </w:pBdr>
        <w:spacing w:after="120" w:before="320"/>
      </w:pPr>
      <w:r>
        <w:rPr>
          <w:rFonts w:ascii="Palatino Linotype" w:cs="Palatino Linotype" w:eastAsia="Palatino Linotype" w:hAnsi="Palatino Linotype"/>
          <w:b/>
          <w:bCs/>
          <w:color w:val="1A1A2E"/>
          <w:sz w:val="24"/>
          <w:szCs w:val="24"/>
        </w:rPr>
        <w:t xml:space="preserve">Article 3(1) — Persons Protected and Absolute Prohibitions</w:t>
      </w:r>
    </w:p>
    <w:p>
      <w:pPr>
        <w:pBdr>
          <w:left w:val="single" w:color="C41E3A" w:sz="6" w:space="8"/>
        </w:pBdr>
        <w:spacing w:after="140"/>
      </w:pPr>
      <w:r>
        <w:rPr>
          <w:rFonts w:ascii="Palatino Linotype" w:cs="Palatino Linotype" w:eastAsia="Palatino Linotype" w:hAnsi="Palatino Linotype"/>
          <w:b/>
          <w:bCs/>
          <w:color w:val="1A1A2E"/>
          <w:sz w:val="22"/>
          <w:szCs w:val="22"/>
        </w:rPr>
        <w:t xml:space="preserve">(1) Persons taking no active part in the hostilities, including members of armed forces who have laid down their arms and those placed hors de combat by sickness, wounds, detention, or any other cause, shall in all circumstances be treated humanely, without any adverse distinction founded on race, colour, religion or faith, sex, birth or wealth, or any other similar criteria.</w:t>
      </w:r>
    </w:p>
    <w:p>
      <w:pPr>
        <w:spacing w:after="120"/>
      </w:pPr>
      <w:r>
        <w:rPr>
          <w:rFonts w:ascii="Palatino Linotype" w:cs="Palatino Linotype" w:eastAsia="Palatino Linotype" w:hAnsi="Palatino Linotype"/>
          <w:color w:val="0891B2"/>
          <w:sz w:val="21"/>
          <w:szCs w:val="21"/>
        </w:rPr>
        <w:t xml:space="preserve">Covers civilians not directly participating, members who laid down arms, and persons hors de combat.</w:t>
      </w:r>
      <w:r>
        <w:rPr>
          <w:rStyle w:val="FootnoteReference"/>
        </w:rPr>
        <w:footnoteReference w:id="11"/>
      </w:r>
      <w:r>
        <w:rPr>
          <w:rFonts w:ascii="Palatino Linotype" w:cs="Palatino Linotype" w:eastAsia="Palatino Linotype" w:hAnsi="Palatino Linotype"/>
          <w:color w:val="333333"/>
          <w:sz w:val="21"/>
          <w:szCs w:val="21"/>
        </w:rPr>
        <w:t xml:space="preserve"> </w:t>
      </w:r>
      <w:r>
        <w:rPr>
          <w:rFonts w:ascii="Palatino Linotype" w:cs="Palatino Linotype" w:eastAsia="Palatino Linotype" w:hAnsi="Palatino Linotype"/>
          <w:color w:val="059669"/>
          <w:sz w:val="21"/>
          <w:szCs w:val="21"/>
        </w:rPr>
        <w:t xml:space="preserve">Protects persons on all sides—including a party’s own forces when hors de combat.</w:t>
      </w:r>
      <w:r>
        <w:rPr>
          <w:rStyle w:val="FootnoteReference"/>
        </w:rPr>
        <w:footnoteReference w:id="12"/>
      </w:r>
      <w:r>
        <w:rPr>
          <w:rFonts w:ascii="Palatino Linotype" w:cs="Palatino Linotype" w:eastAsia="Palatino Linotype" w:hAnsi="Palatino Linotype"/>
          <w:color w:val="333333"/>
          <w:sz w:val="21"/>
          <w:szCs w:val="21"/>
        </w:rPr>
        <w:t xml:space="preserve"> </w:t>
      </w:r>
      <w:r>
        <w:rPr>
          <w:rFonts w:ascii="Palatino Linotype" w:cs="Palatino Linotype" w:eastAsia="Palatino Linotype" w:hAnsi="Palatino Linotype"/>
          <w:color w:val="0891B2"/>
          <w:sz w:val="21"/>
          <w:szCs w:val="21"/>
        </w:rPr>
        <w:t xml:space="preserve">Protection applies regardless of party affiliation.</w:t>
      </w:r>
      <w:r>
        <w:rPr>
          <w:rStyle w:val="FootnoteReference"/>
        </w:rPr>
        <w:footnoteReference w:id="13"/>
      </w:r>
    </w:p>
    <w:p>
      <w:pPr>
        <w:spacing w:after="120"/>
      </w:pPr>
      <w:r>
        <w:rPr>
          <w:rFonts w:ascii="Palatino Linotype" w:cs="Palatino Linotype" w:eastAsia="Palatino Linotype" w:hAnsi="Palatino Linotype"/>
          <w:color w:val="2563EB"/>
          <w:sz w:val="21"/>
          <w:szCs w:val="21"/>
        </w:rPr>
        <w:t xml:space="preserve">Humane treatment is absolute and non-derogable, applying at all times throughout the affected territory.</w:t>
      </w:r>
      <w:r>
        <w:rPr>
          <w:rStyle w:val="FootnoteReference"/>
        </w:rPr>
        <w:footnoteReference w:id="14"/>
      </w:r>
      <w:r>
        <w:rPr>
          <w:rFonts w:ascii="Palatino Linotype" w:cs="Palatino Linotype" w:eastAsia="Palatino Linotype" w:hAnsi="Palatino Linotype"/>
          <w:color w:val="333333"/>
          <w:sz w:val="21"/>
          <w:szCs w:val="21"/>
        </w:rPr>
        <w:t xml:space="preserve"> </w:t>
      </w:r>
      <w:r>
        <w:rPr>
          <w:rFonts w:ascii="Palatino Linotype" w:cs="Palatino Linotype" w:eastAsia="Palatino Linotype" w:hAnsi="Palatino Linotype"/>
          <w:color w:val="0891B2"/>
          <w:sz w:val="21"/>
          <w:szCs w:val="21"/>
        </w:rPr>
        <w:t xml:space="preserve">The prohibited grounds of distinction are non-exhaustive; the 2025 revision confirms inclusion of sexual orientation and gender identity.</w:t>
      </w:r>
      <w:r>
        <w:rPr>
          <w:rStyle w:val="FootnoteReference"/>
        </w:rPr>
        <w:footnoteReference w:id="15"/>
      </w:r>
    </w:p>
    <w:p>
      <w:pPr>
        <w:pStyle w:val="Heading2"/>
        <w:pBdr>
          <w:bottom w:val="single" w:color="CCCCCC" w:sz="1" w:space="4"/>
        </w:pBdr>
        <w:spacing w:after="120" w:before="320"/>
      </w:pPr>
      <w:r>
        <w:rPr>
          <w:rFonts w:ascii="Palatino Linotype" w:cs="Palatino Linotype" w:eastAsia="Palatino Linotype" w:hAnsi="Palatino Linotype"/>
          <w:b/>
          <w:bCs/>
          <w:color w:val="1A1A2E"/>
          <w:sz w:val="24"/>
          <w:szCs w:val="24"/>
        </w:rPr>
        <w:t xml:space="preserve">Article 3(1)(a) — Violence to Life and Person</w:t>
      </w:r>
    </w:p>
    <w:p>
      <w:pPr>
        <w:pBdr>
          <w:left w:val="single" w:color="C41E3A" w:sz="6" w:space="8"/>
        </w:pBdr>
        <w:spacing w:after="140"/>
      </w:pPr>
      <w:r>
        <w:rPr>
          <w:rFonts w:ascii="Palatino Linotype" w:cs="Palatino Linotype" w:eastAsia="Palatino Linotype" w:hAnsi="Palatino Linotype"/>
          <w:b/>
          <w:bCs/>
          <w:color w:val="1A1A2E"/>
          <w:sz w:val="22"/>
          <w:szCs w:val="22"/>
        </w:rPr>
        <w:t xml:space="preserve">(a) Violence to life and person, in particular murder of all kinds, mutilation, cruel treatment and torture;</w:t>
      </w:r>
    </w:p>
    <w:p>
      <w:pPr>
        <w:spacing w:after="120"/>
      </w:pPr>
      <w:r>
        <w:rPr>
          <w:rFonts w:ascii="Palatino Linotype" w:cs="Palatino Linotype" w:eastAsia="Palatino Linotype" w:hAnsi="Palatino Linotype"/>
          <w:color w:val="DC2626"/>
          <w:sz w:val="21"/>
          <w:szCs w:val="21"/>
        </w:rPr>
        <w:t xml:space="preserve">Absolute prohibition encompassing wilful killing, mutilation, corporal punishment, and physical or mental coercion.</w:t>
      </w:r>
      <w:r>
        <w:rPr>
          <w:rStyle w:val="FootnoteReference"/>
        </w:rPr>
        <w:footnoteReference w:id="16"/>
      </w:r>
      <w:r>
        <w:rPr>
          <w:rFonts w:ascii="Palatino Linotype" w:cs="Palatino Linotype" w:eastAsia="Palatino Linotype" w:hAnsi="Palatino Linotype"/>
          <w:color w:val="333333"/>
          <w:sz w:val="21"/>
          <w:szCs w:val="21"/>
        </w:rPr>
        <w:t xml:space="preserve"> </w:t>
      </w:r>
      <w:r>
        <w:rPr>
          <w:rFonts w:ascii="Palatino Linotype" w:cs="Palatino Linotype" w:eastAsia="Palatino Linotype" w:hAnsi="Palatino Linotype"/>
          <w:color w:val="2563EB"/>
          <w:sz w:val="21"/>
          <w:szCs w:val="21"/>
        </w:rPr>
        <w:t xml:space="preserve">Torture requires severe pain/suffering plus a specific purpose (interrogation, intimidation, discrimination); cruel treatment falls below this threshold.</w:t>
      </w:r>
      <w:r>
        <w:rPr>
          <w:rStyle w:val="FootnoteReference"/>
        </w:rPr>
        <w:footnoteReference w:id="17"/>
      </w:r>
      <w:r>
        <w:rPr>
          <w:rFonts w:ascii="Palatino Linotype" w:cs="Palatino Linotype" w:eastAsia="Palatino Linotype" w:hAnsi="Palatino Linotype"/>
          <w:color w:val="333333"/>
          <w:sz w:val="21"/>
          <w:szCs w:val="21"/>
        </w:rPr>
        <w:t xml:space="preserve"> </w:t>
      </w:r>
      <w:r>
        <w:rPr>
          <w:rFonts w:ascii="Palatino Linotype" w:cs="Palatino Linotype" w:eastAsia="Palatino Linotype" w:hAnsi="Palatino Linotype"/>
          <w:color w:val="0891B2"/>
          <w:sz w:val="21"/>
          <w:szCs w:val="21"/>
        </w:rPr>
        <w:t xml:space="preserve">Sexual violence falls under this provision as torture or cruel treatment.</w:t>
      </w:r>
      <w:r>
        <w:rPr>
          <w:rStyle w:val="FootnoteReference"/>
        </w:rPr>
        <w:footnoteReference w:id="18"/>
      </w:r>
    </w:p>
    <w:p>
      <w:pPr>
        <w:spacing w:after="80" w:before="200"/>
      </w:pPr>
      <w:r>
        <w:rPr>
          <w:rFonts w:ascii="Palatino Linotype" w:cs="Palatino Linotype" w:eastAsia="Palatino Linotype" w:hAnsi="Palatino Linotype"/>
          <w:b/>
          <w:bCs/>
          <w:i/>
          <w:iCs/>
          <w:color w:val="555555"/>
          <w:sz w:val="21"/>
          <w:szCs w:val="21"/>
        </w:rPr>
        <w:t xml:space="preserve">Customary Extension (IAC and NIAC)</w:t>
      </w:r>
    </w:p>
    <w:p>
      <w:pPr>
        <w:spacing w:after="120"/>
      </w:pPr>
      <w:r>
        <w:rPr>
          <w:rFonts w:ascii="Palatino Linotype" w:cs="Palatino Linotype" w:eastAsia="Palatino Linotype" w:hAnsi="Palatino Linotype"/>
          <w:color w:val="D97706"/>
          <w:sz w:val="21"/>
          <w:szCs w:val="21"/>
        </w:rPr>
        <w:t xml:space="preserve">CIHL Rules 87 (humane treatment), 90 (torture/cruel treatment/outrages prohibited), 91 (corporal punishment), 92 (mutilation).</w:t>
      </w:r>
      <w:r>
        <w:rPr>
          <w:rStyle w:val="FootnoteReference"/>
        </w:rPr>
        <w:footnoteReference w:id="19"/>
      </w:r>
    </w:p>
    <w:p>
      <w:pPr>
        <w:pStyle w:val="Heading2"/>
        <w:pBdr>
          <w:bottom w:val="single" w:color="CCCCCC" w:sz="1" w:space="4"/>
        </w:pBdr>
        <w:spacing w:after="120" w:before="320"/>
      </w:pPr>
      <w:r>
        <w:rPr>
          <w:rFonts w:ascii="Palatino Linotype" w:cs="Palatino Linotype" w:eastAsia="Palatino Linotype" w:hAnsi="Palatino Linotype"/>
          <w:b/>
          <w:bCs/>
          <w:color w:val="1A1A2E"/>
          <w:sz w:val="24"/>
          <w:szCs w:val="24"/>
        </w:rPr>
        <w:t xml:space="preserve">Article 3(1)(b) — Hostage-taking</w:t>
      </w:r>
    </w:p>
    <w:p>
      <w:pPr>
        <w:pBdr>
          <w:left w:val="single" w:color="C41E3A" w:sz="6" w:space="8"/>
        </w:pBdr>
        <w:spacing w:after="140"/>
      </w:pPr>
      <w:r>
        <w:rPr>
          <w:rFonts w:ascii="Palatino Linotype" w:cs="Palatino Linotype" w:eastAsia="Palatino Linotype" w:hAnsi="Palatino Linotype"/>
          <w:b/>
          <w:bCs/>
          <w:color w:val="1A1A2E"/>
          <w:sz w:val="22"/>
          <w:szCs w:val="22"/>
        </w:rPr>
        <w:t xml:space="preserve">(b) Taking of hostages;</w:t>
      </w:r>
    </w:p>
    <w:p>
      <w:pPr>
        <w:spacing w:after="120"/>
      </w:pPr>
      <w:r>
        <w:rPr>
          <w:rFonts w:ascii="Palatino Linotype" w:cs="Palatino Linotype" w:eastAsia="Palatino Linotype" w:hAnsi="Palatino Linotype"/>
          <w:color w:val="2563EB"/>
          <w:sz w:val="21"/>
          <w:szCs w:val="21"/>
        </w:rPr>
        <w:t xml:space="preserve">Seizure or detention coupled with a threat to kill, injure, or continue detention to compel a third party. The prohibition is absolute and constitutes customary law in NIAC.</w:t>
      </w:r>
      <w:r>
        <w:rPr>
          <w:rStyle w:val="FootnoteReference"/>
        </w:rPr>
        <w:footnoteReference w:id="20"/>
      </w:r>
    </w:p>
    <w:p>
      <w:pPr>
        <w:spacing w:after="80" w:before="200"/>
      </w:pPr>
      <w:r>
        <w:rPr>
          <w:rFonts w:ascii="Palatino Linotype" w:cs="Palatino Linotype" w:eastAsia="Palatino Linotype" w:hAnsi="Palatino Linotype"/>
          <w:b/>
          <w:bCs/>
          <w:i/>
          <w:iCs/>
          <w:color w:val="555555"/>
          <w:sz w:val="21"/>
          <w:szCs w:val="21"/>
        </w:rPr>
        <w:t xml:space="preserve">Customary Extension</w:t>
      </w:r>
    </w:p>
    <w:p>
      <w:pPr>
        <w:spacing w:after="120"/>
      </w:pPr>
      <w:r>
        <w:rPr>
          <w:rFonts w:ascii="Palatino Linotype" w:cs="Palatino Linotype" w:eastAsia="Palatino Linotype" w:hAnsi="Palatino Linotype"/>
          <w:color w:val="D97706"/>
          <w:sz w:val="21"/>
          <w:szCs w:val="21"/>
        </w:rPr>
        <w:t xml:space="preserve">CIHL Rule 96: hostage-taking prohibited (IAC and NIAC).</w:t>
      </w:r>
      <w:r>
        <w:rPr>
          <w:rStyle w:val="FootnoteReference"/>
        </w:rPr>
        <w:footnoteReference w:id="21"/>
      </w:r>
    </w:p>
    <w:p>
      <w:pPr>
        <w:pStyle w:val="Heading2"/>
        <w:pBdr>
          <w:bottom w:val="single" w:color="CCCCCC" w:sz="1" w:space="4"/>
        </w:pBdr>
        <w:spacing w:after="120" w:before="320"/>
      </w:pPr>
      <w:r>
        <w:rPr>
          <w:rFonts w:ascii="Palatino Linotype" w:cs="Palatino Linotype" w:eastAsia="Palatino Linotype" w:hAnsi="Palatino Linotype"/>
          <w:b/>
          <w:bCs/>
          <w:color w:val="1A1A2E"/>
          <w:sz w:val="24"/>
          <w:szCs w:val="24"/>
        </w:rPr>
        <w:t xml:space="preserve">Article 3(1)(c) — Outrages upon Personal Dignity</w:t>
      </w:r>
    </w:p>
    <w:p>
      <w:pPr>
        <w:pBdr>
          <w:left w:val="single" w:color="C41E3A" w:sz="6" w:space="8"/>
        </w:pBdr>
        <w:spacing w:after="140"/>
      </w:pPr>
      <w:r>
        <w:rPr>
          <w:rFonts w:ascii="Palatino Linotype" w:cs="Palatino Linotype" w:eastAsia="Palatino Linotype" w:hAnsi="Palatino Linotype"/>
          <w:b/>
          <w:bCs/>
          <w:color w:val="1A1A2E"/>
          <w:sz w:val="22"/>
          <w:szCs w:val="22"/>
        </w:rPr>
        <w:t xml:space="preserve">(c) Outrages upon personal dignity, in particular humiliating and degrading treatment;</w:t>
      </w:r>
    </w:p>
    <w:p>
      <w:pPr>
        <w:spacing w:after="120"/>
      </w:pPr>
      <w:r>
        <w:rPr>
          <w:rFonts w:ascii="Palatino Linotype" w:cs="Palatino Linotype" w:eastAsia="Palatino Linotype" w:hAnsi="Palatino Linotype"/>
          <w:color w:val="0891B2"/>
          <w:sz w:val="21"/>
          <w:szCs w:val="21"/>
        </w:rPr>
        <w:t xml:space="preserve">Broadly interpreted: any sufficiently serious, intentional act targeting a victim’s dignity.</w:t>
      </w:r>
      <w:r>
        <w:rPr>
          <w:rStyle w:val="FootnoteReference"/>
        </w:rPr>
        <w:footnoteReference w:id="22"/>
      </w:r>
      <w:r>
        <w:rPr>
          <w:rFonts w:ascii="Palatino Linotype" w:cs="Palatino Linotype" w:eastAsia="Palatino Linotype" w:hAnsi="Palatino Linotype"/>
          <w:color w:val="333333"/>
          <w:sz w:val="21"/>
          <w:szCs w:val="21"/>
        </w:rPr>
        <w:t xml:space="preserve"> </w:t>
      </w:r>
      <w:r>
        <w:rPr>
          <w:rFonts w:ascii="Palatino Linotype" w:cs="Palatino Linotype" w:eastAsia="Palatino Linotype" w:hAnsi="Palatino Linotype"/>
          <w:color w:val="059669"/>
          <w:sz w:val="21"/>
          <w:szCs w:val="21"/>
        </w:rPr>
        <w:t xml:space="preserve">Includes sexual violence, mutilation of corpses, human shields, and forced degrading acts. Mutilation of corpses confirmed as an outrage in Katanga.</w:t>
      </w:r>
      <w:r>
        <w:rPr>
          <w:rStyle w:val="FootnoteReference"/>
        </w:rPr>
        <w:footnoteReference w:id="23"/>
      </w:r>
    </w:p>
    <w:p>
      <w:pPr>
        <w:spacing w:after="80" w:before="200"/>
      </w:pPr>
      <w:r>
        <w:rPr>
          <w:rFonts w:ascii="Palatino Linotype" w:cs="Palatino Linotype" w:eastAsia="Palatino Linotype" w:hAnsi="Palatino Linotype"/>
          <w:b/>
          <w:bCs/>
          <w:i/>
          <w:iCs/>
          <w:color w:val="555555"/>
          <w:sz w:val="21"/>
          <w:szCs w:val="21"/>
        </w:rPr>
        <w:t xml:space="preserve">Customary Extension</w:t>
      </w:r>
    </w:p>
    <w:p>
      <w:pPr>
        <w:spacing w:after="120"/>
      </w:pPr>
      <w:r>
        <w:rPr>
          <w:rFonts w:ascii="Palatino Linotype" w:cs="Palatino Linotype" w:eastAsia="Palatino Linotype" w:hAnsi="Palatino Linotype"/>
          <w:color w:val="D97706"/>
          <w:sz w:val="21"/>
          <w:szCs w:val="21"/>
        </w:rPr>
        <w:t xml:space="preserve">CIHL Rule 90: torture, cruel/inhuman treatment, and outrages upon personal dignity prohibited (IAC and NIAC).</w:t>
      </w:r>
      <w:r>
        <w:rPr>
          <w:rStyle w:val="FootnoteReference"/>
        </w:rPr>
        <w:footnoteReference w:id="24"/>
      </w:r>
    </w:p>
    <w:p>
      <w:pPr>
        <w:pStyle w:val="Heading2"/>
        <w:pBdr>
          <w:bottom w:val="single" w:color="CCCCCC" w:sz="1" w:space="4"/>
        </w:pBdr>
        <w:spacing w:after="120" w:before="320"/>
      </w:pPr>
      <w:r>
        <w:rPr>
          <w:rFonts w:ascii="Palatino Linotype" w:cs="Palatino Linotype" w:eastAsia="Palatino Linotype" w:hAnsi="Palatino Linotype"/>
          <w:b/>
          <w:bCs/>
          <w:color w:val="1A1A2E"/>
          <w:sz w:val="24"/>
          <w:szCs w:val="24"/>
        </w:rPr>
        <w:t xml:space="preserve">Article 3(1)(d) — Judicial Guarantees</w:t>
      </w:r>
    </w:p>
    <w:p>
      <w:pPr>
        <w:pBdr>
          <w:left w:val="single" w:color="C41E3A" w:sz="6" w:space="8"/>
        </w:pBdr>
        <w:spacing w:after="140"/>
      </w:pPr>
      <w:r>
        <w:rPr>
          <w:rFonts w:ascii="Palatino Linotype" w:cs="Palatino Linotype" w:eastAsia="Palatino Linotype" w:hAnsi="Palatino Linotype"/>
          <w:b/>
          <w:bCs/>
          <w:color w:val="1A1A2E"/>
          <w:sz w:val="22"/>
          <w:szCs w:val="22"/>
        </w:rPr>
        <w:t xml:space="preserve">(d) The passing of sentences and the carrying out of executions without previous judgment pronounced by a regularly constituted court, affording all the judicial guarantees which are recognised as indispensable by civilised peoples.</w:t>
      </w:r>
    </w:p>
    <w:p>
      <w:pPr>
        <w:spacing w:after="120"/>
      </w:pPr>
      <w:r>
        <w:rPr>
          <w:rFonts w:ascii="Palatino Linotype" w:cs="Palatino Linotype" w:eastAsia="Palatino Linotype" w:hAnsi="Palatino Linotype"/>
          <w:color w:val="0891B2"/>
          <w:sz w:val="21"/>
          <w:szCs w:val="21"/>
        </w:rPr>
        <w:t xml:space="preserve">‘Regularly constituted court’: established under pre-existing law; ad hoc or summary tribunals do not qualify.</w:t>
      </w:r>
      <w:r>
        <w:rPr>
          <w:rStyle w:val="FootnoteReference"/>
        </w:rPr>
        <w:footnoteReference w:id="25"/>
      </w:r>
      <w:r>
        <w:rPr>
          <w:rFonts w:ascii="Palatino Linotype" w:cs="Palatino Linotype" w:eastAsia="Palatino Linotype" w:hAnsi="Palatino Linotype"/>
          <w:color w:val="333333"/>
          <w:sz w:val="21"/>
          <w:szCs w:val="21"/>
        </w:rPr>
        <w:t xml:space="preserve"> </w:t>
      </w:r>
      <w:r>
        <w:rPr>
          <w:rFonts w:ascii="Palatino Linotype" w:cs="Palatino Linotype" w:eastAsia="Palatino Linotype" w:hAnsi="Palatino Linotype"/>
          <w:color w:val="0891B2"/>
          <w:sz w:val="21"/>
          <w:szCs w:val="21"/>
        </w:rPr>
        <w:t xml:space="preserve">Minimum guarantees (non-exhaustive): presumption of innocence, notice of charges, adequate defence preparation, trial in presence, legal representation, privilege against self-incrimination, right of appeal.</w:t>
      </w:r>
      <w:r>
        <w:rPr>
          <w:rStyle w:val="FootnoteReference"/>
        </w:rPr>
        <w:footnoteReference w:id="26"/>
      </w:r>
      <w:r>
        <w:rPr>
          <w:rFonts w:ascii="Palatino Linotype" w:cs="Palatino Linotype" w:eastAsia="Palatino Linotype" w:hAnsi="Palatino Linotype"/>
          <w:color w:val="333333"/>
          <w:sz w:val="21"/>
          <w:szCs w:val="21"/>
        </w:rPr>
        <w:t xml:space="preserve"> </w:t>
      </w:r>
      <w:r>
        <w:rPr>
          <w:rFonts w:ascii="Palatino Linotype" w:cs="Palatino Linotype" w:eastAsia="Palatino Linotype" w:hAnsi="Palatino Linotype"/>
          <w:color w:val="D97706"/>
          <w:sz w:val="21"/>
          <w:szCs w:val="21"/>
        </w:rPr>
        <w:t xml:space="preserve">No ex post facto criminalisation.</w:t>
      </w:r>
      <w:r>
        <w:rPr>
          <w:rStyle w:val="FootnoteReference"/>
        </w:rPr>
        <w:footnoteReference w:id="27"/>
      </w:r>
    </w:p>
    <w:p>
      <w:pPr>
        <w:spacing w:after="80" w:before="200"/>
      </w:pPr>
      <w:r>
        <w:rPr>
          <w:rFonts w:ascii="Palatino Linotype" w:cs="Palatino Linotype" w:eastAsia="Palatino Linotype" w:hAnsi="Palatino Linotype"/>
          <w:b/>
          <w:bCs/>
          <w:i/>
          <w:iCs/>
          <w:color w:val="555555"/>
          <w:sz w:val="21"/>
          <w:szCs w:val="21"/>
        </w:rPr>
        <w:t xml:space="preserve">Customary Extension</w:t>
      </w:r>
    </w:p>
    <w:p>
      <w:pPr>
        <w:spacing w:after="120"/>
      </w:pPr>
      <w:r>
        <w:rPr>
          <w:rFonts w:ascii="Palatino Linotype" w:cs="Palatino Linotype" w:eastAsia="Palatino Linotype" w:hAnsi="Palatino Linotype"/>
          <w:color w:val="D97706"/>
          <w:sz w:val="21"/>
          <w:szCs w:val="21"/>
        </w:rPr>
        <w:t xml:space="preserve">CIHL Rules 100 (fair trial), 101 (no retroactive law), 103 (collective punishments prohibited). All IAC and NIAC.</w:t>
      </w:r>
      <w:r>
        <w:rPr>
          <w:rStyle w:val="FootnoteReference"/>
        </w:rPr>
        <w:footnoteReference w:id="28"/>
      </w:r>
    </w:p>
    <w:p>
      <w:pPr>
        <w:pStyle w:val="Heading2"/>
        <w:pBdr>
          <w:bottom w:val="single" w:color="CCCCCC" w:sz="1" w:space="4"/>
        </w:pBdr>
        <w:spacing w:after="120" w:before="320"/>
      </w:pPr>
      <w:r>
        <w:rPr>
          <w:rFonts w:ascii="Palatino Linotype" w:cs="Palatino Linotype" w:eastAsia="Palatino Linotype" w:hAnsi="Palatino Linotype"/>
          <w:b/>
          <w:bCs/>
          <w:color w:val="1A1A2E"/>
          <w:sz w:val="24"/>
          <w:szCs w:val="24"/>
        </w:rPr>
        <w:t xml:space="preserve">Article 3(2) — Wounded and Sick; ICRC Right of Initiative</w:t>
      </w:r>
    </w:p>
    <w:p>
      <w:pPr>
        <w:pBdr>
          <w:left w:val="single" w:color="C41E3A" w:sz="6" w:space="8"/>
        </w:pBdr>
        <w:spacing w:after="140"/>
      </w:pPr>
      <w:r>
        <w:rPr>
          <w:rFonts w:ascii="Palatino Linotype" w:cs="Palatino Linotype" w:eastAsia="Palatino Linotype" w:hAnsi="Palatino Linotype"/>
          <w:b/>
          <w:bCs/>
          <w:color w:val="1A1A2E"/>
          <w:sz w:val="22"/>
          <w:szCs w:val="22"/>
        </w:rPr>
        <w:t xml:space="preserve">(2) The wounded and sick shall be collected and cared for.</w:t>
      </w:r>
    </w:p>
    <w:p>
      <w:pPr>
        <w:spacing w:after="120"/>
      </w:pPr>
      <w:r>
        <w:rPr>
          <w:rFonts w:ascii="Palatino Linotype" w:cs="Palatino Linotype" w:eastAsia="Palatino Linotype" w:hAnsi="Palatino Linotype"/>
          <w:color w:val="0891B2"/>
          <w:sz w:val="21"/>
          <w:szCs w:val="21"/>
        </w:rPr>
        <w:t xml:space="preserve">Applies to all wounded/sick of any party. The obligation to collect is active: search after each engagement and protect against pillage.</w:t>
      </w:r>
      <w:r>
        <w:rPr>
          <w:rStyle w:val="FootnoteReference"/>
        </w:rPr>
        <w:footnoteReference w:id="29"/>
      </w:r>
      <w:r>
        <w:rPr>
          <w:rFonts w:ascii="Palatino Linotype" w:cs="Palatino Linotype" w:eastAsia="Palatino Linotype" w:hAnsi="Palatino Linotype"/>
          <w:color w:val="333333"/>
          <w:sz w:val="21"/>
          <w:szCs w:val="21"/>
        </w:rPr>
        <w:t xml:space="preserve"> </w:t>
      </w:r>
      <w:r>
        <w:rPr>
          <w:rFonts w:ascii="Palatino Linotype" w:cs="Palatino Linotype" w:eastAsia="Palatino Linotype" w:hAnsi="Palatino Linotype"/>
          <w:color w:val="D97706"/>
          <w:sz w:val="21"/>
          <w:szCs w:val="21"/>
        </w:rPr>
        <w:t xml:space="preserve">Medical personnel, units, and transports must be respected and protected.</w:t>
      </w:r>
      <w:r>
        <w:rPr>
          <w:rStyle w:val="FootnoteReference"/>
        </w:rPr>
        <w:footnoteReference w:id="30"/>
      </w:r>
    </w:p>
    <w:p>
      <w:pPr>
        <w:spacing w:after="80" w:before="200"/>
      </w:pPr>
      <w:r>
        <w:rPr>
          <w:rFonts w:ascii="Palatino Linotype" w:cs="Palatino Linotype" w:eastAsia="Palatino Linotype" w:hAnsi="Palatino Linotype"/>
          <w:b/>
          <w:bCs/>
          <w:i/>
          <w:iCs/>
          <w:color w:val="555555"/>
          <w:sz w:val="21"/>
          <w:szCs w:val="21"/>
        </w:rPr>
        <w:t xml:space="preserve">Customary Extension</w:t>
      </w:r>
    </w:p>
    <w:p>
      <w:pPr>
        <w:spacing w:after="120"/>
      </w:pPr>
      <w:r>
        <w:rPr>
          <w:rFonts w:ascii="Palatino Linotype" w:cs="Palatino Linotype" w:eastAsia="Palatino Linotype" w:hAnsi="Palatino Linotype"/>
          <w:color w:val="D97706"/>
          <w:sz w:val="21"/>
          <w:szCs w:val="21"/>
        </w:rPr>
        <w:t xml:space="preserve">CIHL Rules 109 (search, collect, evacuate without adverse distinction) and 110 (medical care to fullest extent practicable, medical grounds only). Both IAC and NIAC.</w:t>
      </w:r>
      <w:r>
        <w:rPr>
          <w:rStyle w:val="FootnoteReference"/>
        </w:rPr>
        <w:footnoteReference w:id="31"/>
      </w:r>
    </w:p>
    <w:p>
      <w:pPr>
        <w:pBdr>
          <w:left w:val="single" w:color="C41E3A" w:sz="6" w:space="8"/>
        </w:pBdr>
        <w:spacing w:after="140"/>
      </w:pPr>
      <w:r>
        <w:rPr>
          <w:rFonts w:ascii="Palatino Linotype" w:cs="Palatino Linotype" w:eastAsia="Palatino Linotype" w:hAnsi="Palatino Linotype"/>
          <w:b/>
          <w:bCs/>
          <w:color w:val="1A1A2E"/>
          <w:sz w:val="22"/>
          <w:szCs w:val="22"/>
        </w:rPr>
        <w:t xml:space="preserve">An impartial humanitarian body, such as the International Committee of the Red Cross, may offer its services to the Parties to the conflict.</w:t>
      </w:r>
    </w:p>
    <w:p>
      <w:pPr>
        <w:spacing w:after="120"/>
      </w:pPr>
      <w:r>
        <w:rPr>
          <w:rFonts w:ascii="Palatino Linotype" w:cs="Palatino Linotype" w:eastAsia="Palatino Linotype" w:hAnsi="Palatino Linotype"/>
          <w:color w:val="0891B2"/>
          <w:sz w:val="21"/>
          <w:szCs w:val="21"/>
        </w:rPr>
        <w:t xml:space="preserve">The ICRC’s right to offer services is treaty-based. Rejection does not per se violate CA3, but parties must give serious consideration to good-faith offers.</w:t>
      </w:r>
      <w:r>
        <w:rPr>
          <w:rStyle w:val="FootnoteReference"/>
        </w:rPr>
        <w:footnoteReference w:id="32"/>
      </w:r>
      <w:r>
        <w:rPr>
          <w:rFonts w:ascii="Palatino Linotype" w:cs="Palatino Linotype" w:eastAsia="Palatino Linotype" w:hAnsi="Palatino Linotype"/>
          <w:color w:val="333333"/>
          <w:sz w:val="21"/>
          <w:szCs w:val="21"/>
        </w:rPr>
        <w:t xml:space="preserve"> </w:t>
      </w:r>
      <w:r>
        <w:rPr>
          <w:rFonts w:ascii="Palatino Linotype" w:cs="Palatino Linotype" w:eastAsia="Palatino Linotype" w:hAnsi="Palatino Linotype"/>
          <w:color w:val="0891B2"/>
          <w:sz w:val="21"/>
          <w:szCs w:val="21"/>
        </w:rPr>
        <w:t xml:space="preserve">The ICRC also holds a broader right of humanitarian initiative under its Statutes below the NIAC threshold.</w:t>
      </w:r>
      <w:r>
        <w:rPr>
          <w:rStyle w:val="FootnoteReference"/>
        </w:rPr>
        <w:footnoteReference w:id="33"/>
      </w:r>
    </w:p>
    <w:p>
      <w:pPr>
        <w:pStyle w:val="Heading2"/>
        <w:pBdr>
          <w:bottom w:val="single" w:color="CCCCCC" w:sz="1" w:space="4"/>
        </w:pBdr>
        <w:spacing w:after="120" w:before="320"/>
      </w:pPr>
      <w:r>
        <w:rPr>
          <w:rFonts w:ascii="Palatino Linotype" w:cs="Palatino Linotype" w:eastAsia="Palatino Linotype" w:hAnsi="Palatino Linotype"/>
          <w:b/>
          <w:bCs/>
          <w:color w:val="1A1A2E"/>
          <w:sz w:val="24"/>
          <w:szCs w:val="24"/>
        </w:rPr>
        <w:t xml:space="preserve">Article 3(3) — Special Agreements</w:t>
      </w:r>
    </w:p>
    <w:p>
      <w:pPr>
        <w:pBdr>
          <w:left w:val="single" w:color="C41E3A" w:sz="6" w:space="8"/>
        </w:pBdr>
        <w:spacing w:after="140"/>
      </w:pPr>
      <w:r>
        <w:rPr>
          <w:rFonts w:ascii="Palatino Linotype" w:cs="Palatino Linotype" w:eastAsia="Palatino Linotype" w:hAnsi="Palatino Linotype"/>
          <w:b/>
          <w:bCs/>
          <w:color w:val="1A1A2E"/>
          <w:sz w:val="22"/>
          <w:szCs w:val="22"/>
        </w:rPr>
        <w:t xml:space="preserve">(3) The Parties to the conflict should further endeavour to bring into force, by means of special agreements, all or part of the other provisions of the present Convention.</w:t>
      </w:r>
    </w:p>
    <w:p>
      <w:pPr>
        <w:spacing w:after="120"/>
      </w:pPr>
      <w:r>
        <w:rPr>
          <w:rFonts w:ascii="Palatino Linotype" w:cs="Palatino Linotype" w:eastAsia="Palatino Linotype" w:hAnsi="Palatino Linotype"/>
          <w:color w:val="0891B2"/>
          <w:sz w:val="21"/>
          <w:szCs w:val="21"/>
        </w:rPr>
        <w:t xml:space="preserve">Encourages but does not require extending the full Convention by agreement. Such agreements (e.g., Bosnia 1992) do not confer belligerent recognition.</w:t>
      </w:r>
      <w:r>
        <w:rPr>
          <w:rStyle w:val="FootnoteReference"/>
        </w:rPr>
        <w:footnoteReference w:id="34"/>
      </w:r>
    </w:p>
    <w:p>
      <w:pPr>
        <w:pStyle w:val="Heading2"/>
        <w:pBdr>
          <w:bottom w:val="single" w:color="CCCCCC" w:sz="1" w:space="4"/>
        </w:pBdr>
        <w:spacing w:after="120" w:before="320"/>
      </w:pPr>
      <w:r>
        <w:rPr>
          <w:rFonts w:ascii="Palatino Linotype" w:cs="Palatino Linotype" w:eastAsia="Palatino Linotype" w:hAnsi="Palatino Linotype"/>
          <w:b/>
          <w:bCs/>
          <w:color w:val="1A1A2E"/>
          <w:sz w:val="24"/>
          <w:szCs w:val="24"/>
        </w:rPr>
        <w:t xml:space="preserve">Article 3(4) — Legal Status of the Parties</w:t>
      </w:r>
    </w:p>
    <w:p>
      <w:pPr>
        <w:pBdr>
          <w:left w:val="single" w:color="C41E3A" w:sz="6" w:space="8"/>
        </w:pBdr>
        <w:spacing w:after="140"/>
      </w:pPr>
      <w:r>
        <w:rPr>
          <w:rFonts w:ascii="Palatino Linotype" w:cs="Palatino Linotype" w:eastAsia="Palatino Linotype" w:hAnsi="Palatino Linotype"/>
          <w:b/>
          <w:bCs/>
          <w:color w:val="1A1A2E"/>
          <w:sz w:val="22"/>
          <w:szCs w:val="22"/>
        </w:rPr>
        <w:t xml:space="preserve">(4) The application of the preceding provisions shall not affect the legal status of the Parties to the conflict.</w:t>
      </w:r>
    </w:p>
    <w:p>
      <w:pPr>
        <w:spacing w:after="120"/>
      </w:pPr>
      <w:r>
        <w:rPr>
          <w:rFonts w:ascii="Palatino Linotype" w:cs="Palatino Linotype" w:eastAsia="Palatino Linotype" w:hAnsi="Palatino Linotype"/>
          <w:color w:val="0891B2"/>
          <w:sz w:val="21"/>
          <w:szCs w:val="21"/>
        </w:rPr>
        <w:t xml:space="preserve">Application of CA3 does not recognise the non-state party as a belligerent or prejudice the state’s right to prosecute under domestic law.</w:t>
      </w:r>
      <w:r>
        <w:rPr>
          <w:rStyle w:val="FootnoteReference"/>
        </w:rPr>
        <w:footnoteReference w:id="35"/>
      </w:r>
      <w:r>
        <w:rPr>
          <w:rFonts w:ascii="Palatino Linotype" w:cs="Palatino Linotype" w:eastAsia="Palatino Linotype" w:hAnsi="Palatino Linotype"/>
          <w:color w:val="333333"/>
          <w:sz w:val="21"/>
          <w:szCs w:val="21"/>
        </w:rPr>
        <w:t xml:space="preserve"> </w:t>
      </w:r>
      <w:r>
        <w:rPr>
          <w:rFonts w:ascii="Palatino Linotype" w:cs="Palatino Linotype" w:eastAsia="Palatino Linotype" w:hAnsi="Palatino Linotype"/>
          <w:color w:val="92400E"/>
          <w:sz w:val="21"/>
          <w:szCs w:val="21"/>
        </w:rPr>
        <w:t xml:space="preserve">No combatant immunity in NIAC: non-state fighters may be prosecuted even for acts lawful under IHL.</w:t>
      </w:r>
      <w:r>
        <w:rPr>
          <w:rStyle w:val="FootnoteReference"/>
        </w:rPr>
        <w:footnoteReference w:id="36"/>
      </w:r>
    </w:p>
    <w:p>
      <w:pPr>
        <w:pStyle w:val="Heading2"/>
        <w:pBdr>
          <w:bottom w:val="single" w:color="CCCCCC" w:sz="1" w:space="4"/>
        </w:pBdr>
        <w:spacing w:after="120" w:before="320"/>
      </w:pPr>
      <w:r>
        <w:rPr>
          <w:rFonts w:ascii="Palatino Linotype" w:cs="Palatino Linotype" w:eastAsia="Palatino Linotype" w:hAnsi="Palatino Linotype"/>
          <w:b/>
          <w:bCs/>
          <w:color w:val="1A1A2E"/>
          <w:sz w:val="24"/>
          <w:szCs w:val="24"/>
        </w:rPr>
        <w:t xml:space="preserve">General Customary Extension (ICRC CIHL Rules 87–105)</w:t>
      </w:r>
    </w:p>
    <w:p>
      <w:pPr>
        <w:spacing w:after="120"/>
      </w:pPr>
      <w:r>
        <w:rPr>
          <w:rFonts w:ascii="Palatino Linotype" w:cs="Palatino Linotype" w:eastAsia="Palatino Linotype" w:hAnsi="Palatino Linotype"/>
          <w:i/>
          <w:iCs/>
          <w:color w:val="444444"/>
          <w:sz w:val="21"/>
          <w:szCs w:val="21"/>
        </w:rPr>
        <w:t xml:space="preserve">The ICRC Customary IHL Study identifies these rules as applicable in NIACs, extending CA3 even absent treaty obligation:</w:t>
      </w:r>
    </w:p>
    <w:p>
      <w:pPr>
        <w:spacing w:after="120"/>
      </w:pPr>
      <w:r>
        <w:rPr>
          <w:rFonts w:ascii="Palatino Linotype" w:cs="Palatino Linotype" w:eastAsia="Palatino Linotype" w:hAnsi="Palatino Linotype"/>
          <w:color w:val="D97706"/>
          <w:sz w:val="21"/>
          <w:szCs w:val="21"/>
        </w:rPr>
        <w:t xml:space="preserve">Rules 87–88 (humane treatment, non-distinction), 89 (violence to life), 90 (torture/cruel treatment), 93 (rape/sexual violence), 95 (forced labour), 96 (hostages), 97 (human shields), 98 (enforced disappearances), 99 (arbitrary detention), 100–103 (fair trial), 109–110 (wounded/sick). All IAC and NIAC.</w:t>
      </w:r>
      <w:r>
        <w:rPr>
          <w:rStyle w:val="FootnoteReference"/>
        </w:rPr>
        <w:footnoteReference w:id="37"/>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AAAAAA"/>
        <w:sz w:val="16"/>
        <w:szCs w:val="16"/>
      </w:rPr>
      <w:t xml:space="preserve">Common Article 3 — Annotated  |  </w:t>
    </w:r>
    <w:r>
      <w:rPr>
        <w:rFonts w:ascii="Palatino Linotype" w:cs="Palatino Linotype" w:eastAsia="Palatino Linotype" w:hAnsi="Palatino Linotype"/>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pPr>
      <w:r>
        <w:rPr>
          <w:rStyle w:val="FootnoteReference"/>
        </w:rPr>
        <w:footnoteRef/>
      </w:r>
      <w:r>
        <w:rPr>
          <w:rFonts w:ascii="Palatino Linotype" w:cs="Palatino Linotype" w:eastAsia="Palatino Linotype" w:hAnsi="Palatino Linotype"/>
          <w:color w:val="666666"/>
          <w:sz w:val="18"/>
          <w:szCs w:val="18"/>
        </w:rPr>
        <w:t xml:space="preserve">ICTY, Tadić, AC, IT-94-1-AR72, 2 Oct. 1995, ¶ 70</w:t>
      </w:r>
    </w:p>
  </w:footnote>
  <w:footnote w:id="2">
    <w:p>
      <w:pPr>
        <w:spacing w:after="40"/>
      </w:pPr>
      <w:r>
        <w:rPr>
          <w:rStyle w:val="FootnoteReference"/>
        </w:rPr>
        <w:footnoteRef/>
      </w:r>
      <w:r>
        <w:rPr>
          <w:rFonts w:ascii="Palatino Linotype" w:cs="Palatino Linotype" w:eastAsia="Palatino Linotype" w:hAnsi="Palatino Linotype"/>
          <w:color w:val="666666"/>
          <w:sz w:val="18"/>
          <w:szCs w:val="18"/>
        </w:rPr>
        <w:t xml:space="preserve">ICTY, Tadić, ¶ 70; ICRC Commentary GC I (2016), ¶ 431</w:t>
      </w:r>
    </w:p>
  </w:footnote>
  <w:footnote w:id="3">
    <w:p>
      <w:pPr>
        <w:spacing w:after="40"/>
      </w:pPr>
      <w:r>
        <w:rPr>
          <w:rStyle w:val="FootnoteReference"/>
        </w:rPr>
        <w:footnoteRef/>
      </w:r>
      <w:r>
        <w:rPr>
          <w:rFonts w:ascii="Palatino Linotype" w:cs="Palatino Linotype" w:eastAsia="Palatino Linotype" w:hAnsi="Palatino Linotype"/>
          <w:color w:val="666666"/>
          <w:sz w:val="18"/>
          <w:szCs w:val="18"/>
        </w:rPr>
        <w:t xml:space="preserve">ICRC Commentary GC I (2016), ¶¶ 423–432; GC III (2020), ¶¶ 310–311</w:t>
      </w:r>
    </w:p>
  </w:footnote>
  <w:footnote w:id="4">
    <w:p>
      <w:pPr>
        <w:spacing w:after="40"/>
      </w:pPr>
      <w:r>
        <w:rPr>
          <w:rStyle w:val="FootnoteReference"/>
        </w:rPr>
        <w:footnoteRef/>
      </w:r>
      <w:r>
        <w:rPr>
          <w:rFonts w:ascii="Palatino Linotype" w:cs="Palatino Linotype" w:eastAsia="Palatino Linotype" w:hAnsi="Palatino Linotype"/>
          <w:color w:val="666666"/>
          <w:sz w:val="18"/>
          <w:szCs w:val="18"/>
        </w:rPr>
        <w:t xml:space="preserve">ICTY, Tadić, ¶ 70; Boškoski, TC II, ¶ 175; Haradinaj et al., TC I, ¶ 60</w:t>
      </w:r>
    </w:p>
  </w:footnote>
  <w:footnote w:id="5">
    <w:p>
      <w:pPr>
        <w:spacing w:after="40"/>
      </w:pPr>
      <w:r>
        <w:rPr>
          <w:rStyle w:val="FootnoteReference"/>
        </w:rPr>
        <w:footnoteRef/>
      </w:r>
      <w:r>
        <w:rPr>
          <w:rFonts w:ascii="Palatino Linotype" w:cs="Palatino Linotype" w:eastAsia="Palatino Linotype" w:hAnsi="Palatino Linotype"/>
          <w:color w:val="666666"/>
          <w:sz w:val="18"/>
          <w:szCs w:val="18"/>
        </w:rPr>
        <w:t xml:space="preserve">ICC, Bemba, TC III, ICC-01/05-01/08-3343, 21 Mar. 2016, ¶¶ 131–137</w:t>
      </w:r>
    </w:p>
  </w:footnote>
  <w:footnote w:id="6">
    <w:p>
      <w:pPr>
        <w:spacing w:after="40"/>
      </w:pPr>
      <w:r>
        <w:rPr>
          <w:rStyle w:val="FootnoteReference"/>
        </w:rPr>
        <w:footnoteRef/>
      </w:r>
      <w:r>
        <w:rPr>
          <w:rFonts w:ascii="Palatino Linotype" w:cs="Palatino Linotype" w:eastAsia="Palatino Linotype" w:hAnsi="Palatino Linotype"/>
          <w:color w:val="666666"/>
          <w:sz w:val="18"/>
          <w:szCs w:val="18"/>
        </w:rPr>
        <w:t xml:space="preserve">ICRC Commentary GC I (2016), ¶ 395</w:t>
      </w:r>
    </w:p>
  </w:footnote>
  <w:footnote w:id="7">
    <w:p>
      <w:pPr>
        <w:spacing w:after="40"/>
      </w:pPr>
      <w:r>
        <w:rPr>
          <w:rStyle w:val="FootnoteReference"/>
        </w:rPr>
        <w:footnoteRef/>
      </w:r>
      <w:r>
        <w:rPr>
          <w:rFonts w:ascii="Palatino Linotype" w:cs="Palatino Linotype" w:eastAsia="Palatino Linotype" w:hAnsi="Palatino Linotype"/>
          <w:color w:val="666666"/>
          <w:sz w:val="18"/>
          <w:szCs w:val="18"/>
        </w:rPr>
        <w:t xml:space="preserve">ICTY, Tadić, TC I, IT-94-1-T, 7 May 1997, ¶ 565</w:t>
      </w:r>
    </w:p>
  </w:footnote>
  <w:footnote w:id="8">
    <w:p>
      <w:pPr>
        <w:spacing w:after="40"/>
      </w:pPr>
      <w:r>
        <w:rPr>
          <w:rStyle w:val="FootnoteReference"/>
        </w:rPr>
        <w:footnoteRef/>
      </w:r>
      <w:r>
        <w:rPr>
          <w:rFonts w:ascii="Palatino Linotype" w:cs="Palatino Linotype" w:eastAsia="Palatino Linotype" w:hAnsi="Palatino Linotype"/>
          <w:color w:val="666666"/>
          <w:sz w:val="18"/>
          <w:szCs w:val="18"/>
        </w:rPr>
        <w:t xml:space="preserve">ICRC Commentary GC IV (2025), ¶ 505</w:t>
      </w:r>
    </w:p>
  </w:footnote>
  <w:footnote w:id="9">
    <w:p>
      <w:pPr>
        <w:spacing w:after="40"/>
      </w:pPr>
      <w:r>
        <w:rPr>
          <w:rStyle w:val="FootnoteReference"/>
        </w:rPr>
        <w:footnoteRef/>
      </w:r>
      <w:r>
        <w:rPr>
          <w:rFonts w:ascii="Palatino Linotype" w:cs="Palatino Linotype" w:eastAsia="Palatino Linotype" w:hAnsi="Palatino Linotype"/>
          <w:color w:val="666666"/>
          <w:sz w:val="18"/>
          <w:szCs w:val="18"/>
        </w:rPr>
        <w:t xml:space="preserve">ICRC Commentary GC IV (2025), ¶ 519; ICRC Opinion Paper (2024), p. 16</w:t>
      </w:r>
    </w:p>
  </w:footnote>
  <w:footnote w:id="10">
    <w:p>
      <w:pPr>
        <w:spacing w:after="40"/>
      </w:pPr>
      <w:r>
        <w:rPr>
          <w:rStyle w:val="FootnoteReference"/>
        </w:rPr>
        <w:footnoteRef/>
      </w:r>
      <w:r>
        <w:rPr>
          <w:rFonts w:ascii="Palatino Linotype" w:cs="Palatino Linotype" w:eastAsia="Palatino Linotype" w:hAnsi="Palatino Linotype"/>
          <w:color w:val="666666"/>
          <w:sz w:val="18"/>
          <w:szCs w:val="18"/>
        </w:rPr>
        <w:t xml:space="preserve">ICRC Commentary GC IV (2025), ¶ 525</w:t>
      </w:r>
    </w:p>
  </w:footnote>
  <w:footnote w:id="11">
    <w:p>
      <w:pPr>
        <w:spacing w:after="40"/>
      </w:pPr>
      <w:r>
        <w:rPr>
          <w:rStyle w:val="FootnoteReference"/>
        </w:rPr>
        <w:footnoteRef/>
      </w:r>
      <w:r>
        <w:rPr>
          <w:rFonts w:ascii="Palatino Linotype" w:cs="Palatino Linotype" w:eastAsia="Palatino Linotype" w:hAnsi="Palatino Linotype"/>
          <w:color w:val="666666"/>
          <w:sz w:val="18"/>
          <w:szCs w:val="18"/>
        </w:rPr>
        <w:t xml:space="preserve">ICRC Commentary GC I (2016), ¶¶ 537–541</w:t>
      </w:r>
    </w:p>
  </w:footnote>
  <w:footnote w:id="12">
    <w:p>
      <w:pPr>
        <w:spacing w:after="40"/>
      </w:pPr>
      <w:r>
        <w:rPr>
          <w:rStyle w:val="FootnoteReference"/>
        </w:rPr>
        <w:footnoteRef/>
      </w:r>
      <w:r>
        <w:rPr>
          <w:rFonts w:ascii="Palatino Linotype" w:cs="Palatino Linotype" w:eastAsia="Palatino Linotype" w:hAnsi="Palatino Linotype"/>
          <w:color w:val="666666"/>
          <w:sz w:val="18"/>
          <w:szCs w:val="18"/>
        </w:rPr>
        <w:t xml:space="preserve">ICC, Ntaganda, AC, ICC-01/04-02/06, 30 Mar. 2021, ¶¶ 46–52</w:t>
      </w:r>
    </w:p>
  </w:footnote>
  <w:footnote w:id="13">
    <w:p>
      <w:pPr>
        <w:spacing w:after="40"/>
      </w:pPr>
      <w:r>
        <w:rPr>
          <w:rStyle w:val="FootnoteReference"/>
        </w:rPr>
        <w:footnoteRef/>
      </w:r>
      <w:r>
        <w:rPr>
          <w:rFonts w:ascii="Palatino Linotype" w:cs="Palatino Linotype" w:eastAsia="Palatino Linotype" w:hAnsi="Palatino Linotype"/>
          <w:color w:val="666666"/>
          <w:sz w:val="18"/>
          <w:szCs w:val="18"/>
        </w:rPr>
        <w:t xml:space="preserve">ICRC Commentary GC I (2016), ¶ 547</w:t>
      </w:r>
    </w:p>
  </w:footnote>
  <w:footnote w:id="14">
    <w:p>
      <w:pPr>
        <w:spacing w:after="40"/>
      </w:pPr>
      <w:r>
        <w:rPr>
          <w:rStyle w:val="FootnoteReference"/>
        </w:rPr>
        <w:footnoteRef/>
      </w:r>
      <w:r>
        <w:rPr>
          <w:rFonts w:ascii="Palatino Linotype" w:cs="Palatino Linotype" w:eastAsia="Palatino Linotype" w:hAnsi="Palatino Linotype"/>
          <w:color w:val="666666"/>
          <w:sz w:val="18"/>
          <w:szCs w:val="18"/>
        </w:rPr>
        <w:t xml:space="preserve">ICTY, Tadić, AC, ¶ 70</w:t>
      </w:r>
    </w:p>
  </w:footnote>
  <w:footnote w:id="15">
    <w:p>
      <w:pPr>
        <w:spacing w:after="40"/>
      </w:pPr>
      <w:r>
        <w:rPr>
          <w:rStyle w:val="FootnoteReference"/>
        </w:rPr>
        <w:footnoteRef/>
      </w:r>
      <w:r>
        <w:rPr>
          <w:rFonts w:ascii="Palatino Linotype" w:cs="Palatino Linotype" w:eastAsia="Palatino Linotype" w:hAnsi="Palatino Linotype"/>
          <w:color w:val="666666"/>
          <w:sz w:val="18"/>
          <w:szCs w:val="18"/>
        </w:rPr>
        <w:t xml:space="preserve">ICRC Commentary GC IV (2025), CA3 section</w:t>
      </w:r>
    </w:p>
  </w:footnote>
  <w:footnote w:id="16">
    <w:p>
      <w:pPr>
        <w:spacing w:after="40"/>
      </w:pPr>
      <w:r>
        <w:rPr>
          <w:rStyle w:val="FootnoteReference"/>
        </w:rPr>
        <w:footnoteRef/>
      </w:r>
      <w:r>
        <w:rPr>
          <w:rFonts w:ascii="Palatino Linotype" w:cs="Palatino Linotype" w:eastAsia="Palatino Linotype" w:hAnsi="Palatino Linotype"/>
          <w:color w:val="666666"/>
          <w:sz w:val="18"/>
          <w:szCs w:val="18"/>
        </w:rPr>
        <w:t xml:space="preserve">ICTR, Akayesu, TC I, ICTR-96-4-T, 2 Sep. 1998, ¶ 629; ICTY, Čelebići, TC, ¶ 543</w:t>
      </w:r>
    </w:p>
  </w:footnote>
  <w:footnote w:id="17">
    <w:p>
      <w:pPr>
        <w:spacing w:after="40"/>
      </w:pPr>
      <w:r>
        <w:rPr>
          <w:rStyle w:val="FootnoteReference"/>
        </w:rPr>
        <w:footnoteRef/>
      </w:r>
      <w:r>
        <w:rPr>
          <w:rFonts w:ascii="Palatino Linotype" w:cs="Palatino Linotype" w:eastAsia="Palatino Linotype" w:hAnsi="Palatino Linotype"/>
          <w:color w:val="666666"/>
          <w:sz w:val="18"/>
          <w:szCs w:val="18"/>
        </w:rPr>
        <w:t xml:space="preserve">ICTY, Čelebići, ¶ 442; Kunarac et al., AC, ¶¶ 142–148</w:t>
      </w:r>
    </w:p>
  </w:footnote>
  <w:footnote w:id="18">
    <w:p>
      <w:pPr>
        <w:spacing w:after="40"/>
      </w:pPr>
      <w:r>
        <w:rPr>
          <w:rStyle w:val="FootnoteReference"/>
        </w:rPr>
        <w:footnoteRef/>
      </w:r>
      <w:r>
        <w:rPr>
          <w:rFonts w:ascii="Palatino Linotype" w:cs="Palatino Linotype" w:eastAsia="Palatino Linotype" w:hAnsi="Palatino Linotype"/>
          <w:color w:val="666666"/>
          <w:sz w:val="18"/>
          <w:szCs w:val="18"/>
        </w:rPr>
        <w:t xml:space="preserve">ICRC Commentary GC I (2016), ¶ 637; ICTR, Akayesu, ¶¶ 688–697</w:t>
      </w:r>
    </w:p>
  </w:footnote>
  <w:footnote w:id="19">
    <w:p>
      <w:pPr>
        <w:spacing w:after="40"/>
      </w:pPr>
      <w:r>
        <w:rPr>
          <w:rStyle w:val="FootnoteReference"/>
        </w:rPr>
        <w:footnoteRef/>
      </w:r>
      <w:r>
        <w:rPr>
          <w:rFonts w:ascii="Palatino Linotype" w:cs="Palatino Linotype" w:eastAsia="Palatino Linotype" w:hAnsi="Palatino Linotype"/>
          <w:color w:val="666666"/>
          <w:sz w:val="18"/>
          <w:szCs w:val="18"/>
        </w:rPr>
        <w:t xml:space="preserve">ICRC CIHL, Rules 87, 90, 91, 92</w:t>
      </w:r>
    </w:p>
  </w:footnote>
  <w:footnote w:id="20">
    <w:p>
      <w:pPr>
        <w:spacing w:after="40"/>
      </w:pPr>
      <w:r>
        <w:rPr>
          <w:rStyle w:val="FootnoteReference"/>
        </w:rPr>
        <w:footnoteRef/>
      </w:r>
      <w:r>
        <w:rPr>
          <w:rFonts w:ascii="Palatino Linotype" w:cs="Palatino Linotype" w:eastAsia="Palatino Linotype" w:hAnsi="Palatino Linotype"/>
          <w:color w:val="666666"/>
          <w:sz w:val="18"/>
          <w:szCs w:val="18"/>
        </w:rPr>
        <w:t xml:space="preserve">ICTY, Blaškić, TC, IT-95-14-T, 3 Mar. 2000, ¶ 158; Tadić, TC, ¶ 616</w:t>
      </w:r>
    </w:p>
  </w:footnote>
  <w:footnote w:id="21">
    <w:p>
      <w:pPr>
        <w:spacing w:after="40"/>
      </w:pPr>
      <w:r>
        <w:rPr>
          <w:rStyle w:val="FootnoteReference"/>
        </w:rPr>
        <w:footnoteRef/>
      </w:r>
      <w:r>
        <w:rPr>
          <w:rFonts w:ascii="Palatino Linotype" w:cs="Palatino Linotype" w:eastAsia="Palatino Linotype" w:hAnsi="Palatino Linotype"/>
          <w:color w:val="666666"/>
          <w:sz w:val="18"/>
          <w:szCs w:val="18"/>
        </w:rPr>
        <w:t xml:space="preserve">ICRC CIHL, Rule 96</w:t>
      </w:r>
    </w:p>
  </w:footnote>
  <w:footnote w:id="22">
    <w:p>
      <w:pPr>
        <w:spacing w:after="40"/>
      </w:pPr>
      <w:r>
        <w:rPr>
          <w:rStyle w:val="FootnoteReference"/>
        </w:rPr>
        <w:footnoteRef/>
      </w:r>
      <w:r>
        <w:rPr>
          <w:rFonts w:ascii="Palatino Linotype" w:cs="Palatino Linotype" w:eastAsia="Palatino Linotype" w:hAnsi="Palatino Linotype"/>
          <w:color w:val="666666"/>
          <w:sz w:val="18"/>
          <w:szCs w:val="18"/>
        </w:rPr>
        <w:t xml:space="preserve">ICRC Commentary GC I (2016), ¶¶ 657–667</w:t>
      </w:r>
    </w:p>
  </w:footnote>
  <w:footnote w:id="23">
    <w:p>
      <w:pPr>
        <w:spacing w:after="40"/>
      </w:pPr>
      <w:r>
        <w:rPr>
          <w:rStyle w:val="FootnoteReference"/>
        </w:rPr>
        <w:footnoteRef/>
      </w:r>
      <w:r>
        <w:rPr>
          <w:rFonts w:ascii="Palatino Linotype" w:cs="Palatino Linotype" w:eastAsia="Palatino Linotype" w:hAnsi="Palatino Linotype"/>
          <w:color w:val="666666"/>
          <w:sz w:val="18"/>
          <w:szCs w:val="18"/>
        </w:rPr>
        <w:t xml:space="preserve">ICC, Katanga, ¶¶ 996–1002</w:t>
      </w:r>
    </w:p>
  </w:footnote>
  <w:footnote w:id="24">
    <w:p>
      <w:pPr>
        <w:spacing w:after="40"/>
      </w:pPr>
      <w:r>
        <w:rPr>
          <w:rStyle w:val="FootnoteReference"/>
        </w:rPr>
        <w:footnoteRef/>
      </w:r>
      <w:r>
        <w:rPr>
          <w:rFonts w:ascii="Palatino Linotype" w:cs="Palatino Linotype" w:eastAsia="Palatino Linotype" w:hAnsi="Palatino Linotype"/>
          <w:color w:val="666666"/>
          <w:sz w:val="18"/>
          <w:szCs w:val="18"/>
        </w:rPr>
        <w:t xml:space="preserve">ICRC CIHL, Rule 90</w:t>
      </w:r>
    </w:p>
  </w:footnote>
  <w:footnote w:id="25">
    <w:p>
      <w:pPr>
        <w:spacing w:after="40"/>
      </w:pPr>
      <w:r>
        <w:rPr>
          <w:rStyle w:val="FootnoteReference"/>
        </w:rPr>
        <w:footnoteRef/>
      </w:r>
      <w:r>
        <w:rPr>
          <w:rFonts w:ascii="Palatino Linotype" w:cs="Palatino Linotype" w:eastAsia="Palatino Linotype" w:hAnsi="Palatino Linotype"/>
          <w:color w:val="666666"/>
          <w:sz w:val="18"/>
          <w:szCs w:val="18"/>
        </w:rPr>
        <w:t xml:space="preserve">ICRC Commentary GC I (2016), ¶¶ 680–687; GC III (2020), ¶¶ 740–750</w:t>
      </w:r>
    </w:p>
  </w:footnote>
  <w:footnote w:id="26">
    <w:p>
      <w:pPr>
        <w:spacing w:after="40"/>
      </w:pPr>
      <w:r>
        <w:rPr>
          <w:rStyle w:val="FootnoteReference"/>
        </w:rPr>
        <w:footnoteRef/>
      </w:r>
      <w:r>
        <w:rPr>
          <w:rFonts w:ascii="Palatino Linotype" w:cs="Palatino Linotype" w:eastAsia="Palatino Linotype" w:hAnsi="Palatino Linotype"/>
          <w:color w:val="666666"/>
          <w:sz w:val="18"/>
          <w:szCs w:val="18"/>
        </w:rPr>
        <w:t xml:space="preserve">ICRC Commentary GC I (2016), ¶¶ 693–718; GC III (2020), ¶¶ 754–800</w:t>
      </w:r>
    </w:p>
  </w:footnote>
  <w:footnote w:id="27">
    <w:p>
      <w:pPr>
        <w:spacing w:after="40"/>
      </w:pPr>
      <w:r>
        <w:rPr>
          <w:rStyle w:val="FootnoteReference"/>
        </w:rPr>
        <w:footnoteRef/>
      </w:r>
      <w:r>
        <w:rPr>
          <w:rFonts w:ascii="Palatino Linotype" w:cs="Palatino Linotype" w:eastAsia="Palatino Linotype" w:hAnsi="Palatino Linotype"/>
          <w:color w:val="666666"/>
          <w:sz w:val="18"/>
          <w:szCs w:val="18"/>
        </w:rPr>
        <w:t xml:space="preserve">ICRC CIHL, Rule 101; ICRC Commentary GC I (2016), ¶ 718</w:t>
      </w:r>
    </w:p>
  </w:footnote>
  <w:footnote w:id="28">
    <w:p>
      <w:pPr>
        <w:spacing w:after="40"/>
      </w:pPr>
      <w:r>
        <w:rPr>
          <w:rStyle w:val="FootnoteReference"/>
        </w:rPr>
        <w:footnoteRef/>
      </w:r>
      <w:r>
        <w:rPr>
          <w:rFonts w:ascii="Palatino Linotype" w:cs="Palatino Linotype" w:eastAsia="Palatino Linotype" w:hAnsi="Palatino Linotype"/>
          <w:color w:val="666666"/>
          <w:sz w:val="18"/>
          <w:szCs w:val="18"/>
        </w:rPr>
        <w:t xml:space="preserve">ICRC CIHL, Rules 100, 101, 103</w:t>
      </w:r>
    </w:p>
  </w:footnote>
  <w:footnote w:id="29">
    <w:p>
      <w:pPr>
        <w:spacing w:after="40"/>
      </w:pPr>
      <w:r>
        <w:rPr>
          <w:rStyle w:val="FootnoteReference"/>
        </w:rPr>
        <w:footnoteRef/>
      </w:r>
      <w:r>
        <w:rPr>
          <w:rFonts w:ascii="Palatino Linotype" w:cs="Palatino Linotype" w:eastAsia="Palatino Linotype" w:hAnsi="Palatino Linotype"/>
          <w:color w:val="666666"/>
          <w:sz w:val="18"/>
          <w:szCs w:val="18"/>
        </w:rPr>
        <w:t xml:space="preserve">ICRC Commentary GC I (2016), ¶¶ 721–737</w:t>
      </w:r>
    </w:p>
  </w:footnote>
  <w:footnote w:id="30">
    <w:p>
      <w:pPr>
        <w:spacing w:after="40"/>
      </w:pPr>
      <w:r>
        <w:rPr>
          <w:rStyle w:val="FootnoteReference"/>
        </w:rPr>
        <w:footnoteRef/>
      </w:r>
      <w:r>
        <w:rPr>
          <w:rFonts w:ascii="Palatino Linotype" w:cs="Palatino Linotype" w:eastAsia="Palatino Linotype" w:hAnsi="Palatino Linotype"/>
          <w:color w:val="666666"/>
          <w:sz w:val="18"/>
          <w:szCs w:val="18"/>
        </w:rPr>
        <w:t xml:space="preserve">ICRC CIHL, Rules 25, 28, 29</w:t>
      </w:r>
    </w:p>
  </w:footnote>
  <w:footnote w:id="31">
    <w:p>
      <w:pPr>
        <w:spacing w:after="40"/>
      </w:pPr>
      <w:r>
        <w:rPr>
          <w:rStyle w:val="FootnoteReference"/>
        </w:rPr>
        <w:footnoteRef/>
      </w:r>
      <w:r>
        <w:rPr>
          <w:rFonts w:ascii="Palatino Linotype" w:cs="Palatino Linotype" w:eastAsia="Palatino Linotype" w:hAnsi="Palatino Linotype"/>
          <w:color w:val="666666"/>
          <w:sz w:val="18"/>
          <w:szCs w:val="18"/>
        </w:rPr>
        <w:t xml:space="preserve">ICRC CIHL, Rules 109, 110</w:t>
      </w:r>
    </w:p>
  </w:footnote>
  <w:footnote w:id="32">
    <w:p>
      <w:pPr>
        <w:spacing w:after="40"/>
      </w:pPr>
      <w:r>
        <w:rPr>
          <w:rStyle w:val="FootnoteReference"/>
        </w:rPr>
        <w:footnoteRef/>
      </w:r>
      <w:r>
        <w:rPr>
          <w:rFonts w:ascii="Palatino Linotype" w:cs="Palatino Linotype" w:eastAsia="Palatino Linotype" w:hAnsi="Palatino Linotype"/>
          <w:color w:val="666666"/>
          <w:sz w:val="18"/>
          <w:szCs w:val="18"/>
        </w:rPr>
        <w:t xml:space="preserve">ICRC Commentary GC I (2016), ¶¶ 833–840</w:t>
      </w:r>
    </w:p>
  </w:footnote>
  <w:footnote w:id="33">
    <w:p>
      <w:pPr>
        <w:spacing w:after="40"/>
      </w:pPr>
      <w:r>
        <w:rPr>
          <w:rStyle w:val="FootnoteReference"/>
        </w:rPr>
        <w:footnoteRef/>
      </w:r>
      <w:r>
        <w:rPr>
          <w:rFonts w:ascii="Palatino Linotype" w:cs="Palatino Linotype" w:eastAsia="Palatino Linotype" w:hAnsi="Palatino Linotype"/>
          <w:color w:val="666666"/>
          <w:sz w:val="18"/>
          <w:szCs w:val="18"/>
        </w:rPr>
        <w:t xml:space="preserve">ICRC, Position Paper, 2021, p. 6</w:t>
      </w:r>
    </w:p>
  </w:footnote>
  <w:footnote w:id="34">
    <w:p>
      <w:pPr>
        <w:spacing w:after="40"/>
      </w:pPr>
      <w:r>
        <w:rPr>
          <w:rStyle w:val="FootnoteReference"/>
        </w:rPr>
        <w:footnoteRef/>
      </w:r>
      <w:r>
        <w:rPr>
          <w:rFonts w:ascii="Palatino Linotype" w:cs="Palatino Linotype" w:eastAsia="Palatino Linotype" w:hAnsi="Palatino Linotype"/>
          <w:color w:val="666666"/>
          <w:sz w:val="18"/>
          <w:szCs w:val="18"/>
        </w:rPr>
        <w:t xml:space="preserve">ICRC Commentary GC III (2020), ¶¶ 850–858</w:t>
      </w:r>
    </w:p>
  </w:footnote>
  <w:footnote w:id="35">
    <w:p>
      <w:pPr>
        <w:spacing w:after="40"/>
      </w:pPr>
      <w:r>
        <w:rPr>
          <w:rStyle w:val="FootnoteReference"/>
        </w:rPr>
        <w:footnoteRef/>
      </w:r>
      <w:r>
        <w:rPr>
          <w:rFonts w:ascii="Palatino Linotype" w:cs="Palatino Linotype" w:eastAsia="Palatino Linotype" w:hAnsi="Palatino Linotype"/>
          <w:color w:val="666666"/>
          <w:sz w:val="18"/>
          <w:szCs w:val="18"/>
        </w:rPr>
        <w:t xml:space="preserve">ICRC Commentary GC I (2016), ¶¶ 855–860</w:t>
      </w:r>
    </w:p>
  </w:footnote>
  <w:footnote w:id="36">
    <w:p>
      <w:pPr>
        <w:spacing w:after="40"/>
      </w:pPr>
      <w:r>
        <w:rPr>
          <w:rStyle w:val="FootnoteReference"/>
        </w:rPr>
        <w:footnoteRef/>
      </w:r>
      <w:r>
        <w:rPr>
          <w:rFonts w:ascii="Palatino Linotype" w:cs="Palatino Linotype" w:eastAsia="Palatino Linotype" w:hAnsi="Palatino Linotype"/>
          <w:color w:val="666666"/>
          <w:sz w:val="18"/>
          <w:szCs w:val="18"/>
        </w:rPr>
        <w:t xml:space="preserve">Sassòli, IHL, Edward Elgar, 2019, p. 198; Dinstein, Conduct of Hostilities, 3rd ed., CUP, 2016, p. 31</w:t>
      </w:r>
    </w:p>
  </w:footnote>
  <w:footnote w:id="37">
    <w:p>
      <w:pPr>
        <w:spacing w:after="40"/>
      </w:pPr>
      <w:r>
        <w:rPr>
          <w:rStyle w:val="FootnoteReference"/>
        </w:rPr>
        <w:footnoteRef/>
      </w:r>
      <w:r>
        <w:rPr>
          <w:rFonts w:ascii="Palatino Linotype" w:cs="Palatino Linotype" w:eastAsia="Palatino Linotype" w:hAnsi="Palatino Linotype"/>
          <w:color w:val="666666"/>
          <w:sz w:val="18"/>
          <w:szCs w:val="18"/>
        </w:rPr>
        <w:t xml:space="preserve">Henckaerts &amp; Doswald-Beck, Customary IHL, ICRC/CUP, 2005, Vol. I, pp. 306–380 (Ch. 32)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Palatino Linotype" w:cs="Palatino Linotype" w:eastAsia="Palatino Linotype" w:hAnsi="Palatino Linotype"/>
      <w:b/>
      <w:bCs/>
      <w:sz w:val="32"/>
      <w:szCs w:val="32"/>
    </w:rPr>
  </w:style>
  <w:style w:type="paragraph" w:styleId="Heading2">
    <w:name w:val="Heading 2"/>
    <w:basedOn w:val="Normal"/>
    <w:next w:val="Normal"/>
    <w:qFormat/>
    <w:pPr>
      <w:spacing w:after="120" w:before="320"/>
      <w:outlineLvl w:val="1"/>
    </w:pPr>
    <w:rPr>
      <w:rFonts w:ascii="Palatino Linotype" w:cs="Palatino Linotype" w:eastAsia="Palatino Linotype" w:hAnsi="Palatino Linotype"/>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2026-04-20T14:27:55.619Z</dcterms:created>
  <dcterms:modified xsi:type="dcterms:W3CDTF">2026-04-20T14:27:55.620Z</dcterms:modified>
</cp:coreProperties>
</file>

<file path=docProps/custom.xml><?xml version="1.0" encoding="utf-8"?>
<Properties xmlns="http://schemas.openxmlformats.org/officeDocument/2006/custom-properties" xmlns:vt="http://schemas.openxmlformats.org/officeDocument/2006/docPropsVTypes"/>
</file>