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20"/>
      </w:pPr>
      <w:r>
        <w:rPr>
          <w:rFonts w:ascii="Arial" w:cs="Arial" w:eastAsia="Arial" w:hAnsi="Arial"/>
          <w:b/>
          <w:bCs/>
          <w:color w:val="146151"/>
          <w:sz w:val="52"/>
          <w:szCs w:val="52"/>
        </w:rPr>
        <w:t xml:space="preserve">Re-Registration Communications</w:t>
      </w:r>
    </w:p>
    <w:p>
      <w:pPr>
        <w:spacing w:after="80"/>
      </w:pPr>
      <w:r>
        <w:rPr>
          <w:rFonts w:ascii="Arial" w:cs="Arial" w:eastAsia="Arial" w:hAnsi="Arial"/>
          <w:color w:val="D4A843"/>
          <w:sz w:val="36"/>
          <w:szCs w:val="36"/>
        </w:rPr>
        <w:t xml:space="preserve">Stocktake and Critical Analysis</w:t>
      </w:r>
    </w:p>
    <w:p>
      <w:pPr>
        <w:pBdr>
          <w:bottom w:val="single" w:color="CCCCCC" w:sz="1" w:space="1"/>
        </w:pBdr>
        <w:spacing w:after="200" w:before="200"/>
      </w:pPr>
    </w:p>
    <w:p>
      <w:pPr>
        <w:spacing w:after="160"/>
      </w:pPr>
      <w:r>
        <w:rPr>
          <w:rFonts w:ascii="Arial" w:cs="Arial" w:eastAsia="Arial" w:hAnsi="Arial"/>
          <w:color w:val="666666"/>
          <w:sz w:val="22"/>
          <w:szCs w:val="22"/>
        </w:rPr>
        <w:t xml:space="preserve">A comprehensive review of all products, tools, and deliverables across the re-registration communications strategy. Identifies gaps, dependencies, workability issues, and recommended priorities.</w:t>
      </w:r>
    </w:p>
    <w:p>
      <w:pPr>
        <w:spacing w:after="80"/>
      </w:pPr>
    </w:p>
    <w:p>
      <w:pPr>
        <w:spacing w:after="160"/>
      </w:pPr>
      <w:r>
        <w:rPr>
          <w:rFonts w:ascii="Arial" w:cs="Arial" w:eastAsia="Arial" w:hAnsi="Arial"/>
          <w:color w:val="666666"/>
          <w:sz w:val="22"/>
          <w:szCs w:val="22"/>
        </w:rPr>
        <w:t xml:space="preserve">Date: March 2026</w:t>
      </w:r>
    </w:p>
    <w:p>
      <w:pPr>
        <w:spacing w:after="160"/>
      </w:pPr>
      <w:r>
        <w:rPr>
          <w:rFonts w:ascii="Arial" w:cs="Arial" w:eastAsia="Arial" w:hAnsi="Arial"/>
          <w:color w:val="666666"/>
          <w:sz w:val="22"/>
          <w:szCs w:val="22"/>
        </w:rPr>
        <w:t xml:space="preserve">Status: Working document</w:t>
      </w:r>
    </w:p>
    <w:p>
      <w:r>
        <w:br w:type="page"/>
      </w:r>
    </w:p>
    <w:p>
      <w:pPr>
        <w:pStyle w:val="Heading1"/>
        <w:spacing w:after="200" w:before="360"/>
      </w:pPr>
      <w:r>
        <w:rPr>
          <w:rFonts w:ascii="Arial" w:cs="Arial" w:eastAsia="Arial" w:hAnsi="Arial"/>
          <w:b/>
          <w:bCs/>
          <w:color w:val="146151"/>
          <w:sz w:val="32"/>
          <w:szCs w:val="32"/>
        </w:rPr>
        <w:t xml:space="preserve">1. Product Inventory</w:t>
      </w:r>
    </w:p>
    <w:p>
      <w:pPr>
        <w:spacing w:after="160"/>
      </w:pPr>
      <w:r>
        <w:rPr>
          <w:rFonts w:ascii="Arial" w:cs="Arial" w:eastAsia="Arial" w:hAnsi="Arial"/>
          <w:color w:val="666666"/>
          <w:sz w:val="22"/>
          <w:szCs w:val="22"/>
        </w:rPr>
        <w:t xml:space="preserve">The following products have been designed, prototyped, or built across two working sessions. They fall into four categories: self-service tools, outreach tools, social/comms assets, and staff tools.</w:t>
      </w:r>
    </w:p>
    <w:p>
      <w:pPr>
        <w:pStyle w:val="Heading2"/>
        <w:spacing w:after="160" w:before="280"/>
      </w:pPr>
      <w:r>
        <w:rPr>
          <w:rFonts w:ascii="Arial" w:cs="Arial" w:eastAsia="Arial" w:hAnsi="Arial"/>
          <w:b/>
          <w:bCs/>
          <w:color w:val="146151"/>
          <w:sz w:val="26"/>
          <w:szCs w:val="26"/>
        </w:rPr>
        <w:t xml:space="preserve">1.1 Self-service tools (public-facing, always available)</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c>
          <w:tcPr>
            <w:tcW w:type="dxa" w:w="2256"/>
            <w:tcBorders>
              <w:top w:val="single" w:color="CCCCCC" w:sz="1"/>
              <w:left w:val="single" w:color="CCCCCC" w:sz="1"/>
              <w:bottom w:val="single" w:color="CCCCCC" w:sz="1"/>
              <w:right w:val="single" w:color="CCCCCC" w:sz="1"/>
            </w:tcBorders>
            <w:shd w:fill="146151"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Product</w:t>
            </w:r>
          </w:p>
        </w:tc>
        <w:tc>
          <w:tcPr>
            <w:tcW w:type="dxa" w:w="2256"/>
            <w:tcBorders>
              <w:top w:val="single" w:color="CCCCCC" w:sz="1"/>
              <w:left w:val="single" w:color="CCCCCC" w:sz="1"/>
              <w:bottom w:val="single" w:color="CCCCCC" w:sz="1"/>
              <w:right w:val="single" w:color="CCCCCC" w:sz="1"/>
            </w:tcBorders>
            <w:shd w:fill="146151"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Purpose</w:t>
            </w:r>
          </w:p>
        </w:tc>
        <w:tc>
          <w:tcPr>
            <w:tcW w:type="dxa" w:w="2256"/>
            <w:tcBorders>
              <w:top w:val="single" w:color="CCCCCC" w:sz="1"/>
              <w:left w:val="single" w:color="CCCCCC" w:sz="1"/>
              <w:bottom w:val="single" w:color="CCCCCC" w:sz="1"/>
              <w:right w:val="single" w:color="CCCCCC" w:sz="1"/>
            </w:tcBorders>
            <w:shd w:fill="146151"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Status</w:t>
            </w:r>
          </w:p>
        </w:tc>
        <w:tc>
          <w:tcPr>
            <w:tcW w:type="dxa" w:w="2258"/>
            <w:tcBorders>
              <w:top w:val="single" w:color="CCCCCC" w:sz="1"/>
              <w:left w:val="single" w:color="CCCCCC" w:sz="1"/>
              <w:bottom w:val="single" w:color="CCCCCC" w:sz="1"/>
              <w:right w:val="single" w:color="CCCCCC" w:sz="1"/>
            </w:tcBorders>
            <w:shd w:fill="146151"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Hosted at</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666666"/>
                <w:sz w:val="20"/>
                <w:szCs w:val="20"/>
              </w:rPr>
              <w:t xml:space="preserve">Re-registration mini site (rereg-guide.html)</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666666"/>
                <w:sz w:val="20"/>
                <w:szCs w:val="20"/>
              </w:rPr>
              <w:t xml:space="preserve">Personalised step-by-step plan for re-registering a BN, CO, or overseas CO. Includes wizard, FAQ, countdown, PDF download.</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666666"/>
                <w:sz w:val="20"/>
                <w:szCs w:val="20"/>
              </w:rPr>
              <w:t xml:space="preserve">Prototype built</w:t>
            </w:r>
          </w:p>
        </w:tc>
        <w:tc>
          <w:tcPr>
            <w:tcW w:type="dxa" w:w="2258"/>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666666"/>
                <w:sz w:val="20"/>
                <w:szCs w:val="20"/>
              </w:rPr>
              <w:t xml:space="preserve">business.gov.ki</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666666"/>
                <w:sz w:val="20"/>
                <w:szCs w:val="20"/>
              </w:rPr>
              <w:t xml:space="preserve">Walkthrough guide — Business Names (guide-reregister-bn.html)</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666666"/>
                <w:sz w:val="20"/>
                <w:szCs w:val="20"/>
              </w:rPr>
              <w:t xml:space="preserve">14-screen click-through visual walkthrough of the full BN re-registration process. Phone-frame device, three stages, progress pips.</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666666"/>
                <w:sz w:val="20"/>
                <w:szCs w:val="20"/>
              </w:rPr>
              <w:t xml:space="preserve">Built, needs design language alignment with mini site</w:t>
            </w:r>
          </w:p>
        </w:tc>
        <w:tc>
          <w:tcPr>
            <w:tcW w:type="dxa" w:w="2258"/>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666666"/>
                <w:sz w:val="20"/>
                <w:szCs w:val="20"/>
              </w:rPr>
              <w:t xml:space="preserve">business.gov.ki</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666666"/>
                <w:sz w:val="20"/>
                <w:szCs w:val="20"/>
              </w:rPr>
              <w:t xml:space="preserve">Walkthrough guide — Companies</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666666"/>
                <w:sz w:val="20"/>
                <w:szCs w:val="20"/>
              </w:rPr>
              <w:t xml:space="preserve">Equivalent walkthrough for CO-0 / CO-0a. Same architecture, company-specific content.</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666666"/>
                <w:sz w:val="20"/>
                <w:szCs w:val="20"/>
              </w:rPr>
              <w:t xml:space="preserve">Not yet built. Planned as adaptation of BN version.</w:t>
            </w:r>
          </w:p>
        </w:tc>
        <w:tc>
          <w:tcPr>
            <w:tcW w:type="dxa" w:w="2258"/>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666666"/>
                <w:sz w:val="20"/>
                <w:szCs w:val="20"/>
              </w:rPr>
              <w:t xml:space="preserve">business.gov.ki</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666666"/>
                <w:sz w:val="20"/>
                <w:szCs w:val="20"/>
              </w:rPr>
              <w:t xml:space="preserve">Letter of authority template</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666666"/>
                <w:sz w:val="20"/>
                <w:szCs w:val="20"/>
              </w:rPr>
              <w:t xml:space="preserve">One-page PDF template for agents/employees to obtain authority from the owner/director.</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666666"/>
                <w:sz w:val="20"/>
                <w:szCs w:val="20"/>
              </w:rPr>
              <w:t xml:space="preserve">Not yet built. Simple document.</w:t>
            </w:r>
          </w:p>
        </w:tc>
        <w:tc>
          <w:tcPr>
            <w:tcW w:type="dxa" w:w="2258"/>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666666"/>
                <w:sz w:val="20"/>
                <w:szCs w:val="20"/>
              </w:rPr>
              <w:t xml:space="preserve">business.gov.ki/forms/</w:t>
            </w:r>
          </w:p>
        </w:tc>
      </w:tr>
    </w:tbl>
    <w:p>
      <w:pPr>
        <w:spacing w:after="80"/>
      </w:pPr>
    </w:p>
    <w:p>
      <w:pPr>
        <w:pStyle w:val="Heading2"/>
        <w:spacing w:after="160" w:before="280"/>
      </w:pPr>
      <w:r>
        <w:rPr>
          <w:rFonts w:ascii="Arial" w:cs="Arial" w:eastAsia="Arial" w:hAnsi="Arial"/>
          <w:b/>
          <w:bCs/>
          <w:color w:val="146151"/>
          <w:sz w:val="26"/>
          <w:szCs w:val="26"/>
        </w:rPr>
        <w:t xml:space="preserve">1.2 Outreach tools (event-specific, temporary)</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c>
          <w:tcPr>
            <w:tcW w:type="dxa" w:w="2256"/>
            <w:tcBorders>
              <w:top w:val="single" w:color="CCCCCC" w:sz="1"/>
              <w:left w:val="single" w:color="CCCCCC" w:sz="1"/>
              <w:bottom w:val="single" w:color="CCCCCC" w:sz="1"/>
              <w:right w:val="single" w:color="CCCCCC" w:sz="1"/>
            </w:tcBorders>
            <w:shd w:fill="146151"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Product</w:t>
            </w:r>
          </w:p>
        </w:tc>
        <w:tc>
          <w:tcPr>
            <w:tcW w:type="dxa" w:w="2256"/>
            <w:tcBorders>
              <w:top w:val="single" w:color="CCCCCC" w:sz="1"/>
              <w:left w:val="single" w:color="CCCCCC" w:sz="1"/>
              <w:bottom w:val="single" w:color="CCCCCC" w:sz="1"/>
              <w:right w:val="single" w:color="CCCCCC" w:sz="1"/>
            </w:tcBorders>
            <w:shd w:fill="146151"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Purpose</w:t>
            </w:r>
          </w:p>
        </w:tc>
        <w:tc>
          <w:tcPr>
            <w:tcW w:type="dxa" w:w="2256"/>
            <w:tcBorders>
              <w:top w:val="single" w:color="CCCCCC" w:sz="1"/>
              <w:left w:val="single" w:color="CCCCCC" w:sz="1"/>
              <w:bottom w:val="single" w:color="CCCCCC" w:sz="1"/>
              <w:right w:val="single" w:color="CCCCCC" w:sz="1"/>
            </w:tcBorders>
            <w:shd w:fill="146151"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Status</w:t>
            </w:r>
          </w:p>
        </w:tc>
        <w:tc>
          <w:tcPr>
            <w:tcW w:type="dxa" w:w="2258"/>
            <w:tcBorders>
              <w:top w:val="single" w:color="CCCCCC" w:sz="1"/>
              <w:left w:val="single" w:color="CCCCCC" w:sz="1"/>
              <w:bottom w:val="single" w:color="CCCCCC" w:sz="1"/>
              <w:right w:val="single" w:color="CCCCCC" w:sz="1"/>
            </w:tcBorders>
            <w:shd w:fill="146151"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Hosted at</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666666"/>
                <w:sz w:val="20"/>
                <w:szCs w:val="20"/>
              </w:rPr>
              <w:t xml:space="preserve">Workshop event page (workshop-event-page.jsx)</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666666"/>
                <w:sz w:val="20"/>
                <w:szCs w:val="20"/>
              </w:rPr>
              <w:t xml:space="preserve">Event-specific registration page with preparation wizard. Collects attendee details, connection type, readiness status. Feeds Google Sheet.</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666666"/>
                <w:sz w:val="20"/>
                <w:szCs w:val="20"/>
              </w:rPr>
              <w:t xml:space="preserve">Prototype built</w:t>
            </w:r>
          </w:p>
        </w:tc>
        <w:tc>
          <w:tcPr>
            <w:tcW w:type="dxa" w:w="2258"/>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666666"/>
                <w:sz w:val="20"/>
                <w:szCs w:val="20"/>
              </w:rPr>
              <w:t xml:space="preserve">business.gov.ki/workshop/</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666666"/>
                <w:sz w:val="20"/>
                <w:szCs w:val="20"/>
              </w:rPr>
              <w:t xml:space="preserve">Facilitator mode (facilitator-mode-concept.jsx)</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666666"/>
                <w:sz w:val="20"/>
                <w:szCs w:val="20"/>
              </w:rPr>
              <w:t xml:space="preserve">Large-screen workshop display with step-by-step instructions, QR codes for each step, and common problems. Controlled by the facilitator.</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666666"/>
                <w:sz w:val="20"/>
                <w:szCs w:val="20"/>
              </w:rPr>
              <w:t xml:space="preserve">Concept prototype built</w:t>
            </w:r>
          </w:p>
        </w:tc>
        <w:tc>
          <w:tcPr>
            <w:tcW w:type="dxa" w:w="2258"/>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666666"/>
                <w:sz w:val="20"/>
                <w:szCs w:val="20"/>
              </w:rPr>
              <w:t xml:space="preserve">business.gov.ki (or local file)</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666666"/>
                <w:sz w:val="20"/>
                <w:szCs w:val="20"/>
              </w:rPr>
              <w:t xml:space="preserve">Workshop staff planning guide (workshop-staff-guide.docx)</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666666"/>
                <w:sz w:val="20"/>
                <w:szCs w:val="20"/>
              </w:rPr>
              <w:t xml:space="preserve">Operational guide for MTCIC staff covering before/during/after a workshop. Includes timeline, three staff roles, pre-check procedures, common problems.</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666666"/>
                <w:sz w:val="20"/>
                <w:szCs w:val="20"/>
              </w:rPr>
              <w:t xml:space="preserve">Built, reviewed, iterating</w:t>
            </w:r>
          </w:p>
        </w:tc>
        <w:tc>
          <w:tcPr>
            <w:tcW w:type="dxa" w:w="2258"/>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666666"/>
                <w:sz w:val="20"/>
                <w:szCs w:val="20"/>
              </w:rPr>
              <w:t xml:space="preserve">Internal document</w:t>
            </w:r>
          </w:p>
        </w:tc>
      </w:tr>
    </w:tbl>
    <w:p>
      <w:pPr>
        <w:spacing w:after="80"/>
      </w:pPr>
    </w:p>
    <w:p>
      <w:pPr>
        <w:pStyle w:val="Heading2"/>
        <w:spacing w:after="160" w:before="280"/>
      </w:pPr>
      <w:r>
        <w:rPr>
          <w:rFonts w:ascii="Arial" w:cs="Arial" w:eastAsia="Arial" w:hAnsi="Arial"/>
          <w:b/>
          <w:bCs/>
          <w:color w:val="146151"/>
          <w:sz w:val="26"/>
          <w:szCs w:val="26"/>
        </w:rPr>
        <w:t xml:space="preserve">1.3 Social and communications assets</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c>
          <w:tcPr>
            <w:tcW w:type="dxa" w:w="2256"/>
            <w:tcBorders>
              <w:top w:val="single" w:color="CCCCCC" w:sz="1"/>
              <w:left w:val="single" w:color="CCCCCC" w:sz="1"/>
              <w:bottom w:val="single" w:color="CCCCCC" w:sz="1"/>
              <w:right w:val="single" w:color="CCCCCC" w:sz="1"/>
            </w:tcBorders>
            <w:shd w:fill="146151"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Product</w:t>
            </w:r>
          </w:p>
        </w:tc>
        <w:tc>
          <w:tcPr>
            <w:tcW w:type="dxa" w:w="2256"/>
            <w:tcBorders>
              <w:top w:val="single" w:color="CCCCCC" w:sz="1"/>
              <w:left w:val="single" w:color="CCCCCC" w:sz="1"/>
              <w:bottom w:val="single" w:color="CCCCCC" w:sz="1"/>
              <w:right w:val="single" w:color="CCCCCC" w:sz="1"/>
            </w:tcBorders>
            <w:shd w:fill="146151"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Purpose</w:t>
            </w:r>
          </w:p>
        </w:tc>
        <w:tc>
          <w:tcPr>
            <w:tcW w:type="dxa" w:w="2256"/>
            <w:tcBorders>
              <w:top w:val="single" w:color="CCCCCC" w:sz="1"/>
              <w:left w:val="single" w:color="CCCCCC" w:sz="1"/>
              <w:bottom w:val="single" w:color="CCCCCC" w:sz="1"/>
              <w:right w:val="single" w:color="CCCCCC" w:sz="1"/>
            </w:tcBorders>
            <w:shd w:fill="146151"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Status</w:t>
            </w:r>
          </w:p>
        </w:tc>
        <w:tc>
          <w:tcPr>
            <w:tcW w:type="dxa" w:w="2258"/>
            <w:tcBorders>
              <w:top w:val="single" w:color="CCCCCC" w:sz="1"/>
              <w:left w:val="single" w:color="CCCCCC" w:sz="1"/>
              <w:bottom w:val="single" w:color="CCCCCC" w:sz="1"/>
              <w:right w:val="single" w:color="CCCCCC" w:sz="1"/>
            </w:tcBorders>
            <w:shd w:fill="146151"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Distributed via</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666666"/>
                <w:sz w:val="20"/>
                <w:szCs w:val="20"/>
              </w:rPr>
              <w:t xml:space="preserve">WhatsApp/Messenger shareable cards (5 cards)</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666666"/>
                <w:sz w:val="20"/>
                <w:szCs w:val="20"/>
              </w:rPr>
              <w:t xml:space="preserve">1080×1080 square images designed to be screenshotted and forwarded. Deadline, easy process, phone-friendly, consequence, share forward.</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666666"/>
                <w:sz w:val="20"/>
                <w:szCs w:val="20"/>
              </w:rPr>
              <w:t xml:space="preserve">Built</w:t>
            </w:r>
          </w:p>
        </w:tc>
        <w:tc>
          <w:tcPr>
            <w:tcW w:type="dxa" w:w="2258"/>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666666"/>
                <w:sz w:val="20"/>
                <w:szCs w:val="20"/>
              </w:rPr>
              <w:t xml:space="preserve">WhatsApp, Messenger, Facebook</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666666"/>
                <w:sz w:val="20"/>
                <w:szCs w:val="20"/>
              </w:rPr>
              <w:t xml:space="preserve">OG share preview card (1200×630)</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666666"/>
                <w:sz w:val="20"/>
                <w:szCs w:val="20"/>
              </w:rPr>
              <w:t xml:space="preserve">Social preview image for link sharing. Appears when the mini site link is posted on Facebook or shared via Messenger.</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666666"/>
                <w:sz w:val="20"/>
                <w:szCs w:val="20"/>
              </w:rPr>
              <w:t xml:space="preserve">Built</w:t>
            </w:r>
          </w:p>
        </w:tc>
        <w:tc>
          <w:tcPr>
            <w:tcW w:type="dxa" w:w="2258"/>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666666"/>
                <w:sz w:val="20"/>
                <w:szCs w:val="20"/>
              </w:rPr>
              <w:t xml:space="preserve">Embedded in mini site meta tags</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666666"/>
                <w:sz w:val="20"/>
                <w:szCs w:val="20"/>
              </w:rPr>
              <w:t xml:space="preserve">Share preview demo</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666666"/>
                <w:sz w:val="20"/>
                <w:szCs w:val="20"/>
              </w:rPr>
              <w:t xml:space="preserve">Mockup showing how the link appears in Facebook feed and WhatsApp chat. For internal stakeholder presentation.</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666666"/>
                <w:sz w:val="20"/>
                <w:szCs w:val="20"/>
              </w:rPr>
              <w:t xml:space="preserve">Built</w:t>
            </w:r>
          </w:p>
        </w:tc>
        <w:tc>
          <w:tcPr>
            <w:tcW w:type="dxa" w:w="2258"/>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666666"/>
                <w:sz w:val="20"/>
                <w:szCs w:val="20"/>
              </w:rPr>
              <w:t xml:space="preserve">Internal</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666666"/>
                <w:sz w:val="20"/>
                <w:szCs w:val="20"/>
              </w:rPr>
              <w:t xml:space="preserve">Facebook post templates (8 posts)</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666666"/>
                <w:sz w:val="20"/>
                <w:szCs w:val="20"/>
              </w:rPr>
              <w:t xml:space="preserve">Ready-to-use post text for MTCIC’s Facebook page across the campaign lifecycle. Each references which card or video to attach.</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666666"/>
                <w:sz w:val="20"/>
                <w:szCs w:val="20"/>
              </w:rPr>
              <w:t xml:space="preserve">Built (in comms pack)</w:t>
            </w:r>
          </w:p>
        </w:tc>
        <w:tc>
          <w:tcPr>
            <w:tcW w:type="dxa" w:w="2258"/>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666666"/>
                <w:sz w:val="20"/>
                <w:szCs w:val="20"/>
              </w:rPr>
              <w:t xml:space="preserve">MTCIC Facebook page</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666666"/>
                <w:sz w:val="20"/>
                <w:szCs w:val="20"/>
              </w:rPr>
              <w:t xml:space="preserve">Video walkthrough scripts (3 videos)</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666666"/>
                <w:sz w:val="20"/>
                <w:szCs w:val="20"/>
              </w:rPr>
              <w:t xml:space="preserve">Scripted screen recordings covering account setup, form completion, and upload/submit. Includes recording tips and I-Kiribati guidance.</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666666"/>
                <w:sz w:val="20"/>
                <w:szCs w:val="20"/>
              </w:rPr>
              <w:t xml:space="preserve">Scripts written (in comms pack). Videos not yet recorded.</w:t>
            </w:r>
          </w:p>
        </w:tc>
        <w:tc>
          <w:tcPr>
            <w:tcW w:type="dxa" w:w="2258"/>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666666"/>
                <w:sz w:val="20"/>
                <w:szCs w:val="20"/>
              </w:rPr>
              <w:t xml:space="preserve">Facebook, YouTube, shared via Messenger</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666666"/>
                <w:sz w:val="20"/>
                <w:szCs w:val="20"/>
              </w:rPr>
              <w:t xml:space="preserve">Campaign timeline</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666666"/>
                <w:sz w:val="20"/>
                <w:szCs w:val="20"/>
              </w:rPr>
              <w:t xml:space="preserve">Six-phase rollout plan from launch to final push, showing what to post when and the messaging shift from “easy” to “urgent.”</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666666"/>
                <w:sz w:val="20"/>
                <w:szCs w:val="20"/>
              </w:rPr>
              <w:t xml:space="preserve">Built (in comms pack)</w:t>
            </w:r>
          </w:p>
        </w:tc>
        <w:tc>
          <w:tcPr>
            <w:tcW w:type="dxa" w:w="2258"/>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666666"/>
                <w:sz w:val="20"/>
                <w:szCs w:val="20"/>
              </w:rPr>
              <w:t xml:space="preserve">Internal</w:t>
            </w:r>
          </w:p>
        </w:tc>
      </w:tr>
    </w:tbl>
    <w:p>
      <w:pPr>
        <w:spacing w:after="80"/>
      </w:pPr>
    </w:p>
    <w:p>
      <w:pPr>
        <w:pStyle w:val="Heading2"/>
        <w:spacing w:after="160" w:before="280"/>
      </w:pPr>
      <w:r>
        <w:rPr>
          <w:rFonts w:ascii="Arial" w:cs="Arial" w:eastAsia="Arial" w:hAnsi="Arial"/>
          <w:b/>
          <w:bCs/>
          <w:color w:val="146151"/>
          <w:sz w:val="26"/>
          <w:szCs w:val="26"/>
        </w:rPr>
        <w:t xml:space="preserve">1.4 Staff/internal tools</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c>
          <w:tcPr>
            <w:tcW w:type="dxa" w:w="3008"/>
            <w:tcBorders>
              <w:top w:val="single" w:color="CCCCCC" w:sz="1"/>
              <w:left w:val="single" w:color="CCCCCC" w:sz="1"/>
              <w:bottom w:val="single" w:color="CCCCCC" w:sz="1"/>
              <w:right w:val="single" w:color="CCCCCC" w:sz="1"/>
            </w:tcBorders>
            <w:shd w:fill="146151"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Product</w:t>
            </w:r>
          </w:p>
        </w:tc>
        <w:tc>
          <w:tcPr>
            <w:tcW w:type="dxa" w:w="3008"/>
            <w:tcBorders>
              <w:top w:val="single" w:color="CCCCCC" w:sz="1"/>
              <w:left w:val="single" w:color="CCCCCC" w:sz="1"/>
              <w:bottom w:val="single" w:color="CCCCCC" w:sz="1"/>
              <w:right w:val="single" w:color="CCCCCC" w:sz="1"/>
            </w:tcBorders>
            <w:shd w:fill="146151"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Purpose</w:t>
            </w:r>
          </w:p>
        </w:tc>
        <w:tc>
          <w:tcPr>
            <w:tcW w:type="dxa" w:w="3010"/>
            <w:tcBorders>
              <w:top w:val="single" w:color="CCCCCC" w:sz="1"/>
              <w:left w:val="single" w:color="CCCCCC" w:sz="1"/>
              <w:bottom w:val="single" w:color="CCCCCC" w:sz="1"/>
              <w:right w:val="single" w:color="CCCCCC" w:sz="1"/>
            </w:tcBorders>
            <w:shd w:fill="146151"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Status</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666666"/>
                <w:sz w:val="20"/>
                <w:szCs w:val="20"/>
              </w:rPr>
              <w:t xml:space="preserve">Registry Copy Tool</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666666"/>
                <w:sz w:val="20"/>
                <w:szCs w:val="20"/>
              </w:rPr>
              <w:t xml:space="preserve">Standalone HTML tool for staff to copy JSON-parsed filing data into Paradigm Apps registry. BN only.</w:t>
            </w:r>
          </w:p>
        </w:tc>
        <w:tc>
          <w:tcPr>
            <w:tcW w:type="dxa" w:w="30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666666"/>
                <w:sz w:val="20"/>
                <w:szCs w:val="20"/>
              </w:rPr>
              <w:t xml:space="preserve">Built, in QA</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666666"/>
                <w:sz w:val="20"/>
                <w:szCs w:val="20"/>
              </w:rPr>
              <w:t xml:space="preserve">Auto-fill tool (fill.js)</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666666"/>
                <w:sz w:val="20"/>
                <w:szCs w:val="20"/>
              </w:rPr>
              <w:t xml:space="preserve">Bookmarklet that auto-fills registry form fields from form builder JSON. BN-0 and BN-1.</w:t>
            </w:r>
          </w:p>
        </w:tc>
        <w:tc>
          <w:tcPr>
            <w:tcW w:type="dxa" w:w="30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666666"/>
                <w:sz w:val="20"/>
                <w:szCs w:val="20"/>
              </w:rPr>
              <w:t xml:space="preserve">Built, on GitHub Pages</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666666"/>
                <w:sz w:val="20"/>
                <w:szCs w:val="20"/>
              </w:rPr>
              <w:t xml:space="preserve">Staff reference guide (registry-guide.html)</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666666"/>
                <w:sz w:val="20"/>
                <w:szCs w:val="20"/>
              </w:rPr>
              <w:t xml:space="preserve">Comprehensive registry operations guide with sidebar navigation, step-chain diagrams, scenario cards.</w:t>
            </w:r>
          </w:p>
        </w:tc>
        <w:tc>
          <w:tcPr>
            <w:tcW w:type="dxa" w:w="30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666666"/>
                <w:sz w:val="20"/>
                <w:szCs w:val="20"/>
              </w:rPr>
              <w:t xml:space="preserve">Built</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666666"/>
                <w:sz w:val="20"/>
                <w:szCs w:val="20"/>
              </w:rPr>
              <w:t xml:space="preserve">Form builder maintenance guide</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666666"/>
                <w:sz w:val="20"/>
                <w:szCs w:val="20"/>
              </w:rPr>
              <w:t xml:space="preserve">v2.0 documentation covering all form builder internals.</w:t>
            </w:r>
          </w:p>
        </w:tc>
        <w:tc>
          <w:tcPr>
            <w:tcW w:type="dxa" w:w="30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666666"/>
                <w:sz w:val="20"/>
                <w:szCs w:val="20"/>
              </w:rPr>
              <w:t xml:space="preserve">Built</w:t>
            </w:r>
          </w:p>
        </w:tc>
      </w:tr>
    </w:tbl>
    <w:p>
      <w:r>
        <w:br w:type="page"/>
      </w:r>
    </w:p>
    <w:p>
      <w:pPr>
        <w:pStyle w:val="Heading1"/>
        <w:spacing w:after="200" w:before="360"/>
      </w:pPr>
      <w:r>
        <w:rPr>
          <w:rFonts w:ascii="Arial" w:cs="Arial" w:eastAsia="Arial" w:hAnsi="Arial"/>
          <w:b/>
          <w:bCs/>
          <w:color w:val="146151"/>
          <w:sz w:val="32"/>
          <w:szCs w:val="32"/>
        </w:rPr>
        <w:t xml:space="preserve">2. How It All Connects</w:t>
      </w:r>
    </w:p>
    <w:p>
      <w:pPr>
        <w:spacing w:after="160"/>
      </w:pPr>
      <w:r>
        <w:rPr>
          <w:rFonts w:ascii="Arial" w:cs="Arial" w:eastAsia="Arial" w:hAnsi="Arial"/>
          <w:color w:val="666666"/>
          <w:sz w:val="22"/>
          <w:szCs w:val="22"/>
        </w:rPr>
        <w:t xml:space="preserve">The products serve three distinct user journeys. Each journey should be self-contained — a user in one journey should not need to discover or use products from another.</w:t>
      </w:r>
    </w:p>
    <w:p>
      <w:pPr>
        <w:pStyle w:val="Heading2"/>
        <w:spacing w:after="160" w:before="280"/>
      </w:pPr>
      <w:r>
        <w:rPr>
          <w:rFonts w:ascii="Arial" w:cs="Arial" w:eastAsia="Arial" w:hAnsi="Arial"/>
          <w:b/>
          <w:bCs/>
          <w:color w:val="146151"/>
          <w:sz w:val="26"/>
          <w:szCs w:val="26"/>
        </w:rPr>
        <w:t xml:space="preserve">2.1 Journey A: Self-service (the confident user)</w:t>
      </w:r>
    </w:p>
    <w:p>
      <w:pPr>
        <w:spacing w:after="160"/>
      </w:pPr>
      <w:r>
        <w:rPr>
          <w:rFonts w:ascii="Arial" w:cs="Arial" w:eastAsia="Arial" w:hAnsi="Arial"/>
          <w:color w:val="666666"/>
          <w:sz w:val="22"/>
          <w:szCs w:val="22"/>
        </w:rPr>
        <w:t xml:space="preserve">A business owner sees a Facebook post or receives a Messenger forward. They tap the link, land on the mini site, go through the wizard, get their personalised plan, download the PDF, and follow the step cards. If they get stuck, they tap “Show me how” and open the walkthrough guide. They complete re-registration on their own.</w:t>
      </w:r>
    </w:p>
    <w:p>
      <w:pPr>
        <w:spacing w:after="80"/>
      </w:pPr>
    </w:p>
    <w:p>
      <w:pPr>
        <w:spacing w:after="160"/>
      </w:pPr>
      <w:r>
        <w:rPr>
          <w:rFonts w:ascii="Arial" w:cs="Arial" w:eastAsia="Arial" w:hAnsi="Arial"/>
          <w:b/>
          <w:bCs/>
          <w:color w:val="666666"/>
          <w:sz w:val="22"/>
          <w:szCs w:val="22"/>
        </w:rPr>
        <w:t xml:space="preserve">Products used: </w:t>
      </w:r>
      <w:r>
        <w:rPr>
          <w:rFonts w:ascii="Arial" w:cs="Arial" w:eastAsia="Arial" w:hAnsi="Arial"/>
          <w:color w:val="666666"/>
          <w:sz w:val="22"/>
          <w:szCs w:val="22"/>
        </w:rPr>
        <w:t xml:space="preserve">Mini site → Walkthrough guide → Form builder → Registry</w:t>
      </w:r>
    </w:p>
    <w:p>
      <w:pPr>
        <w:spacing w:after="160"/>
      </w:pPr>
      <w:r>
        <w:rPr>
          <w:rFonts w:ascii="Arial" w:cs="Arial" w:eastAsia="Arial" w:hAnsi="Arial"/>
          <w:b/>
          <w:bCs/>
          <w:color w:val="666666"/>
          <w:sz w:val="22"/>
          <w:szCs w:val="22"/>
        </w:rPr>
        <w:t xml:space="preserve">Discovery: </w:t>
      </w:r>
      <w:r>
        <w:rPr>
          <w:rFonts w:ascii="Arial" w:cs="Arial" w:eastAsia="Arial" w:hAnsi="Arial"/>
          <w:color w:val="666666"/>
          <w:sz w:val="22"/>
          <w:szCs w:val="22"/>
        </w:rPr>
        <w:t xml:space="preserve">Facebook post, Messenger forward, WhatsApp card, direct link</w:t>
      </w:r>
    </w:p>
    <w:p>
      <w:pPr>
        <w:spacing w:after="160"/>
      </w:pPr>
      <w:r>
        <w:rPr>
          <w:rFonts w:ascii="Arial" w:cs="Arial" w:eastAsia="Arial" w:hAnsi="Arial"/>
          <w:b/>
          <w:bCs/>
          <w:color w:val="666666"/>
          <w:sz w:val="22"/>
          <w:szCs w:val="22"/>
        </w:rPr>
        <w:t xml:space="preserve">Support needed: </w:t>
      </w:r>
      <w:r>
        <w:rPr>
          <w:rFonts w:ascii="Arial" w:cs="Arial" w:eastAsia="Arial" w:hAnsi="Arial"/>
          <w:color w:val="666666"/>
          <w:sz w:val="22"/>
          <w:szCs w:val="22"/>
        </w:rPr>
        <w:t xml:space="preserve">None. Fully self-service.</w:t>
      </w:r>
    </w:p>
    <w:p>
      <w:pPr>
        <w:pStyle w:val="Heading2"/>
        <w:spacing w:after="160" w:before="280"/>
      </w:pPr>
      <w:r>
        <w:rPr>
          <w:rFonts w:ascii="Arial" w:cs="Arial" w:eastAsia="Arial" w:hAnsi="Arial"/>
          <w:b/>
          <w:bCs/>
          <w:color w:val="146151"/>
          <w:sz w:val="26"/>
          <w:szCs w:val="26"/>
        </w:rPr>
        <w:t xml:space="preserve">2.2 Journey B: Workshop (the guided user)</w:t>
      </w:r>
    </w:p>
    <w:p>
      <w:pPr>
        <w:spacing w:after="160"/>
      </w:pPr>
      <w:r>
        <w:rPr>
          <w:rFonts w:ascii="Arial" w:cs="Arial" w:eastAsia="Arial" w:hAnsi="Arial"/>
          <w:color w:val="666666"/>
          <w:sz w:val="22"/>
          <w:szCs w:val="22"/>
        </w:rPr>
        <w:t xml:space="preserve">A business owner sees a Facebook post about a workshop, taps the event page link, goes through the preparation wizard, registers, and screenshots their personalised checklist. On the day, they show up with their phone and documents, and MTCIC staff guide them through every step in real time. They leave with their re-registration submitted.</w:t>
      </w:r>
    </w:p>
    <w:p>
      <w:pPr>
        <w:spacing w:after="80"/>
      </w:pPr>
    </w:p>
    <w:p>
      <w:pPr>
        <w:spacing w:after="160"/>
      </w:pPr>
      <w:r>
        <w:rPr>
          <w:rFonts w:ascii="Arial" w:cs="Arial" w:eastAsia="Arial" w:hAnsi="Arial"/>
          <w:b/>
          <w:bCs/>
          <w:color w:val="666666"/>
          <w:sz w:val="22"/>
          <w:szCs w:val="22"/>
        </w:rPr>
        <w:t xml:space="preserve">Products used: </w:t>
      </w:r>
      <w:r>
        <w:rPr>
          <w:rFonts w:ascii="Arial" w:cs="Arial" w:eastAsia="Arial" w:hAnsi="Arial"/>
          <w:color w:val="666666"/>
          <w:sz w:val="22"/>
          <w:szCs w:val="22"/>
        </w:rPr>
        <w:t xml:space="preserve">Event page → Facilitator mode → QR codes to Registry + Form builder</w:t>
      </w:r>
    </w:p>
    <w:p>
      <w:pPr>
        <w:spacing w:after="160"/>
      </w:pPr>
      <w:r>
        <w:rPr>
          <w:rFonts w:ascii="Arial" w:cs="Arial" w:eastAsia="Arial" w:hAnsi="Arial"/>
          <w:b/>
          <w:bCs/>
          <w:color w:val="666666"/>
          <w:sz w:val="22"/>
          <w:szCs w:val="22"/>
        </w:rPr>
        <w:t xml:space="preserve">Discovery: </w:t>
      </w:r>
      <w:r>
        <w:rPr>
          <w:rFonts w:ascii="Arial" w:cs="Arial" w:eastAsia="Arial" w:hAnsi="Arial"/>
          <w:color w:val="666666"/>
          <w:sz w:val="22"/>
          <w:szCs w:val="22"/>
        </w:rPr>
        <w:t xml:space="preserve">Facebook post about the workshop, Messenger message from MTCIC, word of mouth</w:t>
      </w:r>
    </w:p>
    <w:p>
      <w:pPr>
        <w:spacing w:after="160"/>
      </w:pPr>
      <w:r>
        <w:rPr>
          <w:rFonts w:ascii="Arial" w:cs="Arial" w:eastAsia="Arial" w:hAnsi="Arial"/>
          <w:b/>
          <w:bCs/>
          <w:color w:val="666666"/>
          <w:sz w:val="22"/>
          <w:szCs w:val="22"/>
        </w:rPr>
        <w:t xml:space="preserve">Support needed: </w:t>
      </w:r>
      <w:r>
        <w:rPr>
          <w:rFonts w:ascii="Arial" w:cs="Arial" w:eastAsia="Arial" w:hAnsi="Arial"/>
          <w:color w:val="666666"/>
          <w:sz w:val="22"/>
          <w:szCs w:val="22"/>
        </w:rPr>
        <w:t xml:space="preserve">3 MTCIC staff, 2 laptops, projector, physical venue.</w:t>
      </w:r>
    </w:p>
    <w:p>
      <w:pPr>
        <w:pStyle w:val="Heading2"/>
        <w:spacing w:after="160" w:before="280"/>
      </w:pPr>
      <w:r>
        <w:rPr>
          <w:rFonts w:ascii="Arial" w:cs="Arial" w:eastAsia="Arial" w:hAnsi="Arial"/>
          <w:b/>
          <w:bCs/>
          <w:color w:val="146151"/>
          <w:sz w:val="26"/>
          <w:szCs w:val="26"/>
        </w:rPr>
        <w:t xml:space="preserve">2.3 Journey C: Organic sharing (the network effect)</w:t>
      </w:r>
    </w:p>
    <w:p>
      <w:pPr>
        <w:spacing w:after="160"/>
      </w:pPr>
      <w:r>
        <w:rPr>
          <w:rFonts w:ascii="Arial" w:cs="Arial" w:eastAsia="Arial" w:hAnsi="Arial"/>
          <w:color w:val="666666"/>
          <w:sz w:val="22"/>
          <w:szCs w:val="22"/>
        </w:rPr>
        <w:t xml:space="preserve">Someone who has re-registered shares the mini site link in a family or business WhatsApp/Messenger group. The OG preview card appears with a compelling image. Others tap it, land on the mini site, and enter Journey A. The WhatsApp shareable cards serve the same purpose for people who share images rather than links.</w:t>
      </w:r>
    </w:p>
    <w:p>
      <w:pPr>
        <w:spacing w:after="80"/>
      </w:pPr>
    </w:p>
    <w:p>
      <w:pPr>
        <w:spacing w:after="160"/>
      </w:pPr>
      <w:r>
        <w:rPr>
          <w:rFonts w:ascii="Arial" w:cs="Arial" w:eastAsia="Arial" w:hAnsi="Arial"/>
          <w:b/>
          <w:bCs/>
          <w:color w:val="666666"/>
          <w:sz w:val="22"/>
          <w:szCs w:val="22"/>
        </w:rPr>
        <w:t xml:space="preserve">Products used: </w:t>
      </w:r>
      <w:r>
        <w:rPr>
          <w:rFonts w:ascii="Arial" w:cs="Arial" w:eastAsia="Arial" w:hAnsi="Arial"/>
          <w:color w:val="666666"/>
          <w:sz w:val="22"/>
          <w:szCs w:val="22"/>
        </w:rPr>
        <w:t xml:space="preserve">OG preview card, WhatsApp cards, mini site link</w:t>
      </w:r>
    </w:p>
    <w:p>
      <w:pPr>
        <w:spacing w:after="160"/>
      </w:pPr>
      <w:r>
        <w:rPr>
          <w:rFonts w:ascii="Arial" w:cs="Arial" w:eastAsia="Arial" w:hAnsi="Arial"/>
          <w:b/>
          <w:bCs/>
          <w:color w:val="666666"/>
          <w:sz w:val="22"/>
          <w:szCs w:val="22"/>
        </w:rPr>
        <w:t xml:space="preserve">Discovery: </w:t>
      </w:r>
      <w:r>
        <w:rPr>
          <w:rFonts w:ascii="Arial" w:cs="Arial" w:eastAsia="Arial" w:hAnsi="Arial"/>
          <w:color w:val="666666"/>
          <w:sz w:val="22"/>
          <w:szCs w:val="22"/>
        </w:rPr>
        <w:t xml:space="preserve">Peer-to-peer sharing. No MTCIC action required.</w:t>
      </w:r>
    </w:p>
    <w:p>
      <w:pPr>
        <w:spacing w:after="160"/>
      </w:pPr>
      <w:r>
        <w:rPr>
          <w:rFonts w:ascii="Arial" w:cs="Arial" w:eastAsia="Arial" w:hAnsi="Arial"/>
          <w:b/>
          <w:bCs/>
          <w:color w:val="666666"/>
          <w:sz w:val="22"/>
          <w:szCs w:val="22"/>
        </w:rPr>
        <w:t xml:space="preserve">Support needed: </w:t>
      </w:r>
      <w:r>
        <w:rPr>
          <w:rFonts w:ascii="Arial" w:cs="Arial" w:eastAsia="Arial" w:hAnsi="Arial"/>
          <w:color w:val="666666"/>
          <w:sz w:val="22"/>
          <w:szCs w:val="22"/>
        </w:rPr>
        <w:t xml:space="preserve">None. Relies on the initial critical mass of people completing Journey A or B.</w:t>
      </w:r>
    </w:p>
    <w:p>
      <w:r>
        <w:br w:type="page"/>
      </w:r>
    </w:p>
    <w:p>
      <w:pPr>
        <w:pStyle w:val="Heading1"/>
        <w:spacing w:after="200" w:before="360"/>
      </w:pPr>
      <w:r>
        <w:rPr>
          <w:rFonts w:ascii="Arial" w:cs="Arial" w:eastAsia="Arial" w:hAnsi="Arial"/>
          <w:b/>
          <w:bCs/>
          <w:color w:val="146151"/>
          <w:sz w:val="32"/>
          <w:szCs w:val="32"/>
        </w:rPr>
        <w:t xml:space="preserve">3. Gaps</w:t>
      </w:r>
    </w:p>
    <w:p>
      <w:pPr>
        <w:pStyle w:val="Heading2"/>
        <w:spacing w:after="160" w:before="280"/>
      </w:pPr>
      <w:r>
        <w:rPr>
          <w:rFonts w:ascii="Arial" w:cs="Arial" w:eastAsia="Arial" w:hAnsi="Arial"/>
          <w:b/>
          <w:bCs/>
          <w:color w:val="146151"/>
          <w:sz w:val="26"/>
          <w:szCs w:val="26"/>
        </w:rPr>
        <w:t xml:space="preserve">3.1 Missing products</w:t>
      </w:r>
    </w:p>
    <w:p>
      <w:pPr>
        <w:spacing w:after="80"/>
      </w:pPr>
    </w:p>
    <w:p>
      <w:pPr>
        <w:spacing w:after="120" w:before="200"/>
      </w:pPr>
      <w:r>
        <w:rPr>
          <w:rFonts w:ascii="Arial" w:cs="Arial" w:eastAsia="Arial" w:hAnsi="Arial"/>
          <w:b/>
          <w:bCs/>
          <w:color w:val="333333"/>
          <w:sz w:val="22"/>
          <w:szCs w:val="22"/>
        </w:rPr>
        <w:t xml:space="preserve">Company walkthrough guide</w:t>
      </w:r>
    </w:p>
    <w:p>
      <w:pPr>
        <w:spacing w:after="160"/>
      </w:pPr>
      <w:r>
        <w:rPr>
          <w:rFonts w:ascii="Arial" w:cs="Arial" w:eastAsia="Arial" w:hAnsi="Arial"/>
          <w:color w:val="666666"/>
          <w:sz w:val="22"/>
          <w:szCs w:val="22"/>
        </w:rPr>
        <w:t xml:space="preserve">The BN walkthrough exists and works well. The company equivalent does not exist yet. Given that company re-registration is more complex (directors, shareholders, constitution choice), this is arguably more needed than the BN version. Without it, company directors using the mini site’s “Show me how” buttons will have nowhere to go.</w:t>
      </w:r>
    </w:p>
    <w:p>
      <w:pPr>
        <w:spacing w:after="160"/>
      </w:pPr>
      <w:r>
        <w:rPr>
          <w:rFonts w:ascii="Arial" w:cs="Arial" w:eastAsia="Arial" w:hAnsi="Arial"/>
          <w:b/>
          <w:bCs/>
          <w:color w:val="A3262A"/>
          <w:sz w:val="22"/>
          <w:szCs w:val="22"/>
        </w:rPr>
        <w:t xml:space="preserve">Priority: High. </w:t>
      </w:r>
      <w:r>
        <w:rPr>
          <w:rFonts w:ascii="Arial" w:cs="Arial" w:eastAsia="Arial" w:hAnsi="Arial"/>
          <w:color w:val="666666"/>
          <w:sz w:val="22"/>
          <w:szCs w:val="22"/>
        </w:rPr>
        <w:t xml:space="preserve">Blocks the company self-service journey.</w:t>
      </w:r>
    </w:p>
    <w:p>
      <w:pPr>
        <w:spacing w:after="80"/>
      </w:pPr>
    </w:p>
    <w:p>
      <w:pPr>
        <w:spacing w:after="120" w:before="200"/>
      </w:pPr>
      <w:r>
        <w:rPr>
          <w:rFonts w:ascii="Arial" w:cs="Arial" w:eastAsia="Arial" w:hAnsi="Arial"/>
          <w:b/>
          <w:bCs/>
          <w:color w:val="333333"/>
          <w:sz w:val="22"/>
          <w:szCs w:val="22"/>
        </w:rPr>
        <w:t xml:space="preserve">Letter of authority template</w:t>
      </w:r>
    </w:p>
    <w:p>
      <w:pPr>
        <w:spacing w:after="160"/>
      </w:pPr>
      <w:r>
        <w:rPr>
          <w:rFonts w:ascii="Arial" w:cs="Arial" w:eastAsia="Arial" w:hAnsi="Arial"/>
          <w:color w:val="666666"/>
          <w:sz w:val="22"/>
          <w:szCs w:val="22"/>
        </w:rPr>
        <w:t xml:space="preserve">Agents and employees need a letter signed by the owner or director, plus the owner’s/director’s photo ID. There is no standard template for this letter. Without one, agents will either write something that MTCIC rejects (wrong format, missing information) or not know what to write at all.</w:t>
      </w:r>
    </w:p>
    <w:p>
      <w:pPr>
        <w:spacing w:after="160"/>
      </w:pPr>
      <w:r>
        <w:rPr>
          <w:rFonts w:ascii="Arial" w:cs="Arial" w:eastAsia="Arial" w:hAnsi="Arial"/>
          <w:b/>
          <w:bCs/>
          <w:color w:val="92400E"/>
          <w:sz w:val="22"/>
          <w:szCs w:val="22"/>
        </w:rPr>
        <w:t xml:space="preserve">Priority: Medium. </w:t>
      </w:r>
      <w:r>
        <w:rPr>
          <w:rFonts w:ascii="Arial" w:cs="Arial" w:eastAsia="Arial" w:hAnsi="Arial"/>
          <w:color w:val="666666"/>
          <w:sz w:val="22"/>
          <w:szCs w:val="22"/>
        </w:rPr>
        <w:t xml:space="preserve">Small number of users affected but complete blocker for those users.</w:t>
      </w:r>
    </w:p>
    <w:p>
      <w:pPr>
        <w:spacing w:after="80"/>
      </w:pPr>
    </w:p>
    <w:p>
      <w:pPr>
        <w:spacing w:after="120" w:before="200"/>
      </w:pPr>
      <w:r>
        <w:rPr>
          <w:rFonts w:ascii="Arial" w:cs="Arial" w:eastAsia="Arial" w:hAnsi="Arial"/>
          <w:b/>
          <w:bCs/>
          <w:color w:val="333333"/>
          <w:sz w:val="22"/>
          <w:szCs w:val="22"/>
        </w:rPr>
        <w:t xml:space="preserve">I-Kiribati translation</w:t>
      </w:r>
    </w:p>
    <w:p>
      <w:pPr>
        <w:spacing w:after="160"/>
      </w:pPr>
      <w:r>
        <w:rPr>
          <w:rFonts w:ascii="Arial" w:cs="Arial" w:eastAsia="Arial" w:hAnsi="Arial"/>
          <w:color w:val="666666"/>
          <w:sz w:val="22"/>
          <w:szCs w:val="22"/>
        </w:rPr>
        <w:t xml:space="preserve">Every product currently has English text with placeholder brackets for I-Kiribati translations. None of the translations have been done. For the self-service journey, this limits reach to English-literate users. For the workshop journey, the facilitator can translate verbally. For the social assets, the WhatsApp cards have bilingual placeholders but the actual translations need a native speaker.</w:t>
      </w:r>
    </w:p>
    <w:p>
      <w:pPr>
        <w:spacing w:after="160"/>
      </w:pPr>
      <w:r>
        <w:rPr>
          <w:rFonts w:ascii="Arial" w:cs="Arial" w:eastAsia="Arial" w:hAnsi="Arial"/>
          <w:b/>
          <w:bCs/>
          <w:color w:val="92400E"/>
          <w:sz w:val="22"/>
          <w:szCs w:val="22"/>
        </w:rPr>
        <w:t xml:space="preserve">Priority: High for social assets. Medium for mini site and event page. </w:t>
      </w:r>
      <w:r>
        <w:rPr>
          <w:rFonts w:ascii="Arial" w:cs="Arial" w:eastAsia="Arial" w:hAnsi="Arial"/>
          <w:color w:val="666666"/>
          <w:sz w:val="22"/>
          <w:szCs w:val="22"/>
        </w:rPr>
        <w:t xml:space="preserve">Translation requires a native I-Kiribati speaker, not a technical task.</w:t>
      </w:r>
    </w:p>
    <w:p>
      <w:pPr>
        <w:spacing w:after="80"/>
      </w:pPr>
    </w:p>
    <w:p>
      <w:pPr>
        <w:spacing w:after="120" w:before="200"/>
      </w:pPr>
      <w:r>
        <w:rPr>
          <w:rFonts w:ascii="Arial" w:cs="Arial" w:eastAsia="Arial" w:hAnsi="Arial"/>
          <w:b/>
          <w:bCs/>
          <w:color w:val="333333"/>
          <w:sz w:val="22"/>
          <w:szCs w:val="22"/>
        </w:rPr>
        <w:t xml:space="preserve">Videos</w:t>
      </w:r>
    </w:p>
    <w:p>
      <w:pPr>
        <w:spacing w:after="160"/>
      </w:pPr>
      <w:r>
        <w:rPr>
          <w:rFonts w:ascii="Arial" w:cs="Arial" w:eastAsia="Arial" w:hAnsi="Arial"/>
          <w:color w:val="666666"/>
          <w:sz w:val="22"/>
          <w:szCs w:val="22"/>
        </w:rPr>
        <w:t xml:space="preserve">The comms pack includes scripts for three screen-recording videos. The scripts are written but the videos have not been recorded. Video is the most effective format for Facebook and Messenger in the Pacific — people watch rather than read. Without the videos, the Facebook campaign relies entirely on static posts and cards, which are less engaging.</w:t>
      </w:r>
    </w:p>
    <w:p>
      <w:pPr>
        <w:spacing w:after="160"/>
      </w:pPr>
      <w:r>
        <w:rPr>
          <w:rFonts w:ascii="Arial" w:cs="Arial" w:eastAsia="Arial" w:hAnsi="Arial"/>
          <w:b/>
          <w:bCs/>
          <w:color w:val="92400E"/>
          <w:sz w:val="22"/>
          <w:szCs w:val="22"/>
        </w:rPr>
        <w:t xml:space="preserve">Priority: Medium. </w:t>
      </w:r>
      <w:r>
        <w:rPr>
          <w:rFonts w:ascii="Arial" w:cs="Arial" w:eastAsia="Arial" w:hAnsi="Arial"/>
          <w:color w:val="666666"/>
          <w:sz w:val="22"/>
          <w:szCs w:val="22"/>
        </w:rPr>
        <w:t xml:space="preserve">High impact but requires someone to record on a real phone with voiceover.</w:t>
      </w:r>
    </w:p>
    <w:p>
      <w:pPr>
        <w:spacing w:after="80"/>
      </w:pPr>
    </w:p>
    <w:p>
      <w:pPr>
        <w:pStyle w:val="Heading2"/>
        <w:spacing w:after="160" w:before="280"/>
      </w:pPr>
      <w:r>
        <w:rPr>
          <w:rFonts w:ascii="Arial" w:cs="Arial" w:eastAsia="Arial" w:hAnsi="Arial"/>
          <w:b/>
          <w:bCs/>
          <w:color w:val="146151"/>
          <w:sz w:val="26"/>
          <w:szCs w:val="26"/>
        </w:rPr>
        <w:t xml:space="preserve">3.2 Dependencies and risks</w:t>
      </w:r>
    </w:p>
    <w:p>
      <w:pPr>
        <w:spacing w:after="80"/>
      </w:pPr>
    </w:p>
    <w:p>
      <w:pPr>
        <w:spacing w:after="120" w:before="200"/>
      </w:pPr>
      <w:r>
        <w:rPr>
          <w:rFonts w:ascii="Arial" w:cs="Arial" w:eastAsia="Arial" w:hAnsi="Arial"/>
          <w:b/>
          <w:bCs/>
          <w:color w:val="333333"/>
          <w:sz w:val="22"/>
          <w:szCs w:val="22"/>
        </w:rPr>
        <w:t xml:space="preserve">Paradigm Apps hosting</w:t>
      </w:r>
    </w:p>
    <w:p>
      <w:pPr>
        <w:spacing w:after="160"/>
      </w:pPr>
      <w:r>
        <w:rPr>
          <w:rFonts w:ascii="Arial" w:cs="Arial" w:eastAsia="Arial" w:hAnsi="Arial"/>
          <w:color w:val="666666"/>
          <w:sz w:val="22"/>
          <w:szCs w:val="22"/>
        </w:rPr>
        <w:t xml:space="preserve">The mini site, event pages, walkthrough guides, and letter of authority template all need to be hosted on business.gov.ki to maintain trust and link consistency. This requires Paradigm Apps to upload and serve static HTML files on their CMS. If Paradigm is slow to action this, everything is delayed regardless of how ready the files are. Alternative: host on a subdomain or GitHub Pages as a fallback, but this breaks the single-domain trust model.</w:t>
      </w:r>
    </w:p>
    <w:p>
      <w:pPr>
        <w:spacing w:after="160"/>
      </w:pPr>
      <w:r>
        <w:rPr>
          <w:rFonts w:ascii="Arial" w:cs="Arial" w:eastAsia="Arial" w:hAnsi="Arial"/>
          <w:b/>
          <w:bCs/>
          <w:color w:val="A3262A"/>
          <w:sz w:val="22"/>
          <w:szCs w:val="22"/>
        </w:rPr>
        <w:t xml:space="preserve">Risk: High. </w:t>
      </w:r>
      <w:r>
        <w:rPr>
          <w:rFonts w:ascii="Arial" w:cs="Arial" w:eastAsia="Arial" w:hAnsi="Arial"/>
          <w:color w:val="666666"/>
          <w:sz w:val="22"/>
          <w:szCs w:val="22"/>
        </w:rPr>
        <w:t xml:space="preserve">Single point of failure for deployment.</w:t>
      </w:r>
    </w:p>
    <w:p>
      <w:pPr>
        <w:spacing w:after="80"/>
      </w:pPr>
    </w:p>
    <w:p>
      <w:pPr>
        <w:spacing w:after="120" w:before="200"/>
      </w:pPr>
      <w:r>
        <w:rPr>
          <w:rFonts w:ascii="Arial" w:cs="Arial" w:eastAsia="Arial" w:hAnsi="Arial"/>
          <w:b/>
          <w:bCs/>
          <w:color w:val="333333"/>
          <w:sz w:val="22"/>
          <w:szCs w:val="22"/>
        </w:rPr>
        <w:t xml:space="preserve">Google Sheet for event registrations</w:t>
      </w:r>
    </w:p>
    <w:p>
      <w:pPr>
        <w:spacing w:after="160"/>
      </w:pPr>
      <w:r>
        <w:rPr>
          <w:rFonts w:ascii="Arial" w:cs="Arial" w:eastAsia="Arial" w:hAnsi="Arial"/>
          <w:color w:val="666666"/>
          <w:sz w:val="22"/>
          <w:szCs w:val="22"/>
        </w:rPr>
        <w:t xml:space="preserve">The workshop event page needs somewhere to send registration data. The proposed solution is a lightweight Cloudflare Worker that receives form submissions and appends them to a Google Sheet. This requires: a Cloudflare account, a Google Sheet with the correct structure, and a service account for Sheet API access. None of these exist yet. The fallback (linking to a Google Form) works but breaks the visual continuity of the event page.</w:t>
      </w:r>
    </w:p>
    <w:p>
      <w:pPr>
        <w:spacing w:after="160"/>
      </w:pPr>
      <w:r>
        <w:rPr>
          <w:rFonts w:ascii="Arial" w:cs="Arial" w:eastAsia="Arial" w:hAnsi="Arial"/>
          <w:b/>
          <w:bCs/>
          <w:color w:val="92400E"/>
          <w:sz w:val="22"/>
          <w:szCs w:val="22"/>
        </w:rPr>
        <w:t xml:space="preserve">Risk: Medium. </w:t>
      </w:r>
      <w:r>
        <w:rPr>
          <w:rFonts w:ascii="Arial" w:cs="Arial" w:eastAsia="Arial" w:hAnsi="Arial"/>
          <w:color w:val="666666"/>
          <w:sz w:val="22"/>
          <w:szCs w:val="22"/>
        </w:rPr>
        <w:t xml:space="preserve">Google Form fallback exists but is less polished.</w:t>
      </w:r>
    </w:p>
    <w:p>
      <w:pPr>
        <w:spacing w:after="80"/>
      </w:pPr>
    </w:p>
    <w:p>
      <w:pPr>
        <w:spacing w:after="120" w:before="200"/>
      </w:pPr>
      <w:r>
        <w:rPr>
          <w:rFonts w:ascii="Arial" w:cs="Arial" w:eastAsia="Arial" w:hAnsi="Arial"/>
          <w:b/>
          <w:bCs/>
          <w:color w:val="333333"/>
          <w:sz w:val="22"/>
          <w:szCs w:val="22"/>
        </w:rPr>
        <w:t xml:space="preserve">MTCIC Facebook page management</w:t>
      </w:r>
    </w:p>
    <w:p>
      <w:pPr>
        <w:spacing w:after="160"/>
      </w:pPr>
      <w:r>
        <w:rPr>
          <w:rFonts w:ascii="Arial" w:cs="Arial" w:eastAsia="Arial" w:hAnsi="Arial"/>
          <w:color w:val="666666"/>
          <w:sz w:val="22"/>
          <w:szCs w:val="22"/>
        </w:rPr>
        <w:t xml:space="preserve">The entire social campaign depends on someone at MTCIC posting content to their official Facebook page on a regular schedule. The campaign timeline specifies eight posts over several months. If nobody at MTCIC is assigned to do this, or if the person assigned leaves or deprioritises it, the campaign doesn’t happen. The posts are written and ready to use — but someone has to actually post them.</w:t>
      </w:r>
    </w:p>
    <w:p>
      <w:pPr>
        <w:spacing w:after="160"/>
      </w:pPr>
      <w:r>
        <w:rPr>
          <w:rFonts w:ascii="Arial" w:cs="Arial" w:eastAsia="Arial" w:hAnsi="Arial"/>
          <w:b/>
          <w:bCs/>
          <w:color w:val="A3262A"/>
          <w:sz w:val="22"/>
          <w:szCs w:val="22"/>
        </w:rPr>
        <w:t xml:space="preserve">Risk: High. </w:t>
      </w:r>
      <w:r>
        <w:rPr>
          <w:rFonts w:ascii="Arial" w:cs="Arial" w:eastAsia="Arial" w:hAnsi="Arial"/>
          <w:color w:val="666666"/>
          <w:sz w:val="22"/>
          <w:szCs w:val="22"/>
        </w:rPr>
        <w:t xml:space="preserve">Institutional, not technical. Cannot be solved with better tools.</w:t>
      </w:r>
    </w:p>
    <w:p>
      <w:pPr>
        <w:spacing w:after="80"/>
      </w:pPr>
    </w:p>
    <w:p>
      <w:pPr>
        <w:spacing w:after="120" w:before="200"/>
      </w:pPr>
      <w:r>
        <w:rPr>
          <w:rFonts w:ascii="Arial" w:cs="Arial" w:eastAsia="Arial" w:hAnsi="Arial"/>
          <w:b/>
          <w:bCs/>
          <w:color w:val="333333"/>
          <w:sz w:val="22"/>
          <w:szCs w:val="22"/>
        </w:rPr>
        <w:t xml:space="preserve">Workshop logistics</w:t>
      </w:r>
    </w:p>
    <w:p>
      <w:pPr>
        <w:spacing w:after="160"/>
      </w:pPr>
      <w:r>
        <w:rPr>
          <w:rFonts w:ascii="Arial" w:cs="Arial" w:eastAsia="Arial" w:hAnsi="Arial"/>
          <w:color w:val="666666"/>
          <w:sz w:val="22"/>
          <w:szCs w:val="22"/>
        </w:rPr>
        <w:t xml:space="preserve">The workshop model requires MTCIC to commit staff time (3 officers per session), secure venues, and coordinate approvals in real time. The staff guide and event pages make this as easy as possible, but the decision to run workshops is an institutional commitment that PSDI cannot make for MTCIC. If workshops don’t happen, Journey B doesn’t exist and the entire outreach toolset is unused.</w:t>
      </w:r>
    </w:p>
    <w:p>
      <w:pPr>
        <w:spacing w:after="160"/>
      </w:pPr>
      <w:r>
        <w:rPr>
          <w:rFonts w:ascii="Arial" w:cs="Arial" w:eastAsia="Arial" w:hAnsi="Arial"/>
          <w:b/>
          <w:bCs/>
          <w:color w:val="A3262A"/>
          <w:sz w:val="22"/>
          <w:szCs w:val="22"/>
        </w:rPr>
        <w:t xml:space="preserve">Risk: High. </w:t>
      </w:r>
      <w:r>
        <w:rPr>
          <w:rFonts w:ascii="Arial" w:cs="Arial" w:eastAsia="Arial" w:hAnsi="Arial"/>
          <w:color w:val="666666"/>
          <w:sz w:val="22"/>
          <w:szCs w:val="22"/>
        </w:rPr>
        <w:t xml:space="preserve">The best workshop tools in the world are useless without workshops.</w:t>
      </w:r>
    </w:p>
    <w:p>
      <w:pPr>
        <w:spacing w:after="80"/>
      </w:pPr>
    </w:p>
    <w:p>
      <w:pPr>
        <w:spacing w:after="120" w:before="200"/>
      </w:pPr>
      <w:r>
        <w:rPr>
          <w:rFonts w:ascii="Arial" w:cs="Arial" w:eastAsia="Arial" w:hAnsi="Arial"/>
          <w:b/>
          <w:bCs/>
          <w:color w:val="333333"/>
          <w:sz w:val="22"/>
          <w:szCs w:val="22"/>
        </w:rPr>
        <w:t xml:space="preserve">Fast-track account approvals</w:t>
      </w:r>
    </w:p>
    <w:p>
      <w:pPr>
        <w:spacing w:after="160"/>
      </w:pPr>
      <w:r>
        <w:rPr>
          <w:rFonts w:ascii="Arial" w:cs="Arial" w:eastAsia="Arial" w:hAnsi="Arial"/>
          <w:color w:val="666666"/>
          <w:sz w:val="22"/>
          <w:szCs w:val="22"/>
        </w:rPr>
        <w:t xml:space="preserve">The single-session workshop model depends on an approving officer processing account and authority requests in real time. If the registry system doesn’t support batch approval or if the approving officer’s admin access is limited, the workshop becomes a two-session process (session 1: create accounts, session 2: complete forms after approval). This is still useful but significantly less effective.</w:t>
      </w:r>
    </w:p>
    <w:p>
      <w:pPr>
        <w:spacing w:after="160"/>
      </w:pPr>
      <w:r>
        <w:rPr>
          <w:rFonts w:ascii="Arial" w:cs="Arial" w:eastAsia="Arial" w:hAnsi="Arial"/>
          <w:b/>
          <w:bCs/>
          <w:color w:val="92400E"/>
          <w:sz w:val="22"/>
          <w:szCs w:val="22"/>
        </w:rPr>
        <w:t xml:space="preserve">Risk: Medium. </w:t>
      </w:r>
      <w:r>
        <w:rPr>
          <w:rFonts w:ascii="Arial" w:cs="Arial" w:eastAsia="Arial" w:hAnsi="Arial"/>
          <w:color w:val="666666"/>
          <w:sz w:val="22"/>
          <w:szCs w:val="22"/>
        </w:rPr>
        <w:t xml:space="preserve">Needs confirmation from Paradigm about admin capabilities.</w:t>
      </w:r>
    </w:p>
    <w:p>
      <w:r>
        <w:br w:type="page"/>
      </w:r>
    </w:p>
    <w:p>
      <w:pPr>
        <w:pStyle w:val="Heading1"/>
        <w:spacing w:after="200" w:before="360"/>
      </w:pPr>
      <w:r>
        <w:rPr>
          <w:rFonts w:ascii="Arial" w:cs="Arial" w:eastAsia="Arial" w:hAnsi="Arial"/>
          <w:b/>
          <w:bCs/>
          <w:color w:val="146151"/>
          <w:sz w:val="32"/>
          <w:szCs w:val="32"/>
        </w:rPr>
        <w:t xml:space="preserve">4. Workability Issues</w:t>
      </w:r>
    </w:p>
    <w:p>
      <w:pPr>
        <w:pStyle w:val="Heading2"/>
        <w:spacing w:after="160" w:before="280"/>
      </w:pPr>
      <w:r>
        <w:rPr>
          <w:rFonts w:ascii="Arial" w:cs="Arial" w:eastAsia="Arial" w:hAnsi="Arial"/>
          <w:b/>
          <w:bCs/>
          <w:color w:val="146151"/>
          <w:sz w:val="26"/>
          <w:szCs w:val="26"/>
        </w:rPr>
        <w:t xml:space="preserve">4.1 Design language inconsistency</w:t>
      </w:r>
    </w:p>
    <w:p>
      <w:pPr>
        <w:spacing w:after="160"/>
      </w:pPr>
      <w:r>
        <w:rPr>
          <w:rFonts w:ascii="Arial" w:cs="Arial" w:eastAsia="Arial" w:hAnsi="Arial"/>
          <w:color w:val="666666"/>
          <w:sz w:val="22"/>
          <w:szCs w:val="22"/>
        </w:rPr>
        <w:t xml:space="preserve">The BN walkthrough guide (guide-reregister-bn.html) uses a warm gold/peach theme from an earlier design session. The mini site, event pages, and facilitator mode all use the form builder’s white/blue/green system. These need to be aligned before deployment. A user who goes from the mini site to the walkthrough should not feel like they’ve landed on a different website.</w:t>
      </w:r>
    </w:p>
    <w:p>
      <w:pPr>
        <w:spacing w:after="160"/>
      </w:pPr>
      <w:r>
        <w:rPr>
          <w:rFonts w:ascii="Arial" w:cs="Arial" w:eastAsia="Arial" w:hAnsi="Arial"/>
          <w:b/>
          <w:bCs/>
          <w:color w:val="666666"/>
          <w:sz w:val="22"/>
          <w:szCs w:val="22"/>
        </w:rPr>
        <w:t xml:space="preserve">Fix: </w:t>
      </w:r>
      <w:r>
        <w:rPr>
          <w:rFonts w:ascii="Arial" w:cs="Arial" w:eastAsia="Arial" w:hAnsi="Arial"/>
          <w:color w:val="666666"/>
          <w:sz w:val="22"/>
          <w:szCs w:val="22"/>
        </w:rPr>
        <w:t xml:space="preserve">Restyle the BN walkthrough to match the mini site design language. Do the same for the company walkthrough when built.</w:t>
      </w:r>
    </w:p>
    <w:p>
      <w:pPr>
        <w:spacing w:after="80"/>
      </w:pPr>
    </w:p>
    <w:p>
      <w:pPr>
        <w:pStyle w:val="Heading2"/>
        <w:spacing w:after="160" w:before="280"/>
      </w:pPr>
      <w:r>
        <w:rPr>
          <w:rFonts w:ascii="Arial" w:cs="Arial" w:eastAsia="Arial" w:hAnsi="Arial"/>
          <w:b/>
          <w:bCs/>
          <w:color w:val="146151"/>
          <w:sz w:val="26"/>
          <w:szCs w:val="26"/>
        </w:rPr>
        <w:t xml:space="preserve">4.2 Too many products for one person to manage</w:t>
      </w:r>
    </w:p>
    <w:p>
      <w:pPr>
        <w:spacing w:after="160"/>
      </w:pPr>
      <w:r>
        <w:rPr>
          <w:rFonts w:ascii="Arial" w:cs="Arial" w:eastAsia="Arial" w:hAnsi="Arial"/>
          <w:color w:val="666666"/>
          <w:sz w:val="22"/>
          <w:szCs w:val="22"/>
        </w:rPr>
        <w:t xml:space="preserve">The inventory includes a mini site, two walkthrough guides, an event page template, a facilitator mode, a staff guide, five WhatsApp cards, an OG preview card, eight Facebook posts, three video scripts, a letter of authority template, and a campaign timeline. For MTCIC, this is a lot to keep track of. There is a risk that some products are deployed while others are forgotten, creating a fragmented user experience.</w:t>
      </w:r>
    </w:p>
    <w:p>
      <w:pPr>
        <w:spacing w:after="160"/>
      </w:pPr>
      <w:r>
        <w:rPr>
          <w:rFonts w:ascii="Arial" w:cs="Arial" w:eastAsia="Arial" w:hAnsi="Arial"/>
          <w:b/>
          <w:bCs/>
          <w:color w:val="666666"/>
          <w:sz w:val="22"/>
          <w:szCs w:val="22"/>
        </w:rPr>
        <w:t xml:space="preserve">Fix: </w:t>
      </w:r>
      <w:r>
        <w:rPr>
          <w:rFonts w:ascii="Arial" w:cs="Arial" w:eastAsia="Arial" w:hAnsi="Arial"/>
          <w:color w:val="666666"/>
          <w:sz w:val="22"/>
          <w:szCs w:val="22"/>
        </w:rPr>
        <w:t xml:space="preserve">Create a single deployment checklist that lists every file, where it goes, and what needs to happen to activate it. Designate one person at MTCIC as the “campaign owner.”</w:t>
      </w:r>
    </w:p>
    <w:p>
      <w:pPr>
        <w:spacing w:after="80"/>
      </w:pPr>
    </w:p>
    <w:p>
      <w:pPr>
        <w:pStyle w:val="Heading2"/>
        <w:spacing w:after="160" w:before="280"/>
      </w:pPr>
      <w:r>
        <w:rPr>
          <w:rFonts w:ascii="Arial" w:cs="Arial" w:eastAsia="Arial" w:hAnsi="Arial"/>
          <w:b/>
          <w:bCs/>
          <w:color w:val="146151"/>
          <w:sz w:val="26"/>
          <w:szCs w:val="26"/>
        </w:rPr>
        <w:t xml:space="preserve">4.3 The event page needs a backend</w:t>
      </w:r>
    </w:p>
    <w:p>
      <w:pPr>
        <w:spacing w:after="160"/>
      </w:pPr>
      <w:r>
        <w:rPr>
          <w:rFonts w:ascii="Arial" w:cs="Arial" w:eastAsia="Arial" w:hAnsi="Arial"/>
          <w:color w:val="666666"/>
          <w:sz w:val="22"/>
          <w:szCs w:val="22"/>
        </w:rPr>
        <w:t xml:space="preserve">The event page preparation wizard is sophisticated and useful, but it requires somewhere to send the data. Unlike the mini site (which is fully client-side), the event page crosses the line into requiring server-side infrastructure. This is a manageable dependency (Cloudflare Worker + Google Sheet) but it’s a dependency nonetheless. If the backend isn’t set up, the wizard collects readiness data that vanishes when the user closes the page.</w:t>
      </w:r>
    </w:p>
    <w:p>
      <w:pPr>
        <w:spacing w:after="160"/>
      </w:pPr>
      <w:r>
        <w:rPr>
          <w:rFonts w:ascii="Arial" w:cs="Arial" w:eastAsia="Arial" w:hAnsi="Arial"/>
          <w:b/>
          <w:bCs/>
          <w:color w:val="666666"/>
          <w:sz w:val="22"/>
          <w:szCs w:val="22"/>
        </w:rPr>
        <w:t xml:space="preserve">Fix: </w:t>
      </w:r>
      <w:r>
        <w:rPr>
          <w:rFonts w:ascii="Arial" w:cs="Arial" w:eastAsia="Arial" w:hAnsi="Arial"/>
          <w:color w:val="666666"/>
          <w:sz w:val="22"/>
          <w:szCs w:val="22"/>
        </w:rPr>
        <w:t xml:space="preserve">If backend setup is delayed, fall back to a Google Form link for registration and use the preparation wizard purely as an information tool (the user sees their readiness summary and checklist but registration happens via the Google Form).</w:t>
      </w:r>
    </w:p>
    <w:p>
      <w:pPr>
        <w:spacing w:after="80"/>
      </w:pPr>
    </w:p>
    <w:p>
      <w:pPr>
        <w:pStyle w:val="Heading2"/>
        <w:spacing w:after="160" w:before="280"/>
      </w:pPr>
      <w:r>
        <w:rPr>
          <w:rFonts w:ascii="Arial" w:cs="Arial" w:eastAsia="Arial" w:hAnsi="Arial"/>
          <w:b/>
          <w:bCs/>
          <w:color w:val="146151"/>
          <w:sz w:val="26"/>
          <w:szCs w:val="26"/>
        </w:rPr>
        <w:t xml:space="preserve">4.4 Outer islands</w:t>
      </w:r>
    </w:p>
    <w:p>
      <w:pPr>
        <w:spacing w:after="160"/>
      </w:pPr>
      <w:r>
        <w:rPr>
          <w:rFonts w:ascii="Arial" w:cs="Arial" w:eastAsia="Arial" w:hAnsi="Arial"/>
          <w:color w:val="666666"/>
          <w:sz w:val="22"/>
          <w:szCs w:val="22"/>
        </w:rPr>
        <w:t xml:space="preserve">Everything we’ve built assumes a smartphone with internet access. For South Tarawa, this is reasonable. For outer islands, internet connectivity is intermittent and expensive. The workshop model is the primary mechanism for reaching outer island businesses, but running workshops on outer islands requires MTCIC staff to travel — which is costly and logistically complex. The self-service tools are unlikely to reach people on islands with limited connectivity.</w:t>
      </w:r>
    </w:p>
    <w:p>
      <w:pPr>
        <w:spacing w:after="160"/>
      </w:pPr>
      <w:r>
        <w:rPr>
          <w:rFonts w:ascii="Arial" w:cs="Arial" w:eastAsia="Arial" w:hAnsi="Arial"/>
          <w:b/>
          <w:bCs/>
          <w:color w:val="666666"/>
          <w:sz w:val="22"/>
          <w:szCs w:val="22"/>
        </w:rPr>
        <w:t xml:space="preserve">Fix: </w:t>
      </w:r>
      <w:r>
        <w:rPr>
          <w:rFonts w:ascii="Arial" w:cs="Arial" w:eastAsia="Arial" w:hAnsi="Arial"/>
          <w:color w:val="666666"/>
          <w:sz w:val="22"/>
          <w:szCs w:val="22"/>
        </w:rPr>
        <w:t xml:space="preserve">Prioritise South Tarawa workshops first (where most businesses are registered). For outer islands, consider radio announcements directing people to call or visit the MTCIC office, rather than relying on digital tools. The letter of authority template becomes especially important for outer island agents who may be acting on behalf of business owners who cannot attend in person.</w:t>
      </w:r>
    </w:p>
    <w:p>
      <w:pPr>
        <w:spacing w:after="80"/>
      </w:pPr>
    </w:p>
    <w:p>
      <w:pPr>
        <w:pStyle w:val="Heading2"/>
        <w:spacing w:after="160" w:before="280"/>
      </w:pPr>
      <w:r>
        <w:rPr>
          <w:rFonts w:ascii="Arial" w:cs="Arial" w:eastAsia="Arial" w:hAnsi="Arial"/>
          <w:b/>
          <w:bCs/>
          <w:color w:val="146151"/>
          <w:sz w:val="26"/>
          <w:szCs w:val="26"/>
        </w:rPr>
        <w:t xml:space="preserve">4.5 Company form complexity</w:t>
      </w:r>
    </w:p>
    <w:p>
      <w:pPr>
        <w:spacing w:after="160"/>
      </w:pPr>
      <w:r>
        <w:rPr>
          <w:rFonts w:ascii="Arial" w:cs="Arial" w:eastAsia="Arial" w:hAnsi="Arial"/>
          <w:color w:val="666666"/>
          <w:sz w:val="22"/>
          <w:szCs w:val="22"/>
        </w:rPr>
        <w:t xml:space="preserve">The company re-registration form (CO-0) is significantly more complex than BN-0. Directors, shareholders, share allocations, and constitution choice require explanatory content that doesn’t exist in the current form builder. At a workshop, the facilitator can explain these concepts verbally. In the self-service journey, the user is on their own. The mini site’s step cards say “Complete form CO-0” but don’t prepare the user for the complexity they’ll encounter.</w:t>
      </w:r>
    </w:p>
    <w:p>
      <w:pPr>
        <w:spacing w:after="160"/>
      </w:pPr>
      <w:r>
        <w:rPr>
          <w:rFonts w:ascii="Arial" w:cs="Arial" w:eastAsia="Arial" w:hAnsi="Arial"/>
          <w:b/>
          <w:bCs/>
          <w:color w:val="666666"/>
          <w:sz w:val="22"/>
          <w:szCs w:val="22"/>
        </w:rPr>
        <w:t xml:space="preserve">Fix: </w:t>
      </w:r>
      <w:r>
        <w:rPr>
          <w:rFonts w:ascii="Arial" w:cs="Arial" w:eastAsia="Arial" w:hAnsi="Arial"/>
          <w:color w:val="666666"/>
          <w:sz w:val="22"/>
          <w:szCs w:val="22"/>
        </w:rPr>
        <w:t xml:space="preserve">Consider adding contextual help to the CO form builder at key decision points (constitution choice, share structure). This is form builder work, not comms work, but it affects the usability of the self-service journey.</w:t>
      </w:r>
    </w:p>
    <w:p>
      <w:r>
        <w:br w:type="page"/>
      </w:r>
    </w:p>
    <w:p>
      <w:pPr>
        <w:pStyle w:val="Heading1"/>
        <w:spacing w:after="200" w:before="360"/>
      </w:pPr>
      <w:r>
        <w:rPr>
          <w:rFonts w:ascii="Arial" w:cs="Arial" w:eastAsia="Arial" w:hAnsi="Arial"/>
          <w:b/>
          <w:bCs/>
          <w:color w:val="146151"/>
          <w:sz w:val="32"/>
          <w:szCs w:val="32"/>
        </w:rPr>
        <w:t xml:space="preserve">5. Recommended Priorities</w:t>
      </w:r>
    </w:p>
    <w:p>
      <w:pPr>
        <w:spacing w:after="160"/>
      </w:pPr>
      <w:r>
        <w:rPr>
          <w:rFonts w:ascii="Arial" w:cs="Arial" w:eastAsia="Arial" w:hAnsi="Arial"/>
          <w:color w:val="666666"/>
          <w:sz w:val="22"/>
          <w:szCs w:val="22"/>
        </w:rPr>
        <w:t xml:space="preserve">Not everything needs to be done at once. The following order maximises impact while managing dependencies.</w:t>
      </w:r>
    </w:p>
    <w:p>
      <w:pPr>
        <w:spacing w:after="80"/>
      </w:pPr>
    </w:p>
    <w:p>
      <w:pPr>
        <w:pStyle w:val="Heading2"/>
        <w:spacing w:after="160" w:before="280"/>
      </w:pPr>
      <w:r>
        <w:rPr>
          <w:rFonts w:ascii="Arial" w:cs="Arial" w:eastAsia="Arial" w:hAnsi="Arial"/>
          <w:b/>
          <w:bCs/>
          <w:color w:val="146151"/>
          <w:sz w:val="26"/>
          <w:szCs w:val="26"/>
        </w:rPr>
        <w:t xml:space="preserve">Phase 1: Deploy the self-service journey</w:t>
      </w:r>
    </w:p>
    <w:p>
      <w:pPr>
        <w:spacing w:after="160"/>
      </w:pPr>
      <w:r>
        <w:rPr>
          <w:rFonts w:ascii="Arial" w:cs="Arial" w:eastAsia="Arial" w:hAnsi="Arial"/>
          <w:color w:val="666666"/>
          <w:sz w:val="22"/>
          <w:szCs w:val="22"/>
        </w:rPr>
        <w:t xml:space="preserve">Get the mini site, the BN walkthrough (restyled), and the letter of authority template hosted on business.gov.ki. Configure the OG meta tags so link sharing works. This gives Journey A everything it needs. The mini site can go live before the workshops, the Facebook campaign, or the company walkthrough exist.</w:t>
      </w:r>
    </w:p>
    <w:p>
      <w:pPr>
        <w:spacing w:after="80"/>
      </w:pPr>
    </w:p>
    <w:p>
      <w:pPr>
        <w:pStyle w:val="ListParagraph"/>
        <w:numPr>
          <w:ilvl w:val="0"/>
          <w:numId w:val="2"/>
        </w:numPr>
        <w:spacing w:after="80"/>
      </w:pPr>
      <w:r>
        <w:rPr>
          <w:rFonts w:ascii="Arial" w:cs="Arial" w:eastAsia="Arial" w:hAnsi="Arial"/>
          <w:color w:val="666666"/>
          <w:sz w:val="22"/>
          <w:szCs w:val="22"/>
        </w:rPr>
        <w:t xml:space="preserve">Finalise and deploy rereg-guide.html (mini site)</w:t>
      </w:r>
    </w:p>
    <w:p>
      <w:pPr>
        <w:pStyle w:val="ListParagraph"/>
        <w:numPr>
          <w:ilvl w:val="0"/>
          <w:numId w:val="2"/>
        </w:numPr>
        <w:spacing w:after="80"/>
      </w:pPr>
      <w:r>
        <w:rPr>
          <w:rFonts w:ascii="Arial" w:cs="Arial" w:eastAsia="Arial" w:hAnsi="Arial"/>
          <w:color w:val="666666"/>
          <w:sz w:val="22"/>
          <w:szCs w:val="22"/>
        </w:rPr>
        <w:t xml:space="preserve">Restyle guide-reregister-bn.html to match mini site design language</w:t>
      </w:r>
    </w:p>
    <w:p>
      <w:pPr>
        <w:pStyle w:val="ListParagraph"/>
        <w:numPr>
          <w:ilvl w:val="0"/>
          <w:numId w:val="2"/>
        </w:numPr>
        <w:spacing w:after="80"/>
      </w:pPr>
      <w:r>
        <w:rPr>
          <w:rFonts w:ascii="Arial" w:cs="Arial" w:eastAsia="Arial" w:hAnsi="Arial"/>
          <w:color w:val="666666"/>
          <w:sz w:val="22"/>
          <w:szCs w:val="22"/>
        </w:rPr>
        <w:t xml:space="preserve">Build and deploy letter-of-authority.pdf</w:t>
      </w:r>
    </w:p>
    <w:p>
      <w:pPr>
        <w:pStyle w:val="ListParagraph"/>
        <w:numPr>
          <w:ilvl w:val="0"/>
          <w:numId w:val="2"/>
        </w:numPr>
        <w:spacing w:after="80"/>
      </w:pPr>
      <w:r>
        <w:rPr>
          <w:rFonts w:ascii="Arial" w:cs="Arial" w:eastAsia="Arial" w:hAnsi="Arial"/>
          <w:color w:val="666666"/>
          <w:sz w:val="22"/>
          <w:szCs w:val="22"/>
        </w:rPr>
        <w:t xml:space="preserve">Confirm OG preview card image is hosted and meta tags are correct</w:t>
      </w:r>
    </w:p>
    <w:p>
      <w:pPr>
        <w:pStyle w:val="ListParagraph"/>
        <w:numPr>
          <w:ilvl w:val="0"/>
          <w:numId w:val="2"/>
        </w:numPr>
        <w:spacing w:after="80"/>
      </w:pPr>
      <w:r>
        <w:rPr>
          <w:rFonts w:ascii="Arial" w:cs="Arial" w:eastAsia="Arial" w:hAnsi="Arial"/>
          <w:color w:val="666666"/>
          <w:sz w:val="22"/>
          <w:szCs w:val="22"/>
        </w:rPr>
        <w:t xml:space="preserve">Test link sharing on Facebook and Messenger</w:t>
      </w:r>
    </w:p>
    <w:p>
      <w:pPr>
        <w:spacing w:after="80"/>
      </w:pPr>
    </w:p>
    <w:p>
      <w:pPr>
        <w:pStyle w:val="Heading2"/>
        <w:spacing w:after="160" w:before="280"/>
      </w:pPr>
      <w:r>
        <w:rPr>
          <w:rFonts w:ascii="Arial" w:cs="Arial" w:eastAsia="Arial" w:hAnsi="Arial"/>
          <w:b/>
          <w:bCs/>
          <w:color w:val="146151"/>
          <w:sz w:val="26"/>
          <w:szCs w:val="26"/>
        </w:rPr>
        <w:t xml:space="preserve">Phase 2: Launch the social campaign</w:t>
      </w:r>
    </w:p>
    <w:p>
      <w:pPr>
        <w:spacing w:after="160"/>
      </w:pPr>
      <w:r>
        <w:rPr>
          <w:rFonts w:ascii="Arial" w:cs="Arial" w:eastAsia="Arial" w:hAnsi="Arial"/>
          <w:color w:val="666666"/>
          <w:sz w:val="22"/>
          <w:szCs w:val="22"/>
        </w:rPr>
        <w:t xml:space="preserve">Once the mini site is live and link sharing works, start the Facebook posts. This creates the initial traffic that drives Journey A and seeds Journey C (organic sharing). Post 1 (launch announcement) can go immediately. The remaining posts follow the campaign timeline.</w:t>
      </w:r>
    </w:p>
    <w:p>
      <w:pPr>
        <w:spacing w:after="80"/>
      </w:pPr>
    </w:p>
    <w:p>
      <w:pPr>
        <w:pStyle w:val="ListParagraph"/>
        <w:numPr>
          <w:ilvl w:val="0"/>
          <w:numId w:val="2"/>
        </w:numPr>
        <w:spacing w:after="80"/>
      </w:pPr>
      <w:r>
        <w:rPr>
          <w:rFonts w:ascii="Arial" w:cs="Arial" w:eastAsia="Arial" w:hAnsi="Arial"/>
          <w:color w:val="666666"/>
          <w:sz w:val="22"/>
          <w:szCs w:val="22"/>
        </w:rPr>
        <w:t xml:space="preserve">Post the launch announcement on MTCIC Facebook page</w:t>
      </w:r>
    </w:p>
    <w:p>
      <w:pPr>
        <w:pStyle w:val="ListParagraph"/>
        <w:numPr>
          <w:ilvl w:val="0"/>
          <w:numId w:val="2"/>
        </w:numPr>
        <w:spacing w:after="80"/>
      </w:pPr>
      <w:r>
        <w:rPr>
          <w:rFonts w:ascii="Arial" w:cs="Arial" w:eastAsia="Arial" w:hAnsi="Arial"/>
          <w:color w:val="666666"/>
          <w:sz w:val="22"/>
          <w:szCs w:val="22"/>
        </w:rPr>
        <w:t xml:space="preserve">Share the link in local business groups and via Messenger</w:t>
      </w:r>
    </w:p>
    <w:p>
      <w:pPr>
        <w:pStyle w:val="ListParagraph"/>
        <w:numPr>
          <w:ilvl w:val="0"/>
          <w:numId w:val="2"/>
        </w:numPr>
        <w:spacing w:after="80"/>
      </w:pPr>
      <w:r>
        <w:rPr>
          <w:rFonts w:ascii="Arial" w:cs="Arial" w:eastAsia="Arial" w:hAnsi="Arial"/>
          <w:color w:val="666666"/>
          <w:sz w:val="22"/>
          <w:szCs w:val="22"/>
        </w:rPr>
        <w:t xml:space="preserve">Share WhatsApp cards through known business contacts</w:t>
      </w:r>
    </w:p>
    <w:p>
      <w:pPr>
        <w:pStyle w:val="ListParagraph"/>
        <w:numPr>
          <w:ilvl w:val="0"/>
          <w:numId w:val="2"/>
        </w:numPr>
        <w:spacing w:after="80"/>
      </w:pPr>
      <w:r>
        <w:rPr>
          <w:rFonts w:ascii="Arial" w:cs="Arial" w:eastAsia="Arial" w:hAnsi="Arial"/>
          <w:color w:val="666666"/>
          <w:sz w:val="22"/>
          <w:szCs w:val="22"/>
        </w:rPr>
        <w:t xml:space="preserve">Commission I-Kiribati translations for the social assets (cards and key Facebook post text)</w:t>
      </w:r>
    </w:p>
    <w:p>
      <w:pPr>
        <w:spacing w:after="80"/>
      </w:pPr>
    </w:p>
    <w:p>
      <w:pPr>
        <w:pStyle w:val="Heading2"/>
        <w:spacing w:after="160" w:before="280"/>
      </w:pPr>
      <w:r>
        <w:rPr>
          <w:rFonts w:ascii="Arial" w:cs="Arial" w:eastAsia="Arial" w:hAnsi="Arial"/>
          <w:b/>
          <w:bCs/>
          <w:color w:val="146151"/>
          <w:sz w:val="26"/>
          <w:szCs w:val="26"/>
        </w:rPr>
        <w:t xml:space="preserve">Phase 3: Build the company walkthrough</w:t>
      </w:r>
    </w:p>
    <w:p>
      <w:pPr>
        <w:spacing w:after="160"/>
      </w:pPr>
      <w:r>
        <w:rPr>
          <w:rFonts w:ascii="Arial" w:cs="Arial" w:eastAsia="Arial" w:hAnsi="Arial"/>
          <w:color w:val="666666"/>
          <w:sz w:val="22"/>
          <w:szCs w:val="22"/>
        </w:rPr>
        <w:t xml:space="preserve">Adapt the BN walkthrough for companies. This completes the self-service journey for all entity types. The mini site already handles companies in its wizard and plan — the missing piece is the “Show me how” destination.</w:t>
      </w:r>
    </w:p>
    <w:p>
      <w:pPr>
        <w:spacing w:after="80"/>
      </w:pPr>
    </w:p>
    <w:p>
      <w:pPr>
        <w:pStyle w:val="ListParagraph"/>
        <w:numPr>
          <w:ilvl w:val="0"/>
          <w:numId w:val="2"/>
        </w:numPr>
        <w:spacing w:after="80"/>
      </w:pPr>
      <w:r>
        <w:rPr>
          <w:rFonts w:ascii="Arial" w:cs="Arial" w:eastAsia="Arial" w:hAnsi="Arial"/>
          <w:color w:val="666666"/>
          <w:sz w:val="22"/>
          <w:szCs w:val="22"/>
        </w:rPr>
        <w:t xml:space="preserve">Duplicate BN walkthrough and adapt content for CO-0</w:t>
      </w:r>
    </w:p>
    <w:p>
      <w:pPr>
        <w:pStyle w:val="ListParagraph"/>
        <w:numPr>
          <w:ilvl w:val="0"/>
          <w:numId w:val="2"/>
        </w:numPr>
        <w:spacing w:after="80"/>
      </w:pPr>
      <w:r>
        <w:rPr>
          <w:rFonts w:ascii="Arial" w:cs="Arial" w:eastAsia="Arial" w:hAnsi="Arial"/>
          <w:color w:val="666666"/>
          <w:sz w:val="22"/>
          <w:szCs w:val="22"/>
        </w:rPr>
        <w:t xml:space="preserve">Add company-specific screens (directors, shareholders, constitution)</w:t>
      </w:r>
    </w:p>
    <w:p>
      <w:pPr>
        <w:pStyle w:val="ListParagraph"/>
        <w:numPr>
          <w:ilvl w:val="0"/>
          <w:numId w:val="2"/>
        </w:numPr>
        <w:spacing w:after="80"/>
      </w:pPr>
      <w:r>
        <w:rPr>
          <w:rFonts w:ascii="Arial" w:cs="Arial" w:eastAsia="Arial" w:hAnsi="Arial"/>
          <w:color w:val="666666"/>
          <w:sz w:val="22"/>
          <w:szCs w:val="22"/>
        </w:rPr>
        <w:t xml:space="preserve">Link from the mini site’s company step cards</w:t>
      </w:r>
    </w:p>
    <w:p>
      <w:pPr>
        <w:spacing w:after="80"/>
      </w:pPr>
    </w:p>
    <w:p>
      <w:pPr>
        <w:pStyle w:val="Heading2"/>
        <w:spacing w:after="160" w:before="280"/>
      </w:pPr>
      <w:r>
        <w:rPr>
          <w:rFonts w:ascii="Arial" w:cs="Arial" w:eastAsia="Arial" w:hAnsi="Arial"/>
          <w:b/>
          <w:bCs/>
          <w:color w:val="146151"/>
          <w:sz w:val="26"/>
          <w:szCs w:val="26"/>
        </w:rPr>
        <w:t xml:space="preserve">Phase 4: Prepare the workshop programme</w:t>
      </w:r>
    </w:p>
    <w:p>
      <w:pPr>
        <w:spacing w:after="160"/>
      </w:pPr>
      <w:r>
        <w:rPr>
          <w:rFonts w:ascii="Arial" w:cs="Arial" w:eastAsia="Arial" w:hAnsi="Arial"/>
          <w:color w:val="666666"/>
          <w:sz w:val="22"/>
          <w:szCs w:val="22"/>
        </w:rPr>
        <w:t xml:space="preserve">This requires MTCIC’s institutional commitment before technical work begins. If MTCIC confirms they will run workshops, the event page template, facilitator mode, and staff guide are ready to use. The technical gap is the registration backend (Cloudflare Worker + Google Sheet).</w:t>
      </w:r>
    </w:p>
    <w:p>
      <w:pPr>
        <w:spacing w:after="80"/>
      </w:pPr>
    </w:p>
    <w:p>
      <w:pPr>
        <w:pStyle w:val="ListParagraph"/>
        <w:numPr>
          <w:ilvl w:val="0"/>
          <w:numId w:val="2"/>
        </w:numPr>
        <w:spacing w:after="80"/>
      </w:pPr>
      <w:r>
        <w:rPr>
          <w:rFonts w:ascii="Arial" w:cs="Arial" w:eastAsia="Arial" w:hAnsi="Arial"/>
          <w:color w:val="666666"/>
          <w:sz w:val="22"/>
          <w:szCs w:val="22"/>
        </w:rPr>
        <w:t xml:space="preserve">Confirm MTCIC commitment to run workshops (dates, locations, staff)</w:t>
      </w:r>
    </w:p>
    <w:p>
      <w:pPr>
        <w:pStyle w:val="ListParagraph"/>
        <w:numPr>
          <w:ilvl w:val="0"/>
          <w:numId w:val="2"/>
        </w:numPr>
        <w:spacing w:after="80"/>
      </w:pPr>
      <w:r>
        <w:rPr>
          <w:rFonts w:ascii="Arial" w:cs="Arial" w:eastAsia="Arial" w:hAnsi="Arial"/>
          <w:color w:val="666666"/>
          <w:sz w:val="22"/>
          <w:szCs w:val="22"/>
        </w:rPr>
        <w:t xml:space="preserve">Set up Cloudflare Worker and Google Sheet for event registrations (or fall back to Google Form)</w:t>
      </w:r>
    </w:p>
    <w:p>
      <w:pPr>
        <w:pStyle w:val="ListParagraph"/>
        <w:numPr>
          <w:ilvl w:val="0"/>
          <w:numId w:val="2"/>
        </w:numPr>
        <w:spacing w:after="80"/>
      </w:pPr>
      <w:r>
        <w:rPr>
          <w:rFonts w:ascii="Arial" w:cs="Arial" w:eastAsia="Arial" w:hAnsi="Arial"/>
          <w:color w:val="666666"/>
          <w:sz w:val="22"/>
          <w:szCs w:val="22"/>
        </w:rPr>
        <w:t xml:space="preserve">Customise event page template for first workshop</w:t>
      </w:r>
    </w:p>
    <w:p>
      <w:pPr>
        <w:pStyle w:val="ListParagraph"/>
        <w:numPr>
          <w:ilvl w:val="0"/>
          <w:numId w:val="2"/>
        </w:numPr>
        <w:spacing w:after="80"/>
      </w:pPr>
      <w:r>
        <w:rPr>
          <w:rFonts w:ascii="Arial" w:cs="Arial" w:eastAsia="Arial" w:hAnsi="Arial"/>
          <w:color w:val="666666"/>
          <w:sz w:val="22"/>
          <w:szCs w:val="22"/>
        </w:rPr>
        <w:t xml:space="preserve">Distribute staff planning guide to registry officers</w:t>
      </w:r>
    </w:p>
    <w:p>
      <w:pPr>
        <w:pStyle w:val="ListParagraph"/>
        <w:numPr>
          <w:ilvl w:val="0"/>
          <w:numId w:val="2"/>
        </w:numPr>
        <w:spacing w:after="80"/>
      </w:pPr>
      <w:r>
        <w:rPr>
          <w:rFonts w:ascii="Arial" w:cs="Arial" w:eastAsia="Arial" w:hAnsi="Arial"/>
          <w:color w:val="666666"/>
          <w:sz w:val="22"/>
          <w:szCs w:val="22"/>
        </w:rPr>
        <w:t xml:space="preserve">Run first workshop as a pilot, gather feedback, iterate</w:t>
      </w:r>
    </w:p>
    <w:p>
      <w:pPr>
        <w:spacing w:after="80"/>
      </w:pPr>
    </w:p>
    <w:p>
      <w:pPr>
        <w:pStyle w:val="Heading2"/>
        <w:spacing w:after="160" w:before="280"/>
      </w:pPr>
      <w:r>
        <w:rPr>
          <w:rFonts w:ascii="Arial" w:cs="Arial" w:eastAsia="Arial" w:hAnsi="Arial"/>
          <w:b/>
          <w:bCs/>
          <w:color w:val="146151"/>
          <w:sz w:val="26"/>
          <w:szCs w:val="26"/>
        </w:rPr>
        <w:t xml:space="preserve">Phase 5: Videos and ongoing campaign</w:t>
      </w:r>
    </w:p>
    <w:p>
      <w:pPr>
        <w:spacing w:after="160"/>
      </w:pPr>
      <w:r>
        <w:rPr>
          <w:rFonts w:ascii="Arial" w:cs="Arial" w:eastAsia="Arial" w:hAnsi="Arial"/>
          <w:color w:val="666666"/>
          <w:sz w:val="22"/>
          <w:szCs w:val="22"/>
        </w:rPr>
        <w:t xml:space="preserve">Record the three video walkthroughs using the scripts in the comms pack. Add them to the Facebook campaign as the later-stage posts (social proof, consequence messaging). Continue posting per the campaign timeline through to the March 2027 deadline.</w:t>
      </w:r>
    </w:p>
    <w:p>
      <w:pPr>
        <w:spacing w:after="80"/>
      </w:pPr>
    </w:p>
    <w:p>
      <w:pPr>
        <w:pStyle w:val="ListParagraph"/>
        <w:numPr>
          <w:ilvl w:val="0"/>
          <w:numId w:val="2"/>
        </w:numPr>
        <w:spacing w:after="80"/>
      </w:pPr>
      <w:r>
        <w:rPr>
          <w:rFonts w:ascii="Arial" w:cs="Arial" w:eastAsia="Arial" w:hAnsi="Arial"/>
          <w:color w:val="666666"/>
          <w:sz w:val="22"/>
          <w:szCs w:val="22"/>
        </w:rPr>
        <w:t xml:space="preserve">Record videos (ideally in English and I-Kiribati)</w:t>
      </w:r>
    </w:p>
    <w:p>
      <w:pPr>
        <w:pStyle w:val="ListParagraph"/>
        <w:numPr>
          <w:ilvl w:val="0"/>
          <w:numId w:val="2"/>
        </w:numPr>
        <w:spacing w:after="80"/>
      </w:pPr>
      <w:r>
        <w:rPr>
          <w:rFonts w:ascii="Arial" w:cs="Arial" w:eastAsia="Arial" w:hAnsi="Arial"/>
          <w:color w:val="666666"/>
          <w:sz w:val="22"/>
          <w:szCs w:val="22"/>
        </w:rPr>
        <w:t xml:space="preserve">Upload to Facebook and share via Messenger</w:t>
      </w:r>
    </w:p>
    <w:p>
      <w:pPr>
        <w:pStyle w:val="ListParagraph"/>
        <w:numPr>
          <w:ilvl w:val="0"/>
          <w:numId w:val="2"/>
        </w:numPr>
        <w:spacing w:after="80"/>
      </w:pPr>
      <w:r>
        <w:rPr>
          <w:rFonts w:ascii="Arial" w:cs="Arial" w:eastAsia="Arial" w:hAnsi="Arial"/>
          <w:color w:val="666666"/>
          <w:sz w:val="22"/>
          <w:szCs w:val="22"/>
        </w:rPr>
        <w:t xml:space="preserve">Continue posting per the campaign timeline</w:t>
      </w:r>
    </w:p>
    <w:p>
      <w:pPr>
        <w:pStyle w:val="ListParagraph"/>
        <w:numPr>
          <w:ilvl w:val="0"/>
          <w:numId w:val="2"/>
        </w:numPr>
        <w:spacing w:after="80"/>
      </w:pPr>
      <w:r>
        <w:rPr>
          <w:rFonts w:ascii="Arial" w:cs="Arial" w:eastAsia="Arial" w:hAnsi="Arial"/>
          <w:color w:val="666666"/>
          <w:sz w:val="22"/>
          <w:szCs w:val="22"/>
        </w:rPr>
        <w:t xml:space="preserve">Shift messaging from “easy and free” to “don’t lose your business” as deadline approaches</w:t>
      </w:r>
    </w:p>
    <w:p>
      <w:r>
        <w:br w:type="page"/>
      </w:r>
    </w:p>
    <w:p>
      <w:pPr>
        <w:pStyle w:val="Heading1"/>
        <w:spacing w:after="200" w:before="360"/>
      </w:pPr>
      <w:r>
        <w:rPr>
          <w:rFonts w:ascii="Arial" w:cs="Arial" w:eastAsia="Arial" w:hAnsi="Arial"/>
          <w:b/>
          <w:bCs/>
          <w:color w:val="146151"/>
          <w:sz w:val="32"/>
          <w:szCs w:val="32"/>
        </w:rPr>
        <w:t xml:space="preserve">6. Honest Assessment</w:t>
      </w:r>
    </w:p>
    <w:p>
      <w:pPr>
        <w:spacing w:after="160"/>
      </w:pPr>
      <w:r>
        <w:rPr>
          <w:rFonts w:ascii="Arial" w:cs="Arial" w:eastAsia="Arial" w:hAnsi="Arial"/>
          <w:color w:val="666666"/>
          <w:sz w:val="22"/>
          <w:szCs w:val="22"/>
        </w:rPr>
        <w:t xml:space="preserve">The product set is comprehensive — arguably more comprehensive than what MTCIC has the capacity to deploy and maintain. The tools are well designed and internally consistent. The gaps that remain are mostly content (translations, videos, company walkthrough) rather than architectural.</w:t>
      </w:r>
    </w:p>
    <w:p>
      <w:pPr>
        <w:spacing w:after="80"/>
      </w:pPr>
    </w:p>
    <w:p>
      <w:pPr>
        <w:spacing w:after="160"/>
      </w:pPr>
      <w:r>
        <w:rPr>
          <w:rFonts w:ascii="Arial" w:cs="Arial" w:eastAsia="Arial" w:hAnsi="Arial"/>
          <w:color w:val="666666"/>
          <w:sz w:val="22"/>
          <w:szCs w:val="22"/>
        </w:rPr>
        <w:t xml:space="preserve">The biggest risk is not technical. It is institutional. The tools assume that MTCIC will post on Facebook, run workshops, assign three staff per session, and maintain the event pages. If that institutional support does not materialise, the mini site and the organic sharing journey (A and C) still work on their own — but they reach a smaller audience. The workshop journey (B) reaches the people who need the most help, and it requires the most institutional effort.</w:t>
      </w:r>
    </w:p>
    <w:p>
      <w:pPr>
        <w:spacing w:after="80"/>
      </w:pPr>
    </w:p>
    <w:p>
      <w:pPr>
        <w:spacing w:after="160"/>
      </w:pPr>
      <w:r>
        <w:rPr>
          <w:rFonts w:ascii="Arial" w:cs="Arial" w:eastAsia="Arial" w:hAnsi="Arial"/>
          <w:color w:val="666666"/>
          <w:sz w:val="22"/>
          <w:szCs w:val="22"/>
        </w:rPr>
        <w:t xml:space="preserve">The second biggest risk is Paradigm Apps deployment. Every public-facing product needs to be hosted on business.gov.ki. If Paradigm is slow to upload files, the entire timeline slips. This has been a recurring friction point and should be escalated early.</w:t>
      </w:r>
    </w:p>
    <w:p>
      <w:pPr>
        <w:spacing w:after="80"/>
      </w:pPr>
    </w:p>
    <w:p>
      <w:pPr>
        <w:spacing w:after="160"/>
      </w:pPr>
      <w:r>
        <w:rPr>
          <w:rFonts w:ascii="Arial" w:cs="Arial" w:eastAsia="Arial" w:hAnsi="Arial"/>
          <w:color w:val="666666"/>
          <w:sz w:val="22"/>
          <w:szCs w:val="22"/>
        </w:rPr>
        <w:t xml:space="preserve">The products that matter most are, in order: the mini site (reaches everyone, always available), the BN walkthrough (supports the most common entity type), and the Facebook posts (drives discovery). Everything else amplifies those three. If only those three are deployed, the re-registration comms strategy still works. The workshops, event pages, facilitator mode, and video scripts make it work better — but they are not essential for the strategy to function.</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CCCCCC"/>
        <w:sz w:val="16"/>
        <w:szCs w:val="16"/>
      </w:rPr>
      <w:t xml:space="preserve">Page </w:t>
    </w:r>
    <w:r>
      <w:rPr>
        <w:rFonts w:ascii="Arial" w:cs="Arial" w:eastAsia="Arial" w:hAnsi="Arial"/>
        <w:color w:val="CCCCCC"/>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CCCCCC"/>
        <w:sz w:val="16"/>
        <w:szCs w:val="16"/>
      </w:rPr>
      <w:t xml:space="preserve">Re-Registration Communications — Stocktake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666666"/>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46151"/>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14615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2026-03-21T08:17:42.667Z</dcterms:created>
  <dcterms:modified xsi:type="dcterms:W3CDTF">2026-03-21T08:17:42.668Z</dcterms:modified>
</cp:coreProperties>
</file>

<file path=docProps/custom.xml><?xml version="1.0" encoding="utf-8"?>
<Properties xmlns="http://schemas.openxmlformats.org/officeDocument/2006/custom-properties" xmlns:vt="http://schemas.openxmlformats.org/officeDocument/2006/docPropsVTypes"/>
</file>