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left"/>
      </w:pPr>
      <w:r>
        <w:rPr>
          <w:rFonts w:ascii="Arial" w:cs="Arial" w:eastAsia="Arial" w:hAnsi="Arial"/>
          <w:b/>
          <w:bCs/>
          <w:color w:val="146151"/>
          <w:sz w:val="56"/>
          <w:szCs w:val="56"/>
        </w:rPr>
        <w:t xml:space="preserve">Re-Registration Guide</w:t>
      </w:r>
    </w:p>
    <w:p>
      <w:pPr>
        <w:spacing w:after="80"/>
        <w:jc w:val="left"/>
      </w:pPr>
      <w:r>
        <w:rPr>
          <w:rFonts w:ascii="Arial" w:cs="Arial" w:eastAsia="Arial" w:hAnsi="Arial"/>
          <w:color w:val="D4A843"/>
          <w:sz w:val="40"/>
          <w:szCs w:val="40"/>
        </w:rPr>
        <w:t xml:space="preserve">Mini Site Plan</w:t>
      </w:r>
    </w:p>
    <w:p>
      <w:pPr>
        <w:pBdr>
          <w:bottom w:val="single" w:color="CCCCCC" w:sz="1" w:space="1"/>
        </w:pBdr>
        <w:spacing w:after="200" w:before="200"/>
      </w:pPr>
    </w:p>
    <w:p>
      <w:pPr>
        <w:spacing w:after="80"/>
      </w:pPr>
      <w:r>
        <w:rPr>
          <w:rFonts w:ascii="Arial" w:cs="Arial" w:eastAsia="Arial" w:hAnsi="Arial"/>
          <w:color w:val="666666"/>
          <w:sz w:val="24"/>
          <w:szCs w:val="24"/>
        </w:rPr>
        <w:t xml:space="preserve">Kiribati Online Business Registry</w:t>
      </w:r>
    </w:p>
    <w:p>
      <w:pPr>
        <w:spacing w:after="80"/>
      </w:pPr>
      <w:r>
        <w:rPr>
          <w:rFonts w:ascii="Arial" w:cs="Arial" w:eastAsia="Arial" w:hAnsi="Arial"/>
          <w:color w:val="146151"/>
          <w:sz w:val="24"/>
          <w:szCs w:val="24"/>
        </w:rPr>
        <w:t xml:space="preserve">business.gov.ki</w:t>
      </w:r>
    </w:p>
    <w:p>
      <w:pPr>
        <w:spacing w:after="80"/>
      </w:pPr>
    </w:p>
    <w:p>
      <w:pPr>
        <w:spacing w:after="80"/>
      </w:pPr>
      <w:r>
        <w:rPr>
          <w:rFonts w:ascii="Arial" w:cs="Arial" w:eastAsia="Arial" w:hAnsi="Arial"/>
          <w:color w:val="666666"/>
          <w:sz w:val="22"/>
          <w:szCs w:val="22"/>
        </w:rPr>
        <w:t xml:space="preserve">Prepared for: PSDI, MTCIC, Paradigm Apps</w:t>
      </w:r>
    </w:p>
    <w:p>
      <w:pPr>
        <w:spacing w:after="80"/>
      </w:pPr>
      <w:r>
        <w:rPr>
          <w:rFonts w:ascii="Arial" w:cs="Arial" w:eastAsia="Arial" w:hAnsi="Arial"/>
          <w:color w:val="666666"/>
          <w:sz w:val="22"/>
          <w:szCs w:val="22"/>
        </w:rPr>
        <w:t xml:space="preserve">Date: March 2026</w:t>
      </w:r>
    </w:p>
    <w:p>
      <w:pPr>
        <w:spacing w:after="80"/>
      </w:pPr>
      <w:r>
        <w:rPr>
          <w:rFonts w:ascii="Arial" w:cs="Arial" w:eastAsia="Arial" w:hAnsi="Arial"/>
          <w:color w:val="666666"/>
          <w:sz w:val="22"/>
          <w:szCs w:val="22"/>
        </w:rPr>
        <w:t xml:space="preserve">Status: Draft for review</w:t>
      </w:r>
    </w:p>
    <w:p>
      <w:r>
        <w:br w:type="page"/>
      </w:r>
    </w:p>
    <w:p>
      <w:pPr>
        <w:pStyle w:val="Heading1"/>
        <w:spacing w:after="200" w:before="360"/>
      </w:pPr>
      <w:r>
        <w:rPr>
          <w:rFonts w:ascii="Arial" w:cs="Arial" w:eastAsia="Arial" w:hAnsi="Arial"/>
          <w:b/>
          <w:bCs/>
          <w:color w:val="146151"/>
          <w:sz w:val="32"/>
          <w:szCs w:val="32"/>
        </w:rPr>
        <w:t xml:space="preserve">1. Overview</w:t>
      </w:r>
    </w:p>
    <w:p>
      <w:pPr>
        <w:pStyle w:val="Heading2"/>
        <w:spacing w:after="160" w:before="280"/>
      </w:pPr>
      <w:r>
        <w:rPr>
          <w:rFonts w:ascii="Arial" w:cs="Arial" w:eastAsia="Arial" w:hAnsi="Arial"/>
          <w:b/>
          <w:bCs/>
          <w:color w:val="146151"/>
          <w:sz w:val="26"/>
          <w:szCs w:val="26"/>
        </w:rPr>
        <w:t xml:space="preserve">1.1 What is this document?</w:t>
      </w:r>
    </w:p>
    <w:p>
      <w:pPr>
        <w:spacing w:after="160"/>
      </w:pPr>
      <w:r>
        <w:rPr>
          <w:rFonts w:ascii="Arial" w:cs="Arial" w:eastAsia="Arial" w:hAnsi="Arial"/>
          <w:color w:val="666666"/>
          <w:sz w:val="22"/>
          <w:szCs w:val="22"/>
        </w:rPr>
        <w:t xml:space="preserve">This document sets out the plan for a standalone web-based guide (the “mini site”) that will help existing business name owners, company directors, and authorised persons complete the re-registration process on the Kiribati Online Business Registry at business.gov.ki.</w:t>
      </w:r>
    </w:p>
    <w:p>
      <w:pPr>
        <w:spacing w:after="160"/>
      </w:pPr>
      <w:r>
        <w:rPr>
          <w:rFonts w:ascii="Arial" w:cs="Arial" w:eastAsia="Arial" w:hAnsi="Arial"/>
          <w:color w:val="666666"/>
          <w:sz w:val="22"/>
          <w:szCs w:val="22"/>
        </w:rPr>
        <w:t xml:space="preserve">The mini site is not a replacement for the registry or the existing How To pages. It is a focused, guided companion that explains what re-registration is, helps users understand what they need to do, generates a personalised checklist they can print or save, and links them to the right places to take action.</w:t>
      </w:r>
    </w:p>
    <w:p>
      <w:pPr>
        <w:pStyle w:val="Heading2"/>
        <w:spacing w:after="160" w:before="280"/>
      </w:pPr>
      <w:r>
        <w:rPr>
          <w:rFonts w:ascii="Arial" w:cs="Arial" w:eastAsia="Arial" w:hAnsi="Arial"/>
          <w:b/>
          <w:bCs/>
          <w:color w:val="146151"/>
          <w:sz w:val="26"/>
          <w:szCs w:val="26"/>
        </w:rPr>
        <w:t xml:space="preserve">1.2 Why is it needed?</w:t>
      </w:r>
    </w:p>
    <w:p>
      <w:pPr>
        <w:spacing w:after="160"/>
      </w:pPr>
      <w:r>
        <w:rPr>
          <w:rFonts w:ascii="Arial" w:cs="Arial" w:eastAsia="Arial" w:hAnsi="Arial"/>
          <w:color w:val="666666"/>
          <w:sz w:val="22"/>
          <w:szCs w:val="22"/>
        </w:rPr>
        <w:t xml:space="preserve">Re-registration requires every existing business name, local company, and overseas company in Kiribati to confirm their information with MTCIC under the Business Names Act 2021 and Companies Act 2021 by 31 March 2027. Entities that do not re-register by this date will be removed from the register.</w:t>
      </w:r>
    </w:p>
    <w:p>
      <w:pPr>
        <w:spacing w:after="160"/>
      </w:pPr>
      <w:r>
        <w:rPr>
          <w:rFonts w:ascii="Arial" w:cs="Arial" w:eastAsia="Arial" w:hAnsi="Arial"/>
          <w:color w:val="666666"/>
          <w:sz w:val="22"/>
          <w:szCs w:val="22"/>
        </w:rPr>
        <w:t xml:space="preserve">The re-registration process involves multiple steps across multiple systems, with waiting periods between steps for MTCIC approval. The existing How To pages on business.gov.ki provide comprehensive reference information, but they are structured as reference documentation rather than as a guided journey. Users must navigate between sections and infer the sequence themselves.</w:t>
      </w:r>
    </w:p>
    <w:p>
      <w:pPr>
        <w:spacing w:after="160"/>
      </w:pPr>
      <w:r>
        <w:rPr>
          <w:rFonts w:ascii="Arial" w:cs="Arial" w:eastAsia="Arial" w:hAnsi="Arial"/>
          <w:color w:val="666666"/>
          <w:sz w:val="22"/>
          <w:szCs w:val="22"/>
        </w:rPr>
        <w:t xml:space="preserve">This creates specific problems for the target audience:</w:t>
      </w:r>
    </w:p>
    <w:p>
      <w:pPr>
        <w:pStyle w:val="ListParagraph"/>
        <w:numPr>
          <w:ilvl w:val="0"/>
          <w:numId w:val="2"/>
        </w:numPr>
        <w:spacing w:after="80"/>
      </w:pPr>
      <w:r>
        <w:rPr>
          <w:rFonts w:ascii="Arial" w:cs="Arial" w:eastAsia="Arial" w:hAnsi="Arial"/>
          <w:color w:val="666666"/>
          <w:sz w:val="22"/>
          <w:szCs w:val="22"/>
        </w:rPr>
        <w:t xml:space="preserve">Many business owners in Kiribati have limited digital literacy and limited experience with online government services.</w:t>
      </w:r>
    </w:p>
    <w:p>
      <w:pPr>
        <w:pStyle w:val="ListParagraph"/>
        <w:numPr>
          <w:ilvl w:val="0"/>
          <w:numId w:val="2"/>
        </w:numPr>
        <w:spacing w:after="80"/>
      </w:pPr>
      <w:r>
        <w:rPr>
          <w:rFonts w:ascii="Arial" w:cs="Arial" w:eastAsia="Arial" w:hAnsi="Arial"/>
          <w:color w:val="666666"/>
          <w:sz w:val="22"/>
          <w:szCs w:val="22"/>
        </w:rPr>
        <w:t xml:space="preserve">The process cannot be completed in a single session — it spans days or weeks — and users need a way to understand the full journey before they begin.</w:t>
      </w:r>
    </w:p>
    <w:p>
      <w:pPr>
        <w:pStyle w:val="ListParagraph"/>
        <w:numPr>
          <w:ilvl w:val="0"/>
          <w:numId w:val="2"/>
        </w:numPr>
        <w:spacing w:after="80"/>
      </w:pPr>
      <w:r>
        <w:rPr>
          <w:rFonts w:ascii="Arial" w:cs="Arial" w:eastAsia="Arial" w:hAnsi="Arial"/>
          <w:color w:val="666666"/>
          <w:sz w:val="22"/>
          <w:szCs w:val="22"/>
        </w:rPr>
        <w:t xml:space="preserve">Key concepts like “authority to file” are unfamiliar and can feel like bureaucratic barriers if not explained clearly.</w:t>
      </w:r>
    </w:p>
    <w:p>
      <w:pPr>
        <w:pStyle w:val="ListParagraph"/>
        <w:numPr>
          <w:ilvl w:val="0"/>
          <w:numId w:val="2"/>
        </w:numPr>
        <w:spacing w:after="80"/>
      </w:pPr>
      <w:r>
        <w:rPr>
          <w:rFonts w:ascii="Arial" w:cs="Arial" w:eastAsia="Arial" w:hAnsi="Arial"/>
          <w:color w:val="666666"/>
          <w:sz w:val="22"/>
          <w:szCs w:val="22"/>
        </w:rPr>
        <w:t xml:space="preserve">The consequences of missing the deadline are severe (removal from the register), but the deadline itself is still distant enough that many people have not yet started.</w:t>
      </w:r>
    </w:p>
    <w:p>
      <w:pPr>
        <w:spacing w:after="160"/>
      </w:pPr>
      <w:r>
        <w:rPr>
          <w:rFonts w:ascii="Arial" w:cs="Arial" w:eastAsia="Arial" w:hAnsi="Arial"/>
          <w:color w:val="666666"/>
          <w:sz w:val="22"/>
          <w:szCs w:val="22"/>
        </w:rPr>
        <w:t xml:space="preserve">The mini site addresses these problems by providing a clear, guided entry point to the re-registration process that meets users where they are.</w:t>
      </w:r>
    </w:p>
    <w:p>
      <w:pPr>
        <w:pStyle w:val="Heading2"/>
        <w:spacing w:after="160" w:before="280"/>
      </w:pPr>
      <w:r>
        <w:rPr>
          <w:rFonts w:ascii="Arial" w:cs="Arial" w:eastAsia="Arial" w:hAnsi="Arial"/>
          <w:b/>
          <w:bCs/>
          <w:color w:val="146151"/>
          <w:sz w:val="26"/>
          <w:szCs w:val="26"/>
        </w:rPr>
        <w:t xml:space="preserve">1.3 Who is it for?</w:t>
      </w:r>
    </w:p>
    <w:p>
      <w:pPr>
        <w:spacing w:after="160"/>
      </w:pPr>
      <w:r>
        <w:rPr>
          <w:rFonts w:ascii="Arial" w:cs="Arial" w:eastAsia="Arial" w:hAnsi="Arial"/>
          <w:color w:val="666666"/>
          <w:sz w:val="22"/>
          <w:szCs w:val="22"/>
        </w:rPr>
        <w:t xml:space="preserve">The primary audience is owners of existing business names and directors of existing companies (local and overseas) who need to re-register. The secondary audience is employees, agents, or authorised persons acting on behalf of owners or directors.</w:t>
      </w:r>
    </w:p>
    <w:p>
      <w:pPr>
        <w:spacing w:after="160"/>
      </w:pPr>
      <w:r>
        <w:rPr>
          <w:rFonts w:ascii="Arial" w:cs="Arial" w:eastAsia="Arial" w:hAnsi="Arial"/>
          <w:color w:val="666666"/>
          <w:sz w:val="22"/>
          <w:szCs w:val="22"/>
        </w:rPr>
        <w:t xml:space="preserve">The site should be written at a reading level that works for someone with basic English literacy. It should also work well when one person is showing another person what to do — for example, a family member helping a business owner, or a facilitator at a community outreach session guiding a group through the process.</w:t>
      </w:r>
    </w:p>
    <w:p>
      <w:pPr>
        <w:spacing w:after="160"/>
      </w:pPr>
      <w:r>
        <w:rPr>
          <w:rFonts w:ascii="Arial" w:cs="Arial" w:eastAsia="Arial" w:hAnsi="Arial"/>
          <w:color w:val="666666"/>
          <w:sz w:val="22"/>
          <w:szCs w:val="22"/>
        </w:rPr>
        <w:t xml:space="preserve">The mini site does not replace in-person support. It is designed to reduce the burden on MTCIC staff by ensuring that users who arrive at the registry — whether online or in person — already understand what re-registration is, what they need to do, and what documents they need to bring.</w:t>
      </w:r>
    </w:p>
    <w:p>
      <w:r>
        <w:br w:type="page"/>
      </w:r>
    </w:p>
    <w:p>
      <w:pPr>
        <w:pStyle w:val="Heading1"/>
        <w:spacing w:after="200" w:before="360"/>
      </w:pPr>
      <w:r>
        <w:rPr>
          <w:rFonts w:ascii="Arial" w:cs="Arial" w:eastAsia="Arial" w:hAnsi="Arial"/>
          <w:b/>
          <w:bCs/>
          <w:color w:val="146151"/>
          <w:sz w:val="32"/>
          <w:szCs w:val="32"/>
        </w:rPr>
        <w:t xml:space="preserve">2. Scope</w:t>
      </w:r>
    </w:p>
    <w:p>
      <w:pPr>
        <w:pStyle w:val="Heading2"/>
        <w:spacing w:after="160" w:before="280"/>
      </w:pPr>
      <w:r>
        <w:rPr>
          <w:rFonts w:ascii="Arial" w:cs="Arial" w:eastAsia="Arial" w:hAnsi="Arial"/>
          <w:b/>
          <w:bCs/>
          <w:color w:val="146151"/>
          <w:sz w:val="26"/>
          <w:szCs w:val="26"/>
        </w:rPr>
        <w:t xml:space="preserve">2.1 What the mini site does</w:t>
      </w:r>
    </w:p>
    <w:p>
      <w:pPr>
        <w:pStyle w:val="ListParagraph"/>
        <w:numPr>
          <w:ilvl w:val="0"/>
          <w:numId w:val="2"/>
        </w:numPr>
        <w:spacing w:after="80"/>
      </w:pPr>
      <w:r>
        <w:rPr>
          <w:rFonts w:ascii="Arial" w:cs="Arial" w:eastAsia="Arial" w:hAnsi="Arial"/>
          <w:color w:val="666666"/>
          <w:sz w:val="22"/>
          <w:szCs w:val="22"/>
        </w:rPr>
        <w:t xml:space="preserve">Explains what re-registration is and why it is needed, in plain language.</w:t>
      </w:r>
    </w:p>
    <w:p>
      <w:pPr>
        <w:pStyle w:val="ListParagraph"/>
        <w:numPr>
          <w:ilvl w:val="0"/>
          <w:numId w:val="2"/>
        </w:numPr>
        <w:spacing w:after="80"/>
      </w:pPr>
      <w:r>
        <w:rPr>
          <w:rFonts w:ascii="Arial" w:cs="Arial" w:eastAsia="Arial" w:hAnsi="Arial"/>
          <w:color w:val="666666"/>
          <w:sz w:val="22"/>
          <w:szCs w:val="22"/>
        </w:rPr>
        <w:t xml:space="preserve">Shows the deadline and time-aware messaging that adjusts based on today’s date.</w:t>
      </w:r>
    </w:p>
    <w:p>
      <w:pPr>
        <w:pStyle w:val="ListParagraph"/>
        <w:numPr>
          <w:ilvl w:val="0"/>
          <w:numId w:val="2"/>
        </w:numPr>
        <w:spacing w:after="80"/>
      </w:pPr>
      <w:r>
        <w:rPr>
          <w:rFonts w:ascii="Arial" w:cs="Arial" w:eastAsia="Arial" w:hAnsi="Arial"/>
          <w:color w:val="666666"/>
          <w:sz w:val="22"/>
          <w:szCs w:val="22"/>
        </w:rPr>
        <w:t xml:space="preserve">Guides the user through a short triage to identify their entity type and situation.</w:t>
      </w:r>
    </w:p>
    <w:p>
      <w:pPr>
        <w:pStyle w:val="ListParagraph"/>
        <w:numPr>
          <w:ilvl w:val="0"/>
          <w:numId w:val="2"/>
        </w:numPr>
        <w:spacing w:after="80"/>
      </w:pPr>
      <w:r>
        <w:rPr>
          <w:rFonts w:ascii="Arial" w:cs="Arial" w:eastAsia="Arial" w:hAnsi="Arial"/>
          <w:color w:val="666666"/>
          <w:sz w:val="22"/>
          <w:szCs w:val="22"/>
        </w:rPr>
        <w:t xml:space="preserve">Displays a personalised step-by-step pathway tailored to their answers.</w:t>
      </w:r>
    </w:p>
    <w:p>
      <w:pPr>
        <w:pStyle w:val="ListParagraph"/>
        <w:numPr>
          <w:ilvl w:val="0"/>
          <w:numId w:val="2"/>
        </w:numPr>
        <w:spacing w:after="80"/>
      </w:pPr>
      <w:r>
        <w:rPr>
          <w:rFonts w:ascii="Arial" w:cs="Arial" w:eastAsia="Arial" w:hAnsi="Arial"/>
          <w:color w:val="666666"/>
          <w:sz w:val="22"/>
          <w:szCs w:val="22"/>
        </w:rPr>
        <w:t xml:space="preserve">Includes an inline guided section on authority to file, helping users identify their role and what evidence they need.</w:t>
      </w:r>
    </w:p>
    <w:p>
      <w:pPr>
        <w:pStyle w:val="ListParagraph"/>
        <w:numPr>
          <w:ilvl w:val="0"/>
          <w:numId w:val="2"/>
        </w:numPr>
        <w:spacing w:after="80"/>
      </w:pPr>
      <w:r>
        <w:rPr>
          <w:rFonts w:ascii="Arial" w:cs="Arial" w:eastAsia="Arial" w:hAnsi="Arial"/>
          <w:color w:val="666666"/>
          <w:sz w:val="22"/>
          <w:szCs w:val="22"/>
        </w:rPr>
        <w:t xml:space="preserve">Generates a personalised PDF checklist the user can print, save, or bring to the MTCIC office.</w:t>
      </w:r>
    </w:p>
    <w:p>
      <w:pPr>
        <w:pStyle w:val="ListParagraph"/>
        <w:numPr>
          <w:ilvl w:val="0"/>
          <w:numId w:val="2"/>
        </w:numPr>
        <w:spacing w:after="80"/>
      </w:pPr>
      <w:r>
        <w:rPr>
          <w:rFonts w:ascii="Arial" w:cs="Arial" w:eastAsia="Arial" w:hAnsi="Arial"/>
          <w:color w:val="666666"/>
          <w:sz w:val="22"/>
          <w:szCs w:val="22"/>
        </w:rPr>
        <w:t xml:space="preserve">Links to the registry for account creation, authority requests, and form submission.</w:t>
      </w:r>
    </w:p>
    <w:p>
      <w:pPr>
        <w:pStyle w:val="ListParagraph"/>
        <w:numPr>
          <w:ilvl w:val="0"/>
          <w:numId w:val="2"/>
        </w:numPr>
        <w:spacing w:after="80"/>
      </w:pPr>
      <w:r>
        <w:rPr>
          <w:rFonts w:ascii="Arial" w:cs="Arial" w:eastAsia="Arial" w:hAnsi="Arial"/>
          <w:color w:val="666666"/>
          <w:sz w:val="22"/>
          <w:szCs w:val="22"/>
        </w:rPr>
        <w:t xml:space="preserve">Links to the form builders for completing re-registration forms.</w:t>
      </w:r>
    </w:p>
    <w:p>
      <w:pPr>
        <w:pStyle w:val="ListParagraph"/>
        <w:numPr>
          <w:ilvl w:val="0"/>
          <w:numId w:val="2"/>
        </w:numPr>
        <w:spacing w:after="80"/>
      </w:pPr>
      <w:r>
        <w:rPr>
          <w:rFonts w:ascii="Arial" w:cs="Arial" w:eastAsia="Arial" w:hAnsi="Arial"/>
          <w:color w:val="666666"/>
          <w:sz w:val="22"/>
          <w:szCs w:val="22"/>
        </w:rPr>
        <w:t xml:space="preserve">Provides MTCIC contact information.</w:t>
      </w:r>
    </w:p>
    <w:p>
      <w:pPr>
        <w:pStyle w:val="Heading2"/>
        <w:spacing w:after="160" w:before="280"/>
      </w:pPr>
      <w:r>
        <w:rPr>
          <w:rFonts w:ascii="Arial" w:cs="Arial" w:eastAsia="Arial" w:hAnsi="Arial"/>
          <w:b/>
          <w:bCs/>
          <w:color w:val="146151"/>
          <w:sz w:val="26"/>
          <w:szCs w:val="26"/>
        </w:rPr>
        <w:t xml:space="preserve">2.2 What the mini site does not do</w:t>
      </w:r>
    </w:p>
    <w:p>
      <w:pPr>
        <w:pStyle w:val="ListParagraph"/>
        <w:numPr>
          <w:ilvl w:val="0"/>
          <w:numId w:val="2"/>
        </w:numPr>
        <w:spacing w:after="80"/>
      </w:pPr>
      <w:r>
        <w:rPr>
          <w:rFonts w:ascii="Arial" w:cs="Arial" w:eastAsia="Arial" w:hAnsi="Arial"/>
          <w:color w:val="666666"/>
          <w:sz w:val="22"/>
          <w:szCs w:val="22"/>
        </w:rPr>
        <w:t xml:space="preserve">It does not collect, store, or transmit any user data. No accounts, no emails, no database.</w:t>
      </w:r>
    </w:p>
    <w:p>
      <w:pPr>
        <w:pStyle w:val="ListParagraph"/>
        <w:numPr>
          <w:ilvl w:val="0"/>
          <w:numId w:val="2"/>
        </w:numPr>
        <w:spacing w:after="80"/>
      </w:pPr>
      <w:r>
        <w:rPr>
          <w:rFonts w:ascii="Arial" w:cs="Arial" w:eastAsia="Arial" w:hAnsi="Arial"/>
          <w:color w:val="666666"/>
          <w:sz w:val="22"/>
          <w:szCs w:val="22"/>
        </w:rPr>
        <w:t xml:space="preserve">It does not replicate the full How To content from business.gov.ki. It distils and links.</w:t>
      </w:r>
    </w:p>
    <w:p>
      <w:pPr>
        <w:pStyle w:val="ListParagraph"/>
        <w:numPr>
          <w:ilvl w:val="0"/>
          <w:numId w:val="2"/>
        </w:numPr>
        <w:spacing w:after="80"/>
      </w:pPr>
      <w:r>
        <w:rPr>
          <w:rFonts w:ascii="Arial" w:cs="Arial" w:eastAsia="Arial" w:hAnsi="Arial"/>
          <w:color w:val="666666"/>
          <w:sz w:val="22"/>
          <w:szCs w:val="22"/>
        </w:rPr>
        <w:t xml:space="preserve">It does not allow users to submit forms or interact with the registry. All transactions happen on the registry itself.</w:t>
      </w:r>
    </w:p>
    <w:p>
      <w:pPr>
        <w:pStyle w:val="ListParagraph"/>
        <w:numPr>
          <w:ilvl w:val="0"/>
          <w:numId w:val="2"/>
        </w:numPr>
        <w:spacing w:after="80"/>
      </w:pPr>
      <w:r>
        <w:rPr>
          <w:rFonts w:ascii="Arial" w:cs="Arial" w:eastAsia="Arial" w:hAnsi="Arial"/>
          <w:color w:val="666666"/>
          <w:sz w:val="22"/>
          <w:szCs w:val="22"/>
        </w:rPr>
        <w:t xml:space="preserve">It does not provide a progress tracker that persists between visits. The PDF checklist serves this purpose offline.</w:t>
      </w:r>
    </w:p>
    <w:p>
      <w:pPr>
        <w:pStyle w:val="Heading2"/>
        <w:spacing w:after="160" w:before="280"/>
      </w:pPr>
      <w:r>
        <w:rPr>
          <w:rFonts w:ascii="Arial" w:cs="Arial" w:eastAsia="Arial" w:hAnsi="Arial"/>
          <w:b/>
          <w:bCs/>
          <w:color w:val="146151"/>
          <w:sz w:val="26"/>
          <w:szCs w:val="26"/>
        </w:rPr>
        <w:t xml:space="preserve">2.3 The three-environment model</w:t>
      </w:r>
    </w:p>
    <w:p>
      <w:pPr>
        <w:spacing w:after="160"/>
      </w:pPr>
      <w:r>
        <w:rPr>
          <w:rFonts w:ascii="Arial" w:cs="Arial" w:eastAsia="Arial" w:hAnsi="Arial"/>
          <w:color w:val="666666"/>
          <w:sz w:val="22"/>
          <w:szCs w:val="22"/>
        </w:rPr>
        <w:t xml:space="preserve">The re-registration process spans three separate environments. The mini site must make the handoffs between these environments explicit and clear to the user.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Environment</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 here</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Owned by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Mini site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Information, triage, pathway generation, PDF download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PSDI / standalone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Registry (business.gov.ki)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Account creation, authority requests, form upload and submission, payment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Paradigm Apps / MTCIC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Form builders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Completing re-registration forms (BN-0, CO-0, CO-0a) and generating PDF output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PSDI / standalone</w:t>
            </w:r>
          </w:p>
        </w:tc>
      </w:tr>
    </w:tbl>
    <w:p>
      <w:pPr>
        <w:spacing w:after="80"/>
      </w:pPr>
    </w:p>
    <w:p>
      <w:pPr>
        <w:spacing w:after="160"/>
      </w:pPr>
      <w:r>
        <w:rPr>
          <w:rFonts w:ascii="Arial" w:cs="Arial" w:eastAsia="Arial" w:hAnsi="Arial"/>
          <w:color w:val="666666"/>
          <w:sz w:val="22"/>
          <w:szCs w:val="22"/>
        </w:rPr>
        <w:t xml:space="preserve">Each step in the personalised pathway will clearly indicate which environment the user needs to go to, with a direct link. The user should never be uncertain about where an action happens.</w:t>
      </w:r>
    </w:p>
    <w:p>
      <w:r>
        <w:br w:type="page"/>
      </w:r>
    </w:p>
    <w:p>
      <w:pPr>
        <w:pStyle w:val="Heading1"/>
        <w:spacing w:after="200" w:before="360"/>
      </w:pPr>
      <w:r>
        <w:rPr>
          <w:rFonts w:ascii="Arial" w:cs="Arial" w:eastAsia="Arial" w:hAnsi="Arial"/>
          <w:b/>
          <w:bCs/>
          <w:color w:val="146151"/>
          <w:sz w:val="32"/>
          <w:szCs w:val="32"/>
        </w:rPr>
        <w:t xml:space="preserve">3. Content Specification</w:t>
      </w:r>
    </w:p>
    <w:p>
      <w:pPr>
        <w:spacing w:after="160"/>
      </w:pPr>
      <w:r>
        <w:rPr>
          <w:rFonts w:ascii="Arial" w:cs="Arial" w:eastAsia="Arial" w:hAnsi="Arial"/>
          <w:color w:val="666666"/>
          <w:sz w:val="22"/>
          <w:szCs w:val="22"/>
        </w:rPr>
        <w:t xml:space="preserve">This section describes every content section of the mini site in the order it appears on the page.</w:t>
      </w:r>
    </w:p>
    <w:p>
      <w:pPr>
        <w:pStyle w:val="Heading2"/>
        <w:spacing w:after="160" w:before="280"/>
      </w:pPr>
      <w:r>
        <w:rPr>
          <w:rFonts w:ascii="Arial" w:cs="Arial" w:eastAsia="Arial" w:hAnsi="Arial"/>
          <w:b/>
          <w:bCs/>
          <w:color w:val="146151"/>
          <w:sz w:val="26"/>
          <w:szCs w:val="26"/>
        </w:rPr>
        <w:t xml:space="preserve">3.1 Header</w:t>
      </w:r>
    </w:p>
    <w:p>
      <w:pPr>
        <w:spacing w:after="160"/>
      </w:pPr>
      <w:r>
        <w:rPr>
          <w:rFonts w:ascii="Arial" w:cs="Arial" w:eastAsia="Arial" w:hAnsi="Arial"/>
          <w:color w:val="666666"/>
          <w:sz w:val="22"/>
          <w:szCs w:val="22"/>
        </w:rPr>
        <w:t xml:space="preserve">A simple header bar matching the visual style of business.gov.ki. It includes the MTCIC logo, the text “business.gov.ki” with the ministry name underneath, and a link back to the main site. This establishes that the mini site is an official part of the business.gov.ki ecosystem, not a separate product.</w:t>
      </w:r>
    </w:p>
    <w:p>
      <w:pPr>
        <w:pStyle w:val="Heading2"/>
        <w:spacing w:after="160" w:before="280"/>
      </w:pPr>
      <w:r>
        <w:rPr>
          <w:rFonts w:ascii="Arial" w:cs="Arial" w:eastAsia="Arial" w:hAnsi="Arial"/>
          <w:b/>
          <w:bCs/>
          <w:color w:val="146151"/>
          <w:sz w:val="26"/>
          <w:szCs w:val="26"/>
        </w:rPr>
        <w:t xml:space="preserve">3.2 Key messages section</w:t>
      </w:r>
    </w:p>
    <w:p>
      <w:pPr>
        <w:spacing w:after="160"/>
      </w:pPr>
      <w:r>
        <w:rPr>
          <w:rFonts w:ascii="Arial" w:cs="Arial" w:eastAsia="Arial" w:hAnsi="Arial"/>
          <w:color w:val="666666"/>
          <w:sz w:val="22"/>
          <w:szCs w:val="22"/>
        </w:rPr>
        <w:t xml:space="preserve">This is the first thing the user sees below the header. Its purpose is to answer the fundamental questions a business owner will have before they engage with any interactive element. The content should be scannable — short paragraphs or a clear question-and-answer format.</w:t>
      </w:r>
    </w:p>
    <w:p>
      <w:pPr>
        <w:spacing w:after="80"/>
      </w:pPr>
    </w:p>
    <w:p>
      <w:pPr>
        <w:spacing w:after="0"/>
      </w:pPr>
      <w:r>
        <w:rPr>
          <w:rFonts w:ascii="Arial" w:cs="Arial" w:eastAsia="Arial" w:hAnsi="Arial"/>
          <w:color w:val="666666"/>
          <w:sz w:val="22"/>
          <w:szCs w:val="22"/>
        </w:rPr>
        <w:t xml:space="preserve">The key messages are:</w:t>
      </w:r>
    </w:p>
    <w:p>
      <w:pPr>
        <w:spacing w:after="80"/>
      </w:pPr>
    </w:p>
    <w:p>
      <w:pPr>
        <w:spacing w:after="120" w:before="200"/>
      </w:pPr>
      <w:r>
        <w:rPr>
          <w:rFonts w:ascii="Arial" w:cs="Arial" w:eastAsia="Arial" w:hAnsi="Arial"/>
          <w:b/>
          <w:bCs/>
          <w:color w:val="1A1A1A"/>
          <w:sz w:val="22"/>
          <w:szCs w:val="22"/>
        </w:rPr>
        <w:t xml:space="preserve">What is re-registration?</w:t>
      </w:r>
    </w:p>
    <w:p>
      <w:pPr>
        <w:spacing w:after="160"/>
      </w:pPr>
      <w:r>
        <w:rPr>
          <w:rFonts w:ascii="Arial" w:cs="Arial" w:eastAsia="Arial" w:hAnsi="Arial"/>
          <w:color w:val="666666"/>
          <w:sz w:val="22"/>
          <w:szCs w:val="22"/>
        </w:rPr>
        <w:t xml:space="preserve">Kiribati has new laws for business names and companies — the Business Names Act 2021 and the Companies Act 2021. Re-registration moves your existing business name or company from the old laws to the new ones, and puts your information on the new Online Business Registry.</w:t>
      </w:r>
    </w:p>
    <w:p>
      <w:pPr>
        <w:spacing w:after="120" w:before="200"/>
      </w:pPr>
      <w:r>
        <w:rPr>
          <w:rFonts w:ascii="Arial" w:cs="Arial" w:eastAsia="Arial" w:hAnsi="Arial"/>
          <w:b/>
          <w:bCs/>
          <w:color w:val="1A1A1A"/>
          <w:sz w:val="22"/>
          <w:szCs w:val="22"/>
        </w:rPr>
        <w:t xml:space="preserve">Does it change my business?</w:t>
      </w:r>
    </w:p>
    <w:p>
      <w:pPr>
        <w:spacing w:after="160"/>
      </w:pPr>
      <w:r>
        <w:rPr>
          <w:rFonts w:ascii="Arial" w:cs="Arial" w:eastAsia="Arial" w:hAnsi="Arial"/>
          <w:color w:val="666666"/>
          <w:sz w:val="22"/>
          <w:szCs w:val="22"/>
        </w:rPr>
        <w:t xml:space="preserve">No. Your business keeps its name, its rights, its debts, and its property. It is still the same business, operating under updated rules.</w:t>
      </w:r>
    </w:p>
    <w:p>
      <w:pPr>
        <w:spacing w:after="120" w:before="200"/>
      </w:pPr>
      <w:r>
        <w:rPr>
          <w:rFonts w:ascii="Arial" w:cs="Arial" w:eastAsia="Arial" w:hAnsi="Arial"/>
          <w:b/>
          <w:bCs/>
          <w:color w:val="1A1A1A"/>
          <w:sz w:val="22"/>
          <w:szCs w:val="22"/>
        </w:rPr>
        <w:t xml:space="preserve">What does it cost?</w:t>
      </w:r>
    </w:p>
    <w:p>
      <w:pPr>
        <w:spacing w:after="160"/>
      </w:pPr>
      <w:r>
        <w:rPr>
          <w:rFonts w:ascii="Arial" w:cs="Arial" w:eastAsia="Arial" w:hAnsi="Arial"/>
          <w:color w:val="666666"/>
          <w:sz w:val="22"/>
          <w:szCs w:val="22"/>
        </w:rPr>
        <w:t xml:space="preserve">Nothing. Re-registration is free.</w:t>
      </w:r>
    </w:p>
    <w:p>
      <w:pPr>
        <w:spacing w:after="120" w:before="200"/>
      </w:pPr>
      <w:r>
        <w:rPr>
          <w:rFonts w:ascii="Arial" w:cs="Arial" w:eastAsia="Arial" w:hAnsi="Arial"/>
          <w:b/>
          <w:bCs/>
          <w:color w:val="1A1A1A"/>
          <w:sz w:val="22"/>
          <w:szCs w:val="22"/>
        </w:rPr>
        <w:t xml:space="preserve">What is the deadline?</w:t>
      </w:r>
    </w:p>
    <w:p>
      <w:pPr>
        <w:spacing w:after="160"/>
      </w:pPr>
      <w:r>
        <w:rPr>
          <w:rFonts w:ascii="Arial" w:cs="Arial" w:eastAsia="Arial" w:hAnsi="Arial"/>
          <w:color w:val="666666"/>
          <w:sz w:val="22"/>
          <w:szCs w:val="22"/>
        </w:rPr>
        <w:t xml:space="preserve">31 March 2027. This deadline is firm. Entities that do not re-register by this date will be removed from the register.</w:t>
      </w:r>
    </w:p>
    <w:p>
      <w:pPr>
        <w:spacing w:after="120" w:before="200"/>
      </w:pPr>
      <w:r>
        <w:rPr>
          <w:rFonts w:ascii="Arial" w:cs="Arial" w:eastAsia="Arial" w:hAnsi="Arial"/>
          <w:b/>
          <w:bCs/>
          <w:color w:val="1A1A1A"/>
          <w:sz w:val="22"/>
          <w:szCs w:val="22"/>
        </w:rPr>
        <w:t xml:space="preserve">What happens if I am removed from the register?</w:t>
      </w:r>
    </w:p>
    <w:p>
      <w:pPr>
        <w:spacing w:after="160"/>
      </w:pPr>
      <w:r>
        <w:rPr>
          <w:rFonts w:ascii="Arial" w:cs="Arial" w:eastAsia="Arial" w:hAnsi="Arial"/>
          <w:color w:val="666666"/>
          <w:sz w:val="22"/>
          <w:szCs w:val="22"/>
        </w:rPr>
        <w:t xml:space="preserve">It becomes illegal to operate your business. You would need to apply for restoration, which costs money ($250 for business names, $800 for companies, $1,300 for overseas companies) and has its own time limits.</w:t>
      </w:r>
    </w:p>
    <w:p>
      <w:pPr>
        <w:spacing w:after="120" w:before="200"/>
      </w:pPr>
      <w:r>
        <w:rPr>
          <w:rFonts w:ascii="Arial" w:cs="Arial" w:eastAsia="Arial" w:hAnsi="Arial"/>
          <w:b/>
          <w:bCs/>
          <w:color w:val="1A1A1A"/>
          <w:sz w:val="22"/>
          <w:szCs w:val="22"/>
        </w:rPr>
        <w:t xml:space="preserve">How long does the process take?</w:t>
      </w:r>
    </w:p>
    <w:p>
      <w:pPr>
        <w:spacing w:after="160"/>
      </w:pPr>
      <w:r>
        <w:rPr>
          <w:rFonts w:ascii="Arial" w:cs="Arial" w:eastAsia="Arial" w:hAnsi="Arial"/>
          <w:color w:val="666666"/>
          <w:sz w:val="22"/>
          <w:szCs w:val="22"/>
        </w:rPr>
        <w:t xml:space="preserve">The process has multiple steps and each step requires MTCIC to check and approve your information. You cannot complete re-registration in a single day. Allow 1–2 weeks from start to finish.</w:t>
      </w:r>
    </w:p>
    <w:p>
      <w:pPr>
        <w:spacing w:after="120" w:before="200"/>
      </w:pPr>
      <w:r>
        <w:rPr>
          <w:rFonts w:ascii="Arial" w:cs="Arial" w:eastAsia="Arial" w:hAnsi="Arial"/>
          <w:b/>
          <w:bCs/>
          <w:color w:val="1A1A1A"/>
          <w:sz w:val="22"/>
          <w:szCs w:val="22"/>
        </w:rPr>
        <w:t xml:space="preserve">Who needs to do this?</w:t>
      </w:r>
    </w:p>
    <w:p>
      <w:pPr>
        <w:spacing w:after="160"/>
      </w:pPr>
      <w:r>
        <w:rPr>
          <w:rFonts w:ascii="Arial" w:cs="Arial" w:eastAsia="Arial" w:hAnsi="Arial"/>
          <w:color w:val="666666"/>
          <w:sz w:val="22"/>
          <w:szCs w:val="22"/>
        </w:rPr>
        <w:t xml:space="preserve">Every existing business name, local company, and overseas company registered before the new Acts came into effect. If your company also operates under a registered business name, you need to re-register both — the company first, then the business name.</w:t>
      </w:r>
    </w:p>
    <w:p>
      <w:pPr>
        <w:pStyle w:val="Heading2"/>
        <w:spacing w:after="160" w:before="280"/>
      </w:pPr>
      <w:r>
        <w:rPr>
          <w:rFonts w:ascii="Arial" w:cs="Arial" w:eastAsia="Arial" w:hAnsi="Arial"/>
          <w:b/>
          <w:bCs/>
          <w:color w:val="146151"/>
          <w:sz w:val="26"/>
          <w:szCs w:val="26"/>
        </w:rPr>
        <w:t xml:space="preserve">3.3 Time-aware banner</w:t>
      </w:r>
    </w:p>
    <w:p>
      <w:pPr>
        <w:spacing w:after="160"/>
      </w:pPr>
      <w:r>
        <w:rPr>
          <w:rFonts w:ascii="Arial" w:cs="Arial" w:eastAsia="Arial" w:hAnsi="Arial"/>
          <w:color w:val="666666"/>
          <w:sz w:val="22"/>
          <w:szCs w:val="22"/>
        </w:rPr>
        <w:t xml:space="preserve">A prominent banner that displays the number of days remaining until 31 March 2027, calculated from today’s date using client-side JavaScript. The banner’s colour and messaging shift based on urgency: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 remaining</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Tone</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 message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More than 9 months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Calm (teal)</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You have approximately [X] months. Start early to avoid the rush.</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3–9 months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Advisory (amber)</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[X] days remain. The process takes 1–2 weeks. Start soon.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30–90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Urgent (red)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Only [X] days left. Start immediately — each step requires MTCIC approval.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Under 30 days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Critical (red)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deadline is in [X] days. It may not be possible to complete in time. Contact MTCIC directly.</w:t>
            </w:r>
          </w:p>
        </w:tc>
      </w:tr>
    </w:tbl>
    <w:p>
      <w:pPr>
        <w:spacing w:after="80"/>
      </w:pPr>
    </w:p>
    <w:p>
      <w:pPr>
        <w:spacing w:after="160"/>
      </w:pPr>
      <w:r>
        <w:rPr>
          <w:rFonts w:ascii="Arial" w:cs="Arial" w:eastAsia="Arial" w:hAnsi="Arial"/>
          <w:color w:val="666666"/>
          <w:sz w:val="22"/>
          <w:szCs w:val="22"/>
        </w:rPr>
        <w:t xml:space="preserve">The banner also displays the recommended submission date of 15 March 2027, with an explanation that this allows a two-week buffer for MTCIC processing.</w:t>
      </w:r>
    </w:p>
    <w:p>
      <w:pPr>
        <w:pStyle w:val="Heading2"/>
        <w:spacing w:after="160" w:before="280"/>
      </w:pPr>
      <w:r>
        <w:rPr>
          <w:rFonts w:ascii="Arial" w:cs="Arial" w:eastAsia="Arial" w:hAnsi="Arial"/>
          <w:b/>
          <w:bCs/>
          <w:color w:val="146151"/>
          <w:sz w:val="26"/>
          <w:szCs w:val="26"/>
        </w:rPr>
        <w:t xml:space="preserve">3.4 Triage section</w:t>
      </w:r>
    </w:p>
    <w:p>
      <w:pPr>
        <w:spacing w:after="160"/>
      </w:pPr>
      <w:r>
        <w:rPr>
          <w:rFonts w:ascii="Arial" w:cs="Arial" w:eastAsia="Arial" w:hAnsi="Arial"/>
          <w:color w:val="666666"/>
          <w:sz w:val="22"/>
          <w:szCs w:val="22"/>
        </w:rPr>
        <w:t xml:space="preserve">This is the first interactive element. The user answers two or three questions that determine their personalised pathway.</w:t>
      </w:r>
    </w:p>
    <w:p>
      <w:pPr>
        <w:spacing w:after="80"/>
      </w:pPr>
    </w:p>
    <w:p>
      <w:pPr>
        <w:spacing w:after="160"/>
      </w:pPr>
      <w:r>
        <w:rPr>
          <w:rFonts w:ascii="Arial" w:cs="Arial" w:eastAsia="Arial" w:hAnsi="Arial"/>
          <w:b/>
          <w:bCs/>
          <w:color w:val="666666"/>
          <w:sz w:val="22"/>
          <w:szCs w:val="22"/>
        </w:rPr>
        <w:t xml:space="preserve">Question 1: </w:t>
      </w:r>
      <w:r>
        <w:rPr>
          <w:rFonts w:ascii="Arial" w:cs="Arial" w:eastAsia="Arial" w:hAnsi="Arial"/>
          <w:color w:val="666666"/>
          <w:sz w:val="22"/>
          <w:szCs w:val="22"/>
        </w:rPr>
        <w:t xml:space="preserve">What are you re-registering? The user selects one of three entity types: Business Name, Local Company, or Overseas Company. Each option includes a brief description and the relevant form number (BN-0, CO-0, CO-0a). Presented as selectable cards.</w:t>
      </w:r>
    </w:p>
    <w:p>
      <w:pPr>
        <w:spacing w:after="160"/>
      </w:pPr>
      <w:r>
        <w:rPr>
          <w:rFonts w:ascii="Arial" w:cs="Arial" w:eastAsia="Arial" w:hAnsi="Arial"/>
          <w:b/>
          <w:bCs/>
          <w:color w:val="666666"/>
          <w:sz w:val="22"/>
          <w:szCs w:val="22"/>
        </w:rPr>
        <w:t xml:space="preserve">Question 2: </w:t>
      </w:r>
      <w:r>
        <w:rPr>
          <w:rFonts w:ascii="Arial" w:cs="Arial" w:eastAsia="Arial" w:hAnsi="Arial"/>
          <w:color w:val="666666"/>
          <w:sz w:val="22"/>
          <w:szCs w:val="22"/>
        </w:rPr>
        <w:t xml:space="preserve">Do you already have an online account on the Business Registry? Yes or No toggle. This determines whether the pathway includes the account creation step.</w:t>
      </w:r>
    </w:p>
    <w:p>
      <w:pPr>
        <w:spacing w:after="160"/>
      </w:pPr>
      <w:r>
        <w:rPr>
          <w:rFonts w:ascii="Arial" w:cs="Arial" w:eastAsia="Arial" w:hAnsi="Arial"/>
          <w:b/>
          <w:bCs/>
          <w:color w:val="666666"/>
          <w:sz w:val="22"/>
          <w:szCs w:val="22"/>
        </w:rPr>
        <w:t xml:space="preserve">Question 3 (conditional): </w:t>
      </w:r>
      <w:r>
        <w:rPr>
          <w:rFonts w:ascii="Arial" w:cs="Arial" w:eastAsia="Arial" w:hAnsi="Arial"/>
          <w:color w:val="666666"/>
          <w:sz w:val="22"/>
          <w:szCs w:val="22"/>
        </w:rPr>
        <w:t xml:space="preserve">Does your company also operate under a registered business name? Only shown if the user selected Local Company or Overseas Company. Yes or No toggle. If yes, the pathway includes a notice about dual re-registration.</w:t>
      </w:r>
    </w:p>
    <w:p>
      <w:pPr>
        <w:pStyle w:val="Heading2"/>
        <w:spacing w:after="160" w:before="280"/>
      </w:pPr>
      <w:r>
        <w:rPr>
          <w:rFonts w:ascii="Arial" w:cs="Arial" w:eastAsia="Arial" w:hAnsi="Arial"/>
          <w:b/>
          <w:bCs/>
          <w:color w:val="146151"/>
          <w:sz w:val="26"/>
          <w:szCs w:val="26"/>
        </w:rPr>
        <w:t xml:space="preserve">3.5 Personalised pathway section</w:t>
      </w:r>
    </w:p>
    <w:p>
      <w:pPr>
        <w:spacing w:after="160"/>
      </w:pPr>
      <w:r>
        <w:rPr>
          <w:rFonts w:ascii="Arial" w:cs="Arial" w:eastAsia="Arial" w:hAnsi="Arial"/>
          <w:color w:val="666666"/>
          <w:sz w:val="22"/>
          <w:szCs w:val="22"/>
        </w:rPr>
        <w:t xml:space="preserve">Based on the triage answers, the site displays a step-by-step pathway. Each step is an expandable card showing what the user needs, what to do, where to do it (registry or form builder), the expected wait time, and a direct link to the relevant page.</w:t>
      </w:r>
    </w:p>
    <w:p>
      <w:pPr>
        <w:spacing w:after="80"/>
      </w:pPr>
    </w:p>
    <w:p>
      <w:pPr>
        <w:spacing w:after="160"/>
      </w:pPr>
      <w:r>
        <w:rPr>
          <w:rFonts w:ascii="Arial" w:cs="Arial" w:eastAsia="Arial" w:hAnsi="Arial"/>
          <w:color w:val="666666"/>
          <w:sz w:val="22"/>
          <w:szCs w:val="22"/>
        </w:rPr>
        <w:t xml:space="preserve">The pathway varies as follows: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 shown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Has account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3 steps: authority → complete form → upload and submit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 account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4 steps: create account → authority → complete form → upload and submit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Company + business name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Primary pathway for company (CO-0), plus a notice that they must also re-register their business name (BN-0) after the company is done</w:t>
            </w:r>
          </w:p>
        </w:tc>
      </w:tr>
    </w:tbl>
    <w:p>
      <w:pPr>
        <w:spacing w:after="80"/>
      </w:pPr>
    </w:p>
    <w:p>
      <w:pPr>
        <w:spacing w:after="160"/>
      </w:pPr>
      <w:r>
        <w:rPr>
          <w:rFonts w:ascii="Arial" w:cs="Arial" w:eastAsia="Arial" w:hAnsi="Arial"/>
          <w:color w:val="666666"/>
          <w:sz w:val="22"/>
          <w:szCs w:val="22"/>
        </w:rPr>
        <w:t xml:space="preserve">An estimated total timeline is shown at the top of the pathway, calculated from today’s date. For example: “Estimated total time: 8–15 business days including MTCIC approval periods. We recommend starting by [date] at the latest.” The recommended start date is calculated by subtracting the estimated processing time from 15 March 2027.</w:t>
      </w:r>
    </w:p>
    <w:p>
      <w:pPr>
        <w:spacing w:after="80"/>
      </w:pPr>
    </w:p>
    <w:p>
      <w:pPr>
        <w:spacing w:after="0"/>
      </w:pPr>
      <w:r>
        <w:rPr>
          <w:rFonts w:ascii="Arial" w:cs="Arial" w:eastAsia="Arial" w:hAnsi="Arial"/>
          <w:color w:val="666666"/>
          <w:sz w:val="22"/>
          <w:szCs w:val="22"/>
        </w:rPr>
        <w:t xml:space="preserve">The steps are:</w:t>
      </w:r>
    </w:p>
    <w:p>
      <w:pPr>
        <w:spacing w:after="80"/>
      </w:pPr>
    </w:p>
    <w:p>
      <w:pPr>
        <w:spacing w:after="160"/>
      </w:pPr>
      <w:r>
        <w:rPr>
          <w:rFonts w:ascii="Arial" w:cs="Arial" w:eastAsia="Arial" w:hAnsi="Arial"/>
          <w:b/>
          <w:bCs/>
          <w:color w:val="666666"/>
          <w:sz w:val="22"/>
          <w:szCs w:val="22"/>
        </w:rPr>
        <w:t xml:space="preserve">Step: Create an online account </w:t>
      </w:r>
      <w:r>
        <w:rPr>
          <w:rFonts w:ascii="Arial" w:cs="Arial" w:eastAsia="Arial" w:hAnsi="Arial"/>
          <w:color w:val="666666"/>
          <w:sz w:val="22"/>
          <w:szCs w:val="22"/>
        </w:rPr>
        <w:t xml:space="preserve">(only if user does not have one). Directs to the registry. Explains what is needed (email, photo ID), what to do (click CREATE ACCOUNT, fill in details, upload ID, submit), and that they must wait for MTCIC approval (2–3 business days). Includes a “Show me how” link to the account creation walkthrough guide.</w:t>
      </w:r>
    </w:p>
    <w:p>
      <w:pPr>
        <w:spacing w:after="160"/>
      </w:pPr>
      <w:r>
        <w:rPr>
          <w:rFonts w:ascii="Arial" w:cs="Arial" w:eastAsia="Arial" w:hAnsi="Arial"/>
          <w:b/>
          <w:bCs/>
          <w:color w:val="666666"/>
          <w:sz w:val="22"/>
          <w:szCs w:val="22"/>
        </w:rPr>
        <w:t xml:space="preserve">Step: Get authority to file. </w:t>
      </w:r>
      <w:r>
        <w:rPr>
          <w:rFonts w:ascii="Arial" w:cs="Arial" w:eastAsia="Arial" w:hAnsi="Arial"/>
          <w:color w:val="666666"/>
          <w:sz w:val="22"/>
          <w:szCs w:val="22"/>
        </w:rPr>
        <w:t xml:space="preserve">Directs to the registry. This step includes the authority wizard (see section 3.6 below). Includes a “Show me how” link to the authority request walkthrough guide.</w:t>
      </w:r>
    </w:p>
    <w:p>
      <w:pPr>
        <w:spacing w:after="160"/>
      </w:pPr>
      <w:r>
        <w:rPr>
          <w:rFonts w:ascii="Arial" w:cs="Arial" w:eastAsia="Arial" w:hAnsi="Arial"/>
          <w:b/>
          <w:bCs/>
          <w:color w:val="666666"/>
          <w:sz w:val="22"/>
          <w:szCs w:val="22"/>
        </w:rPr>
        <w:t xml:space="preserve">Step: Complete the re-registration form. </w:t>
      </w:r>
      <w:r>
        <w:rPr>
          <w:rFonts w:ascii="Arial" w:cs="Arial" w:eastAsia="Arial" w:hAnsi="Arial"/>
          <w:color w:val="666666"/>
          <w:sz w:val="22"/>
          <w:szCs w:val="22"/>
        </w:rPr>
        <w:t xml:space="preserve">Directs to the form builder for the relevant entity type. Notes that this can be done while waiting for authority approval. Names the specific form (BN-0, CO-0, or CO-0a). Links directly to the relevant form builder URL.</w:t>
      </w:r>
    </w:p>
    <w:p>
      <w:pPr>
        <w:spacing w:after="160"/>
      </w:pPr>
      <w:r>
        <w:rPr>
          <w:rFonts w:ascii="Arial" w:cs="Arial" w:eastAsia="Arial" w:hAnsi="Arial"/>
          <w:b/>
          <w:bCs/>
          <w:color w:val="666666"/>
          <w:sz w:val="22"/>
          <w:szCs w:val="22"/>
        </w:rPr>
        <w:t xml:space="preserve">Step: Upload and submit. </w:t>
      </w:r>
      <w:r>
        <w:rPr>
          <w:rFonts w:ascii="Arial" w:cs="Arial" w:eastAsia="Arial" w:hAnsi="Arial"/>
          <w:color w:val="666666"/>
          <w:sz w:val="22"/>
          <w:szCs w:val="22"/>
        </w:rPr>
        <w:t xml:space="preserve">Directs to the registry. Lists what is needed (approved authority, completed form as PDF, supporting documents). Walks through the submission sequence (My Entities → RE-REGISTER → upload → submit → checkout). Notes that re-registration is free. Includes a “Show me how” link to the upload walkthrough guide.</w:t>
      </w:r>
    </w:p>
    <w:p>
      <w:pPr>
        <w:pStyle w:val="Heading2"/>
        <w:spacing w:after="160" w:before="280"/>
      </w:pPr>
      <w:r>
        <w:rPr>
          <w:rFonts w:ascii="Arial" w:cs="Arial" w:eastAsia="Arial" w:hAnsi="Arial"/>
          <w:b/>
          <w:bCs/>
          <w:color w:val="146151"/>
          <w:sz w:val="26"/>
          <w:szCs w:val="26"/>
        </w:rPr>
        <w:t xml:space="preserve">3.6 Authority wizard</w:t>
      </w:r>
    </w:p>
    <w:p>
      <w:pPr>
        <w:spacing w:after="160"/>
      </w:pPr>
      <w:r>
        <w:rPr>
          <w:rFonts w:ascii="Arial" w:cs="Arial" w:eastAsia="Arial" w:hAnsi="Arial"/>
          <w:color w:val="666666"/>
          <w:sz w:val="22"/>
          <w:szCs w:val="22"/>
        </w:rPr>
        <w:t xml:space="preserve">Within the authority step, an inline guided section helps the user understand who should request authority and what evidence they need. This is not a separate page or modal — it expands within the step card.</w:t>
      </w:r>
    </w:p>
    <w:p>
      <w:pPr>
        <w:spacing w:after="80"/>
      </w:pPr>
    </w:p>
    <w:p>
      <w:pPr>
        <w:spacing w:after="160"/>
      </w:pPr>
      <w:r>
        <w:rPr>
          <w:rFonts w:ascii="Arial" w:cs="Arial" w:eastAsia="Arial" w:hAnsi="Arial"/>
          <w:color w:val="666666"/>
          <w:sz w:val="22"/>
          <w:szCs w:val="22"/>
        </w:rPr>
        <w:t xml:space="preserve">The wizard presents a single question:</w:t>
      </w:r>
    </w:p>
    <w:p>
      <w:pPr>
        <w:spacing w:after="80"/>
      </w:pPr>
    </w:p>
    <w:p>
      <w:pPr>
        <w:spacing w:after="160"/>
      </w:pPr>
      <w:r>
        <w:rPr>
          <w:rFonts w:ascii="Arial" w:cs="Arial" w:eastAsia="Arial" w:hAnsi="Arial"/>
          <w:b/>
          <w:bCs/>
          <w:i/>
          <w:iCs/>
          <w:color w:val="666666"/>
          <w:sz w:val="22"/>
          <w:szCs w:val="22"/>
        </w:rPr>
        <w:t xml:space="preserve">What is your relationship to this [business name / company]? </w:t>
      </w:r>
      <w:r>
        <w:rPr>
          <w:rFonts w:ascii="Arial" w:cs="Arial" w:eastAsia="Arial" w:hAnsi="Arial"/>
          <w:color w:val="666666"/>
          <w:sz w:val="22"/>
          <w:szCs w:val="22"/>
        </w:rPr>
        <w:t xml:space="preserve">The entity type label adapts based on the triage selection.</w:t>
      </w:r>
    </w:p>
    <w:p>
      <w:pPr>
        <w:spacing w:after="80"/>
      </w:pPr>
    </w:p>
    <w:p>
      <w:pPr>
        <w:spacing w:after="160"/>
      </w:pPr>
      <w:r>
        <w:rPr>
          <w:rFonts w:ascii="Arial" w:cs="Arial" w:eastAsia="Arial" w:hAnsi="Arial"/>
          <w:color w:val="666666"/>
          <w:sz w:val="22"/>
          <w:szCs w:val="22"/>
        </w:rPr>
        <w:t xml:space="preserve">The user selects one of three options:</w:t>
      </w:r>
    </w:p>
    <w:p>
      <w:pPr>
        <w:spacing w:after="80"/>
      </w:pPr>
    </w:p>
    <w:p>
      <w:pPr>
        <w:spacing w:after="160"/>
      </w:pPr>
      <w:r>
        <w:rPr>
          <w:rFonts w:ascii="Arial" w:cs="Arial" w:eastAsia="Arial" w:hAnsi="Arial"/>
          <w:b/>
          <w:bCs/>
          <w:color w:val="666666"/>
          <w:sz w:val="22"/>
          <w:szCs w:val="22"/>
        </w:rPr>
        <w:t xml:space="preserve">Option A — Owner (business names) or Director (companies). </w:t>
      </w:r>
      <w:r>
        <w:rPr>
          <w:rFonts w:ascii="Arial" w:cs="Arial" w:eastAsia="Arial" w:hAnsi="Arial"/>
          <w:color w:val="666666"/>
          <w:sz w:val="22"/>
          <w:szCs w:val="22"/>
        </w:rPr>
        <w:t xml:space="preserve">Marked as “Recommended.” This is the preferred path. Evidence required: government-issued photo ID. The wizard explains that as the first person with authority, they will be responsible for granting authority to anyone else who needs to act on behalf of the entity.</w:t>
      </w:r>
    </w:p>
    <w:p>
      <w:pPr>
        <w:spacing w:after="160"/>
      </w:pPr>
      <w:r>
        <w:rPr>
          <w:rFonts w:ascii="Arial" w:cs="Arial" w:eastAsia="Arial" w:hAnsi="Arial"/>
          <w:b/>
          <w:bCs/>
          <w:color w:val="666666"/>
          <w:sz w:val="22"/>
          <w:szCs w:val="22"/>
        </w:rPr>
        <w:t xml:space="preserve">Option B — Employee or authorised agent. </w:t>
      </w:r>
      <w:r>
        <w:rPr>
          <w:rFonts w:ascii="Arial" w:cs="Arial" w:eastAsia="Arial" w:hAnsi="Arial"/>
          <w:color w:val="666666"/>
          <w:sz w:val="22"/>
          <w:szCs w:val="22"/>
        </w:rPr>
        <w:t xml:space="preserve">Presented with an advisory note that this path is accepted but requires additional evidence, may take longer, and is more likely to be sent back for revision. The wizard recommends that where possible, the owner or director requests authority first instead. Evidence required: government-issued photo ID plus a letter of authority from the owner or director, plus any additional supporting documents required by MTCIC.</w:t>
      </w:r>
    </w:p>
    <w:p>
      <w:pPr>
        <w:spacing w:after="160"/>
      </w:pPr>
      <w:r>
        <w:rPr>
          <w:rFonts w:ascii="Arial" w:cs="Arial" w:eastAsia="Arial" w:hAnsi="Arial"/>
          <w:b/>
          <w:bCs/>
          <w:color w:val="666666"/>
          <w:sz w:val="22"/>
          <w:szCs w:val="22"/>
        </w:rPr>
        <w:t xml:space="preserve">Option C — None of the above. </w:t>
      </w:r>
      <w:r>
        <w:rPr>
          <w:rFonts w:ascii="Arial" w:cs="Arial" w:eastAsia="Arial" w:hAnsi="Arial"/>
          <w:color w:val="666666"/>
          <w:sz w:val="22"/>
          <w:szCs w:val="22"/>
        </w:rPr>
        <w:t xml:space="preserve">The wizard explains that only owners, directors, employees, or authorised agents can request authority. The user is advised to find someone who holds one of those roles to begin the process.</w:t>
      </w:r>
    </w:p>
    <w:p>
      <w:pPr>
        <w:spacing w:after="80"/>
      </w:pPr>
    </w:p>
    <w:p>
      <w:pPr>
        <w:spacing w:after="160"/>
      </w:pPr>
      <w:r>
        <w:rPr>
          <w:rFonts w:ascii="Arial" w:cs="Arial" w:eastAsia="Arial" w:hAnsi="Arial"/>
          <w:color w:val="666666"/>
          <w:sz w:val="22"/>
          <w:szCs w:val="22"/>
        </w:rPr>
        <w:t xml:space="preserve">For all paths, the wizard provides a brief, empathetic explanation of why authority to file exists: because the registry already holds entity data from the old system, MTCIC needs to verify that the person requesting access is genuinely entitled to act for that entity. This protects the business from someone else claiming authority over it.</w:t>
      </w:r>
    </w:p>
    <w:p>
      <w:pPr>
        <w:pStyle w:val="Heading2"/>
        <w:spacing w:after="160" w:before="280"/>
      </w:pPr>
      <w:r>
        <w:rPr>
          <w:rFonts w:ascii="Arial" w:cs="Arial" w:eastAsia="Arial" w:hAnsi="Arial"/>
          <w:b/>
          <w:bCs/>
          <w:color w:val="146151"/>
          <w:sz w:val="26"/>
          <w:szCs w:val="26"/>
        </w:rPr>
        <w:t xml:space="preserve">3.7 PDF checklist download section</w:t>
      </w:r>
    </w:p>
    <w:p>
      <w:pPr>
        <w:spacing w:after="160"/>
      </w:pPr>
      <w:r>
        <w:rPr>
          <w:rFonts w:ascii="Arial" w:cs="Arial" w:eastAsia="Arial" w:hAnsi="Arial"/>
          <w:color w:val="666666"/>
          <w:sz w:val="22"/>
          <w:szCs w:val="22"/>
        </w:rPr>
        <w:t xml:space="preserve">At the bottom of the pathway, a prominent call-to-action allows the user to download a personalised PDF checklist. This is described in detail in section 4.</w:t>
      </w:r>
    </w:p>
    <w:p>
      <w:pPr>
        <w:pStyle w:val="Heading2"/>
        <w:spacing w:after="160" w:before="280"/>
      </w:pPr>
      <w:r>
        <w:rPr>
          <w:rFonts w:ascii="Arial" w:cs="Arial" w:eastAsia="Arial" w:hAnsi="Arial"/>
          <w:b/>
          <w:bCs/>
          <w:color w:val="146151"/>
          <w:sz w:val="26"/>
          <w:szCs w:val="26"/>
        </w:rPr>
        <w:t xml:space="preserve">3.8 Contact and further information</w:t>
      </w:r>
    </w:p>
    <w:p>
      <w:pPr>
        <w:spacing w:after="160"/>
      </w:pPr>
      <w:r>
        <w:rPr>
          <w:rFonts w:ascii="Arial" w:cs="Arial" w:eastAsia="Arial" w:hAnsi="Arial"/>
          <w:color w:val="666666"/>
          <w:sz w:val="22"/>
          <w:szCs w:val="22"/>
        </w:rPr>
        <w:t xml:space="preserve">A final section with MTCIC contact details (phone and email — to be confirmed), a link to the main business.gov.ki site, links to the About Re-registration and FAQ pages on the main site, and the standard ministry and sponsor branding.</w:t>
      </w:r>
    </w:p>
    <w:p>
      <w:r>
        <w:br w:type="page"/>
      </w:r>
    </w:p>
    <w:p>
      <w:pPr>
        <w:pStyle w:val="Heading1"/>
        <w:spacing w:after="200" w:before="360"/>
      </w:pPr>
      <w:r>
        <w:rPr>
          <w:rFonts w:ascii="Arial" w:cs="Arial" w:eastAsia="Arial" w:hAnsi="Arial"/>
          <w:b/>
          <w:bCs/>
          <w:color w:val="146151"/>
          <w:sz w:val="32"/>
          <w:szCs w:val="32"/>
        </w:rPr>
        <w:t xml:space="preserve">4. PDF Checklist Specification</w:t>
      </w:r>
    </w:p>
    <w:p>
      <w:pPr>
        <w:spacing w:after="160"/>
      </w:pPr>
      <w:r>
        <w:rPr>
          <w:rFonts w:ascii="Arial" w:cs="Arial" w:eastAsia="Arial" w:hAnsi="Arial"/>
          <w:color w:val="666666"/>
          <w:sz w:val="22"/>
          <w:szCs w:val="22"/>
        </w:rPr>
        <w:t xml:space="preserve">The PDF checklist is the primary durable output of the mini site. It is generated client-side using jsPDF based on the user’s triage selections and authority wizard answers. It should feel like an official MTCIC document that the user can print, save to their phone, or bring to the MTCIC office.</w:t>
      </w:r>
    </w:p>
    <w:p>
      <w:pPr>
        <w:pStyle w:val="Heading2"/>
        <w:spacing w:after="160" w:before="280"/>
      </w:pPr>
      <w:r>
        <w:rPr>
          <w:rFonts w:ascii="Arial" w:cs="Arial" w:eastAsia="Arial" w:hAnsi="Arial"/>
          <w:b/>
          <w:bCs/>
          <w:color w:val="146151"/>
          <w:sz w:val="26"/>
          <w:szCs w:val="26"/>
        </w:rPr>
        <w:t xml:space="preserve">4.1 Content</w:t>
      </w:r>
    </w:p>
    <w:p>
      <w:pPr>
        <w:spacing w:after="160"/>
      </w:pPr>
      <w:r>
        <w:rPr>
          <w:rFonts w:ascii="Arial" w:cs="Arial" w:eastAsia="Arial" w:hAnsi="Arial"/>
          <w:color w:val="666666"/>
          <w:sz w:val="22"/>
          <w:szCs w:val="22"/>
        </w:rPr>
        <w:t xml:space="preserve">The PDF includes the following, personalised to the user’s selections:</w:t>
      </w:r>
    </w:p>
    <w:p>
      <w:pPr>
        <w:spacing w:after="80"/>
      </w:pPr>
    </w:p>
    <w:p>
      <w:pPr>
        <w:pStyle w:val="ListParagraph"/>
        <w:numPr>
          <w:ilvl w:val="0"/>
          <w:numId w:val="3"/>
        </w:numPr>
        <w:spacing w:after="80"/>
      </w:pPr>
      <w:r>
        <w:rPr>
          <w:rFonts w:ascii="Arial" w:cs="Arial" w:eastAsia="Arial" w:hAnsi="Arial"/>
          <w:color w:val="666666"/>
          <w:sz w:val="22"/>
          <w:szCs w:val="22"/>
        </w:rPr>
        <w:t xml:space="preserve">MTCIC header with logo and ministry name.</w:t>
      </w:r>
    </w:p>
    <w:p>
      <w:pPr>
        <w:pStyle w:val="ListParagraph"/>
        <w:numPr>
          <w:ilvl w:val="0"/>
          <w:numId w:val="3"/>
        </w:numPr>
        <w:spacing w:after="80"/>
      </w:pPr>
      <w:r>
        <w:rPr>
          <w:rFonts w:ascii="Arial" w:cs="Arial" w:eastAsia="Arial" w:hAnsi="Arial"/>
          <w:color w:val="666666"/>
          <w:sz w:val="22"/>
          <w:szCs w:val="22"/>
        </w:rPr>
        <w:t xml:space="preserve">Title: “Your Re-Registration Checklist” with the entity type (e.g. “Local Company — Form CO-0”).</w:t>
      </w:r>
    </w:p>
    <w:p>
      <w:pPr>
        <w:pStyle w:val="ListParagraph"/>
        <w:numPr>
          <w:ilvl w:val="0"/>
          <w:numId w:val="3"/>
        </w:numPr>
        <w:spacing w:after="80"/>
      </w:pPr>
      <w:r>
        <w:rPr>
          <w:rFonts w:ascii="Arial" w:cs="Arial" w:eastAsia="Arial" w:hAnsi="Arial"/>
          <w:color w:val="666666"/>
          <w:sz w:val="22"/>
          <w:szCs w:val="22"/>
        </w:rPr>
        <w:t xml:space="preserve">Deadline reminder: “Deadline: 31 March 2027. We recommend submitting by 15 March 2027.”</w:t>
      </w:r>
    </w:p>
    <w:p>
      <w:pPr>
        <w:pStyle w:val="ListParagraph"/>
        <w:numPr>
          <w:ilvl w:val="0"/>
          <w:numId w:val="3"/>
        </w:numPr>
        <w:spacing w:after="80"/>
      </w:pPr>
      <w:r>
        <w:rPr>
          <w:rFonts w:ascii="Arial" w:cs="Arial" w:eastAsia="Arial" w:hAnsi="Arial"/>
          <w:color w:val="666666"/>
          <w:sz w:val="22"/>
          <w:szCs w:val="22"/>
        </w:rPr>
        <w:t xml:space="preserve">A “Before you start” section listing everything the user needs to gather before beginning: email address, photo ID, proof of authority (specific to their role from the wizard), business registration number or name, and any entity-specific supporting documents.</w:t>
      </w:r>
    </w:p>
    <w:p>
      <w:pPr>
        <w:pStyle w:val="ListParagraph"/>
        <w:numPr>
          <w:ilvl w:val="0"/>
          <w:numId w:val="3"/>
        </w:numPr>
        <w:spacing w:after="80"/>
      </w:pPr>
      <w:r>
        <w:rPr>
          <w:rFonts w:ascii="Arial" w:cs="Arial" w:eastAsia="Arial" w:hAnsi="Arial"/>
          <w:color w:val="666666"/>
          <w:sz w:val="22"/>
          <w:szCs w:val="22"/>
        </w:rPr>
        <w:t xml:space="preserve">The step-by-step checklist with a checkbox next to each step. Each step includes: what to do (one sentence), where to do it (registry or form builder, with URL), what you need for this step, and expected wait time.</w:t>
      </w:r>
    </w:p>
    <w:p>
      <w:pPr>
        <w:pStyle w:val="ListParagraph"/>
        <w:numPr>
          <w:ilvl w:val="0"/>
          <w:numId w:val="3"/>
        </w:numPr>
        <w:spacing w:after="80"/>
      </w:pPr>
      <w:r>
        <w:rPr>
          <w:rFonts w:ascii="Arial" w:cs="Arial" w:eastAsia="Arial" w:hAnsi="Arial"/>
          <w:color w:val="666666"/>
          <w:sz w:val="22"/>
          <w:szCs w:val="22"/>
        </w:rPr>
        <w:t xml:space="preserve">If the user has a company plus a business name, a note that after completing company re-registration, they should repeat the process for their business name using form BN-0.</w:t>
      </w:r>
    </w:p>
    <w:p>
      <w:pPr>
        <w:pStyle w:val="ListParagraph"/>
        <w:numPr>
          <w:ilvl w:val="0"/>
          <w:numId w:val="3"/>
        </w:numPr>
        <w:spacing w:after="80"/>
      </w:pPr>
      <w:r>
        <w:rPr>
          <w:rFonts w:ascii="Arial" w:cs="Arial" w:eastAsia="Arial" w:hAnsi="Arial"/>
          <w:color w:val="666666"/>
          <w:sz w:val="22"/>
          <w:szCs w:val="22"/>
        </w:rPr>
        <w:t xml:space="preserve">Authority evidence summary based on their wizard selection (owner/director path or employee/agent path).</w:t>
      </w:r>
    </w:p>
    <w:p>
      <w:pPr>
        <w:pStyle w:val="ListParagraph"/>
        <w:numPr>
          <w:ilvl w:val="0"/>
          <w:numId w:val="3"/>
        </w:numPr>
        <w:spacing w:after="80"/>
      </w:pPr>
      <w:r>
        <w:rPr>
          <w:rFonts w:ascii="Arial" w:cs="Arial" w:eastAsia="Arial" w:hAnsi="Arial"/>
          <w:color w:val="666666"/>
          <w:sz w:val="22"/>
          <w:szCs w:val="22"/>
        </w:rPr>
        <w:t xml:space="preserve">Links section: mini site URL, registry login URL, form builder URL for their entity type, and the walkthrough guide URLs.</w:t>
      </w:r>
    </w:p>
    <w:p>
      <w:pPr>
        <w:pStyle w:val="ListParagraph"/>
        <w:numPr>
          <w:ilvl w:val="0"/>
          <w:numId w:val="3"/>
        </w:numPr>
        <w:spacing w:after="80"/>
      </w:pPr>
      <w:r>
        <w:rPr>
          <w:rFonts w:ascii="Arial" w:cs="Arial" w:eastAsia="Arial" w:hAnsi="Arial"/>
          <w:color w:val="666666"/>
          <w:sz w:val="22"/>
          <w:szCs w:val="22"/>
        </w:rPr>
        <w:t xml:space="preserve">MTCIC contact details.</w:t>
      </w:r>
    </w:p>
    <w:p>
      <w:pPr>
        <w:pStyle w:val="ListParagraph"/>
        <w:numPr>
          <w:ilvl w:val="0"/>
          <w:numId w:val="3"/>
        </w:numPr>
        <w:spacing w:after="80"/>
      </w:pPr>
      <w:r>
        <w:rPr>
          <w:rFonts w:ascii="Arial" w:cs="Arial" w:eastAsia="Arial" w:hAnsi="Arial"/>
          <w:color w:val="666666"/>
          <w:sz w:val="22"/>
          <w:szCs w:val="22"/>
        </w:rPr>
        <w:t xml:space="preserve">Footer with date of generation and a note that this is for guidance only.</w:t>
      </w:r>
    </w:p>
    <w:p>
      <w:pPr>
        <w:pStyle w:val="Heading2"/>
        <w:spacing w:after="160" w:before="280"/>
      </w:pPr>
      <w:r>
        <w:rPr>
          <w:rFonts w:ascii="Arial" w:cs="Arial" w:eastAsia="Arial" w:hAnsi="Arial"/>
          <w:b/>
          <w:bCs/>
          <w:color w:val="146151"/>
          <w:sz w:val="26"/>
          <w:szCs w:val="26"/>
        </w:rPr>
        <w:t xml:space="preserve">4.2 Design</w:t>
      </w:r>
    </w:p>
    <w:p>
      <w:pPr>
        <w:spacing w:after="160"/>
      </w:pPr>
      <w:r>
        <w:rPr>
          <w:rFonts w:ascii="Arial" w:cs="Arial" w:eastAsia="Arial" w:hAnsi="Arial"/>
          <w:color w:val="666666"/>
          <w:sz w:val="22"/>
          <w:szCs w:val="22"/>
        </w:rPr>
        <w:t xml:space="preserve">The PDF uses the MTCIC brand palette (teal #146151 as the primary colour, with the gold accent for highlights). Layout is single-column, designed to be readable when printed on A4 paper or viewed on a phone screen. The checklist should fit on one to two pages depending on the number of steps.</w:t>
      </w:r>
    </w:p>
    <w:p>
      <w:pPr>
        <w:pStyle w:val="Heading2"/>
        <w:spacing w:after="160" w:before="280"/>
      </w:pPr>
      <w:r>
        <w:rPr>
          <w:rFonts w:ascii="Arial" w:cs="Arial" w:eastAsia="Arial" w:hAnsi="Arial"/>
          <w:b/>
          <w:bCs/>
          <w:color w:val="146151"/>
          <w:sz w:val="26"/>
          <w:szCs w:val="26"/>
        </w:rPr>
        <w:t xml:space="preserve">4.3 Technical approach</w:t>
      </w:r>
    </w:p>
    <w:p>
      <w:pPr>
        <w:spacing w:after="160"/>
      </w:pPr>
      <w:r>
        <w:rPr>
          <w:rFonts w:ascii="Arial" w:cs="Arial" w:eastAsia="Arial" w:hAnsi="Arial"/>
          <w:color w:val="666666"/>
          <w:sz w:val="22"/>
          <w:szCs w:val="22"/>
        </w:rPr>
        <w:t xml:space="preserve">Generated client-side using jsPDF, consistent with the approach used in the existing form builders. No server-side processing. The MTCIC logo is embedded as a base64 image within the application code. The PDF is generated on demand when the user clicks the download button.</w:t>
      </w:r>
    </w:p>
    <w:p>
      <w:r>
        <w:br w:type="page"/>
      </w:r>
    </w:p>
    <w:p>
      <w:pPr>
        <w:pStyle w:val="Heading1"/>
        <w:spacing w:after="200" w:before="360"/>
      </w:pPr>
      <w:r>
        <w:rPr>
          <w:rFonts w:ascii="Arial" w:cs="Arial" w:eastAsia="Arial" w:hAnsi="Arial"/>
          <w:b/>
          <w:bCs/>
          <w:color w:val="146151"/>
          <w:sz w:val="32"/>
          <w:szCs w:val="32"/>
        </w:rPr>
        <w:t xml:space="preserve">5. Walkthrough Guides</w:t>
      </w:r>
    </w:p>
    <w:p>
      <w:pPr>
        <w:spacing w:after="160"/>
      </w:pPr>
      <w:r>
        <w:rPr>
          <w:rFonts w:ascii="Arial" w:cs="Arial" w:eastAsia="Arial" w:hAnsi="Arial"/>
          <w:color w:val="666666"/>
          <w:sz w:val="22"/>
          <w:szCs w:val="22"/>
        </w:rPr>
        <w:t xml:space="preserve">Three separate standalone HTML files provide visual click-through guides for the registry interactions that are most likely to cause difficulty. These are not part of the mini site itself — they are linked from the relevant steps in the pathway and from the PDF checklist.</w:t>
      </w:r>
    </w:p>
    <w:p>
      <w:pPr>
        <w:pStyle w:val="Heading2"/>
        <w:spacing w:after="160" w:before="280"/>
      </w:pPr>
      <w:r>
        <w:rPr>
          <w:rFonts w:ascii="Arial" w:cs="Arial" w:eastAsia="Arial" w:hAnsi="Arial"/>
          <w:b/>
          <w:bCs/>
          <w:color w:val="146151"/>
          <w:sz w:val="26"/>
          <w:szCs w:val="26"/>
        </w:rPr>
        <w:t xml:space="preserve">5.1 Purpose</w:t>
      </w:r>
    </w:p>
    <w:p>
      <w:pPr>
        <w:spacing w:after="160"/>
      </w:pPr>
      <w:r>
        <w:rPr>
          <w:rFonts w:ascii="Arial" w:cs="Arial" w:eastAsia="Arial" w:hAnsi="Arial"/>
          <w:color w:val="666666"/>
          <w:sz w:val="22"/>
          <w:szCs w:val="22"/>
        </w:rPr>
        <w:t xml:space="preserve">The walkthrough guides show a simplified, screen-by-screen representation of the registry interface for each key interaction. They are designed for users with limited digital literacy who need to see what they will encounter before (or while) they do it.</w:t>
      </w:r>
    </w:p>
    <w:p>
      <w:pPr>
        <w:spacing w:after="160"/>
      </w:pPr>
      <w:r>
        <w:rPr>
          <w:rFonts w:ascii="Arial" w:cs="Arial" w:eastAsia="Arial" w:hAnsi="Arial"/>
          <w:color w:val="666666"/>
          <w:sz w:val="22"/>
          <w:szCs w:val="22"/>
        </w:rPr>
        <w:t xml:space="preserve">Each guide is presented inside a phone-shaped device frame, since many users will be completing the registry steps on a mobile phone. The user taps or clicks to advance through the screens. Each screen has a short annotation explaining what to do.</w:t>
      </w:r>
    </w:p>
    <w:p>
      <w:pPr>
        <w:pStyle w:val="Heading2"/>
        <w:spacing w:after="160" w:before="280"/>
      </w:pPr>
      <w:r>
        <w:rPr>
          <w:rFonts w:ascii="Arial" w:cs="Arial" w:eastAsia="Arial" w:hAnsi="Arial"/>
          <w:b/>
          <w:bCs/>
          <w:color w:val="146151"/>
          <w:sz w:val="26"/>
          <w:szCs w:val="26"/>
        </w:rPr>
        <w:t xml:space="preserve">5.2 Visual approach</w:t>
      </w:r>
    </w:p>
    <w:p>
      <w:pPr>
        <w:spacing w:after="160"/>
      </w:pPr>
      <w:r>
        <w:rPr>
          <w:rFonts w:ascii="Arial" w:cs="Arial" w:eastAsia="Arial" w:hAnsi="Arial"/>
          <w:color w:val="666666"/>
          <w:sz w:val="22"/>
          <w:szCs w:val="22"/>
        </w:rPr>
        <w:t xml:space="preserve">The screen representations are simplified diagrams of the registry interface, not screenshots. They show the general layout structure, the position and colour of key buttons (blue for REQUEST ENTITY AUTHORITY, green for RE-REGISTER, SUBMIT, and PAY NOW), and the key form fields the user needs to fill in. Irrelevant interface elements (navigation menus, footers, session warnings) are omitted to reduce visual noise.</w:t>
      </w:r>
    </w:p>
    <w:p>
      <w:pPr>
        <w:spacing w:after="160"/>
      </w:pPr>
      <w:r>
        <w:rPr>
          <w:rFonts w:ascii="Arial" w:cs="Arial" w:eastAsia="Arial" w:hAnsi="Arial"/>
          <w:color w:val="666666"/>
          <w:sz w:val="22"/>
          <w:szCs w:val="22"/>
        </w:rPr>
        <w:t xml:space="preserve">The diagrams should be recognisable as the registry — close enough that when the user switches to the real interface, they can orient themselves — without being pixel-perfect reproductions. This approach is maintainable (the registry interface is not expected to change) and lightweight (SVG components within the HTML, no image assets).</w:t>
      </w:r>
    </w:p>
    <w:p>
      <w:pPr>
        <w:pStyle w:val="Heading2"/>
        <w:spacing w:after="160" w:before="280"/>
      </w:pPr>
      <w:r>
        <w:rPr>
          <w:rFonts w:ascii="Arial" w:cs="Arial" w:eastAsia="Arial" w:hAnsi="Arial"/>
          <w:b/>
          <w:bCs/>
          <w:color w:val="146151"/>
          <w:sz w:val="26"/>
          <w:szCs w:val="26"/>
        </w:rPr>
        <w:t xml:space="preserve">5.3 Guide specifications</w:t>
      </w:r>
    </w:p>
    <w:p>
      <w:pPr>
        <w:spacing w:after="80"/>
      </w:pPr>
    </w:p>
    <w:p>
      <w:pPr>
        <w:spacing w:after="120" w:before="200"/>
      </w:pPr>
      <w:r>
        <w:rPr>
          <w:rFonts w:ascii="Arial" w:cs="Arial" w:eastAsia="Arial" w:hAnsi="Arial"/>
          <w:b/>
          <w:bCs/>
          <w:color w:val="1A1A1A"/>
          <w:sz w:val="22"/>
          <w:szCs w:val="22"/>
        </w:rPr>
        <w:t xml:space="preserve">Guide 1: Creating an online account</w:t>
      </w:r>
    </w:p>
    <w:p>
      <w:pPr>
        <w:spacing w:after="160"/>
      </w:pPr>
      <w:r>
        <w:rPr>
          <w:rFonts w:ascii="Arial" w:cs="Arial" w:eastAsia="Arial" w:hAnsi="Arial"/>
          <w:color w:val="666666"/>
          <w:sz w:val="22"/>
          <w:szCs w:val="22"/>
        </w:rPr>
        <w:t xml:space="preserve">Screens: the CREATE ACCOUNT button on the homepage; the personal details section; the address section; the Account Security Administrator fields (with an explanation of what this means); the photo ID upload area; the SUBMIT button; a confirmation screen explaining the approval wait.</w:t>
      </w:r>
    </w:p>
    <w:p>
      <w:pPr>
        <w:spacing w:after="160"/>
      </w:pPr>
      <w:r>
        <w:rPr>
          <w:rFonts w:ascii="Arial" w:cs="Arial" w:eastAsia="Arial" w:hAnsi="Arial"/>
          <w:color w:val="666666"/>
          <w:sz w:val="22"/>
          <w:szCs w:val="22"/>
        </w:rPr>
        <w:t xml:space="preserve">Approximate screen count: 6–7.</w:t>
      </w:r>
    </w:p>
    <w:p>
      <w:pPr>
        <w:spacing w:after="120" w:before="200"/>
      </w:pPr>
      <w:r>
        <w:rPr>
          <w:rFonts w:ascii="Arial" w:cs="Arial" w:eastAsia="Arial" w:hAnsi="Arial"/>
          <w:b/>
          <w:bCs/>
          <w:color w:val="1A1A1A"/>
          <w:sz w:val="22"/>
          <w:szCs w:val="22"/>
        </w:rPr>
        <w:t xml:space="preserve">Guide 2: Requesting authority to file</w:t>
      </w:r>
    </w:p>
    <w:p>
      <w:pPr>
        <w:spacing w:after="160"/>
      </w:pPr>
      <w:r>
        <w:rPr>
          <w:rFonts w:ascii="Arial" w:cs="Arial" w:eastAsia="Arial" w:hAnsi="Arial"/>
          <w:color w:val="666666"/>
          <w:sz w:val="22"/>
          <w:szCs w:val="22"/>
        </w:rPr>
        <w:t xml:space="preserve">Screens: the entity search; selecting the entity from results; the entity profile page with the REQUEST ENTITY AUTHORITY button; the reason text field (with example text the user can reference); the document upload; the REQUEST button; confirmation screen explaining the approval wait.</w:t>
      </w:r>
    </w:p>
    <w:p>
      <w:pPr>
        <w:spacing w:after="160"/>
      </w:pPr>
      <w:r>
        <w:rPr>
          <w:rFonts w:ascii="Arial" w:cs="Arial" w:eastAsia="Arial" w:hAnsi="Arial"/>
          <w:color w:val="666666"/>
          <w:sz w:val="22"/>
          <w:szCs w:val="22"/>
        </w:rPr>
        <w:t xml:space="preserve">Example authority reason text to display: “I am the owner of this business name and I am applying for authority to complete re-registration under the Business Names Act 2021.” (Adapted per entity type.)</w:t>
      </w:r>
    </w:p>
    <w:p>
      <w:pPr>
        <w:spacing w:after="160"/>
      </w:pPr>
      <w:r>
        <w:rPr>
          <w:rFonts w:ascii="Arial" w:cs="Arial" w:eastAsia="Arial" w:hAnsi="Arial"/>
          <w:color w:val="666666"/>
          <w:sz w:val="22"/>
          <w:szCs w:val="22"/>
        </w:rPr>
        <w:t xml:space="preserve">Approximate screen count: 6–7.</w:t>
      </w:r>
    </w:p>
    <w:p>
      <w:pPr>
        <w:spacing w:after="120" w:before="200"/>
      </w:pPr>
      <w:r>
        <w:rPr>
          <w:rFonts w:ascii="Arial" w:cs="Arial" w:eastAsia="Arial" w:hAnsi="Arial"/>
          <w:b/>
          <w:bCs/>
          <w:color w:val="1A1A1A"/>
          <w:sz w:val="22"/>
          <w:szCs w:val="22"/>
        </w:rPr>
        <w:t xml:space="preserve">Guide 3: Uploading and submitting the re-registration form</w:t>
      </w:r>
    </w:p>
    <w:p>
      <w:pPr>
        <w:spacing w:after="160"/>
      </w:pPr>
      <w:r>
        <w:rPr>
          <w:rFonts w:ascii="Arial" w:cs="Arial" w:eastAsia="Arial" w:hAnsi="Arial"/>
          <w:color w:val="666666"/>
          <w:sz w:val="22"/>
          <w:szCs w:val="22"/>
        </w:rPr>
        <w:t xml:space="preserve">Screens: the My Entities tab; clicking on the entity; the entity profile with the RE-REGISTER button; the form upload area; the supporting documents section; the SUBMIT button; the checkout screen with the CHECKOUT button (confirming no fee); the confirmation screen.</w:t>
      </w:r>
    </w:p>
    <w:p>
      <w:pPr>
        <w:spacing w:after="160"/>
      </w:pPr>
      <w:r>
        <w:rPr>
          <w:rFonts w:ascii="Arial" w:cs="Arial" w:eastAsia="Arial" w:hAnsi="Arial"/>
          <w:color w:val="666666"/>
          <w:sz w:val="22"/>
          <w:szCs w:val="22"/>
        </w:rPr>
        <w:t xml:space="preserve">Approximate screen count: 7–8.</w:t>
      </w:r>
    </w:p>
    <w:p>
      <w:pPr>
        <w:pStyle w:val="Heading2"/>
        <w:spacing w:after="160" w:before="280"/>
      </w:pPr>
      <w:r>
        <w:rPr>
          <w:rFonts w:ascii="Arial" w:cs="Arial" w:eastAsia="Arial" w:hAnsi="Arial"/>
          <w:b/>
          <w:bCs/>
          <w:color w:val="146151"/>
          <w:sz w:val="26"/>
          <w:szCs w:val="26"/>
        </w:rPr>
        <w:t xml:space="preserve">5.4 Hosting</w:t>
      </w:r>
    </w:p>
    <w:p>
      <w:pPr>
        <w:spacing w:after="160"/>
      </w:pPr>
      <w:r>
        <w:rPr>
          <w:rFonts w:ascii="Arial" w:cs="Arial" w:eastAsia="Arial" w:hAnsi="Arial"/>
          <w:color w:val="666666"/>
          <w:sz w:val="22"/>
          <w:szCs w:val="22"/>
        </w:rPr>
        <w:t xml:space="preserve">The three guides are standalone HTML files. They can be hosted alongside the mini site at the same location, or alongside the form builders. Each guide is self-contained with no external dependencies.</w:t>
      </w:r>
    </w:p>
    <w:p>
      <w:r>
        <w:br w:type="page"/>
      </w:r>
    </w:p>
    <w:p>
      <w:pPr>
        <w:pStyle w:val="Heading1"/>
        <w:spacing w:after="200" w:before="360"/>
      </w:pPr>
      <w:r>
        <w:rPr>
          <w:rFonts w:ascii="Arial" w:cs="Arial" w:eastAsia="Arial" w:hAnsi="Arial"/>
          <w:b/>
          <w:bCs/>
          <w:color w:val="146151"/>
          <w:sz w:val="32"/>
          <w:szCs w:val="32"/>
        </w:rPr>
        <w:t xml:space="preserve">6. Process Flow</w:t>
      </w:r>
    </w:p>
    <w:p>
      <w:pPr>
        <w:spacing w:after="160"/>
      </w:pPr>
      <w:r>
        <w:rPr>
          <w:rFonts w:ascii="Arial" w:cs="Arial" w:eastAsia="Arial" w:hAnsi="Arial"/>
          <w:color w:val="666666"/>
          <w:sz w:val="22"/>
          <w:szCs w:val="22"/>
        </w:rPr>
        <w:t xml:space="preserve">This section maps the complete user journey across all three environments, showing where each action happens and the handoff points between them.</w:t>
      </w:r>
    </w:p>
    <w:p>
      <w:pPr>
        <w:spacing w:after="80"/>
      </w:pPr>
    </w:p>
    <w:p>
      <w:pPr>
        <w:spacing w:after="120" w:before="200"/>
      </w:pPr>
      <w:r>
        <w:rPr>
          <w:rFonts w:ascii="Arial" w:cs="Arial" w:eastAsia="Arial" w:hAnsi="Arial"/>
          <w:b/>
          <w:bCs/>
          <w:color w:val="1A1A1A"/>
          <w:sz w:val="22"/>
          <w:szCs w:val="22"/>
        </w:rPr>
        <w:t xml:space="preserve">Phase 1: Understand (mini site)</w:t>
      </w:r>
    </w:p>
    <w:p>
      <w:pPr>
        <w:pStyle w:val="ListParagraph"/>
        <w:numPr>
          <w:ilvl w:val="0"/>
          <w:numId w:val="4"/>
        </w:numPr>
        <w:spacing w:after="80"/>
      </w:pPr>
      <w:r>
        <w:rPr>
          <w:rFonts w:ascii="Arial" w:cs="Arial" w:eastAsia="Arial" w:hAnsi="Arial"/>
          <w:color w:val="666666"/>
          <w:sz w:val="22"/>
          <w:szCs w:val="22"/>
        </w:rPr>
        <w:t xml:space="preserve">User arrives at the mini site.</w:t>
      </w:r>
    </w:p>
    <w:p>
      <w:pPr>
        <w:pStyle w:val="ListParagraph"/>
        <w:numPr>
          <w:ilvl w:val="0"/>
          <w:numId w:val="4"/>
        </w:numPr>
        <w:spacing w:after="80"/>
      </w:pPr>
      <w:r>
        <w:rPr>
          <w:rFonts w:ascii="Arial" w:cs="Arial" w:eastAsia="Arial" w:hAnsi="Arial"/>
          <w:color w:val="666666"/>
          <w:sz w:val="22"/>
          <w:szCs w:val="22"/>
        </w:rPr>
        <w:t xml:space="preserve">User reads the key messages and understands what re-registration is, why it is needed, that it is free, and what the deadline is.</w:t>
      </w:r>
    </w:p>
    <w:p>
      <w:pPr>
        <w:pStyle w:val="ListParagraph"/>
        <w:numPr>
          <w:ilvl w:val="0"/>
          <w:numId w:val="4"/>
        </w:numPr>
        <w:spacing w:after="80"/>
      </w:pPr>
      <w:r>
        <w:rPr>
          <w:rFonts w:ascii="Arial" w:cs="Arial" w:eastAsia="Arial" w:hAnsi="Arial"/>
          <w:color w:val="666666"/>
          <w:sz w:val="22"/>
          <w:szCs w:val="22"/>
        </w:rPr>
        <w:t xml:space="preserve">User completes the triage: selects entity type, indicates whether they have an account, indicates whether they also have a business name.</w:t>
      </w:r>
    </w:p>
    <w:p>
      <w:pPr>
        <w:pStyle w:val="ListParagraph"/>
        <w:numPr>
          <w:ilvl w:val="0"/>
          <w:numId w:val="4"/>
        </w:numPr>
        <w:spacing w:after="80"/>
      </w:pPr>
      <w:r>
        <w:rPr>
          <w:rFonts w:ascii="Arial" w:cs="Arial" w:eastAsia="Arial" w:hAnsi="Arial"/>
          <w:color w:val="666666"/>
          <w:sz w:val="22"/>
          <w:szCs w:val="22"/>
        </w:rPr>
        <w:t xml:space="preserve">User sees their personalised pathway with steps, timeline, and estimated completion date.</w:t>
      </w:r>
    </w:p>
    <w:p>
      <w:pPr>
        <w:pStyle w:val="ListParagraph"/>
        <w:numPr>
          <w:ilvl w:val="0"/>
          <w:numId w:val="4"/>
        </w:numPr>
        <w:spacing w:after="80"/>
      </w:pPr>
      <w:r>
        <w:rPr>
          <w:rFonts w:ascii="Arial" w:cs="Arial" w:eastAsia="Arial" w:hAnsi="Arial"/>
          <w:color w:val="666666"/>
          <w:sz w:val="22"/>
          <w:szCs w:val="22"/>
        </w:rPr>
        <w:t xml:space="preserve">User completes the authority wizard to determine what evidence they need.</w:t>
      </w:r>
    </w:p>
    <w:p>
      <w:pPr>
        <w:pStyle w:val="ListParagraph"/>
        <w:numPr>
          <w:ilvl w:val="0"/>
          <w:numId w:val="4"/>
        </w:numPr>
        <w:spacing w:after="80"/>
      </w:pPr>
      <w:r>
        <w:rPr>
          <w:rFonts w:ascii="Arial" w:cs="Arial" w:eastAsia="Arial" w:hAnsi="Arial"/>
          <w:color w:val="666666"/>
          <w:sz w:val="22"/>
          <w:szCs w:val="22"/>
        </w:rPr>
        <w:t xml:space="preserve">User downloads their personalised PDF checklist.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Handoff</w:t>
            </w:r>
          </w:p>
          <w:p>
            <w:pPr>
              <w:spacing w:after="0"/>
            </w:pPr>
            <w:r>
              <w:rPr>
                <w:rFonts w:ascii="Arial" w:cs="Arial" w:eastAsia="Arial" w:hAnsi="Arial"/>
                <w:color w:val="666666"/>
                <w:sz w:val="20"/>
                <w:szCs w:val="20"/>
              </w:rPr>
              <w:t xml:space="preserve">The user now leaves the mini site. The PDF checklist is their guide from this point forward.</w:t>
            </w:r>
          </w:p>
        </w:tc>
      </w:tr>
    </w:tbl>
    <w:p>
      <w:pPr>
        <w:spacing w:after="80"/>
      </w:pPr>
    </w:p>
    <w:p>
      <w:pPr>
        <w:spacing w:after="120" w:before="200"/>
      </w:pPr>
      <w:r>
        <w:rPr>
          <w:rFonts w:ascii="Arial" w:cs="Arial" w:eastAsia="Arial" w:hAnsi="Arial"/>
          <w:b/>
          <w:bCs/>
          <w:color w:val="1A1A1A"/>
          <w:sz w:val="22"/>
          <w:szCs w:val="22"/>
        </w:rPr>
        <w:t xml:space="preserve">Phase 2: Prepare (registry + form builder)</w:t>
      </w:r>
    </w:p>
    <w:p>
      <w:pPr>
        <w:pStyle w:val="ListParagraph"/>
        <w:numPr>
          <w:ilvl w:val="0"/>
          <w:numId w:val="5"/>
        </w:numPr>
        <w:spacing w:after="80"/>
      </w:pPr>
      <w:r>
        <w:rPr>
          <w:rFonts w:ascii="Arial" w:cs="Arial" w:eastAsia="Arial" w:hAnsi="Arial"/>
          <w:color w:val="666666"/>
          <w:sz w:val="22"/>
          <w:szCs w:val="22"/>
        </w:rPr>
        <w:t xml:space="preserve">User goes to the registry and creates an online account (if they do not already have one). They wait for MTCIC approval.</w:t>
      </w:r>
    </w:p>
    <w:p>
      <w:pPr>
        <w:pStyle w:val="ListParagraph"/>
        <w:numPr>
          <w:ilvl w:val="0"/>
          <w:numId w:val="5"/>
        </w:numPr>
        <w:spacing w:after="80"/>
      </w:pPr>
      <w:r>
        <w:rPr>
          <w:rFonts w:ascii="Arial" w:cs="Arial" w:eastAsia="Arial" w:hAnsi="Arial"/>
          <w:color w:val="666666"/>
          <w:sz w:val="22"/>
          <w:szCs w:val="22"/>
        </w:rPr>
        <w:t xml:space="preserve">Once approved, the user returns to the registry, searches for their entity, and requests authority to file. They upload their evidence (photo ID for owners/directors, or letter of authority plus ID for employees/agents). They wait for MTCIC approval.</w:t>
      </w:r>
    </w:p>
    <w:p>
      <w:pPr>
        <w:pStyle w:val="ListParagraph"/>
        <w:numPr>
          <w:ilvl w:val="0"/>
          <w:numId w:val="5"/>
        </w:numPr>
        <w:spacing w:after="80"/>
      </w:pPr>
      <w:r>
        <w:rPr>
          <w:rFonts w:ascii="Arial" w:cs="Arial" w:eastAsia="Arial" w:hAnsi="Arial"/>
          <w:color w:val="666666"/>
          <w:sz w:val="22"/>
          <w:szCs w:val="22"/>
        </w:rPr>
        <w:t xml:space="preserve">While waiting for authority approval, the user goes to the form builder for their entity type and completes their re-registration form (BN-0, CO-0, or CO-0a). They save the generated PDF to their device.</w:t>
      </w:r>
    </w:p>
    <w:p>
      <w:pPr>
        <w:spacing w:after="80"/>
      </w:pPr>
    </w:p>
    <w:p>
      <w:pPr>
        <w:spacing w:after="120" w:before="200"/>
      </w:pPr>
      <w:r>
        <w:rPr>
          <w:rFonts w:ascii="Arial" w:cs="Arial" w:eastAsia="Arial" w:hAnsi="Arial"/>
          <w:b/>
          <w:bCs/>
          <w:color w:val="1A1A1A"/>
          <w:sz w:val="22"/>
          <w:szCs w:val="22"/>
        </w:rPr>
        <w:t xml:space="preserve">Phase 3: Submit (registry)</w:t>
      </w:r>
    </w:p>
    <w:p>
      <w:pPr>
        <w:pStyle w:val="ListParagraph"/>
        <w:numPr>
          <w:ilvl w:val="0"/>
          <w:numId w:val="6"/>
        </w:numPr>
        <w:spacing w:after="80"/>
      </w:pPr>
      <w:r>
        <w:rPr>
          <w:rFonts w:ascii="Arial" w:cs="Arial" w:eastAsia="Arial" w:hAnsi="Arial"/>
          <w:color w:val="666666"/>
          <w:sz w:val="22"/>
          <w:szCs w:val="22"/>
        </w:rPr>
        <w:t xml:space="preserve">Once authority is approved, the user returns to the registry, goes to My Entities, clicks RE-REGISTER, uploads their completed form and supporting documents, and submits.</w:t>
      </w:r>
    </w:p>
    <w:p>
      <w:pPr>
        <w:pStyle w:val="ListParagraph"/>
        <w:numPr>
          <w:ilvl w:val="0"/>
          <w:numId w:val="6"/>
        </w:numPr>
        <w:spacing w:after="80"/>
      </w:pPr>
      <w:r>
        <w:rPr>
          <w:rFonts w:ascii="Arial" w:cs="Arial" w:eastAsia="Arial" w:hAnsi="Arial"/>
          <w:color w:val="666666"/>
          <w:sz w:val="22"/>
          <w:szCs w:val="22"/>
        </w:rPr>
        <w:t xml:space="preserve">The user proceeds through checkout (no fee for re-registration).</w:t>
      </w:r>
    </w:p>
    <w:p>
      <w:pPr>
        <w:pStyle w:val="ListParagraph"/>
        <w:numPr>
          <w:ilvl w:val="0"/>
          <w:numId w:val="6"/>
        </w:numPr>
        <w:spacing w:after="80"/>
      </w:pPr>
      <w:r>
        <w:rPr>
          <w:rFonts w:ascii="Arial" w:cs="Arial" w:eastAsia="Arial" w:hAnsi="Arial"/>
          <w:color w:val="666666"/>
          <w:sz w:val="22"/>
          <w:szCs w:val="22"/>
        </w:rPr>
        <w:t xml:space="preserve">MTCIC processes the application and emails the user when re-registration is complete.</w:t>
      </w:r>
    </w:p>
    <w:p>
      <w:pPr>
        <w:spacing w:after="80"/>
      </w:pPr>
    </w:p>
    <w:p>
      <w:pPr>
        <w:spacing w:after="120" w:before="200"/>
      </w:pPr>
      <w:r>
        <w:rPr>
          <w:rFonts w:ascii="Arial" w:cs="Arial" w:eastAsia="Arial" w:hAnsi="Arial"/>
          <w:b/>
          <w:bCs/>
          <w:color w:val="1A1A1A"/>
          <w:sz w:val="22"/>
          <w:szCs w:val="22"/>
        </w:rPr>
        <w:t xml:space="preserve">Phase 4: Business name re-registration (if applicable)</w:t>
      </w:r>
    </w:p>
    <w:p>
      <w:pPr>
        <w:pStyle w:val="ListParagraph"/>
        <w:numPr>
          <w:ilvl w:val="0"/>
          <w:numId w:val="7"/>
        </w:numPr>
        <w:spacing w:after="80"/>
      </w:pPr>
      <w:r>
        <w:rPr>
          <w:rFonts w:ascii="Arial" w:cs="Arial" w:eastAsia="Arial" w:hAnsi="Arial"/>
          <w:color w:val="666666"/>
          <w:sz w:val="22"/>
          <w:szCs w:val="22"/>
        </w:rPr>
        <w:t xml:space="preserve">If the user also has a registered business name, they repeat Phases 2 and 3 for the business name, using form BN-0 and the business name form builder.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Important</w:t>
            </w:r>
          </w:p>
          <w:p>
            <w:pPr>
              <w:spacing w:after="0"/>
            </w:pPr>
            <w:r>
              <w:rPr>
                <w:rFonts w:ascii="Arial" w:cs="Arial" w:eastAsia="Arial" w:hAnsi="Arial"/>
                <w:color w:val="666666"/>
                <w:sz w:val="20"/>
                <w:szCs w:val="20"/>
              </w:rPr>
              <w:t xml:space="preserve">The mini site plays no role in Phases 2–4. Its job is complete after Phase 1. The PDF checklist bridges the gap, giving the user a durable reference document that guides them through the remaining phases.</w:t>
            </w:r>
          </w:p>
        </w:tc>
      </w:tr>
    </w:tbl>
    <w:p>
      <w:r>
        <w:br w:type="page"/>
      </w:r>
    </w:p>
    <w:p>
      <w:pPr>
        <w:pStyle w:val="Heading1"/>
        <w:spacing w:after="200" w:before="360"/>
      </w:pPr>
      <w:r>
        <w:rPr>
          <w:rFonts w:ascii="Arial" w:cs="Arial" w:eastAsia="Arial" w:hAnsi="Arial"/>
          <w:b/>
          <w:bCs/>
          <w:color w:val="146151"/>
          <w:sz w:val="32"/>
          <w:szCs w:val="32"/>
        </w:rPr>
        <w:t xml:space="preserve">7. Visual Design</w:t>
      </w:r>
    </w:p>
    <w:p>
      <w:pPr>
        <w:pStyle w:val="Heading2"/>
        <w:spacing w:after="160" w:before="280"/>
      </w:pPr>
      <w:r>
        <w:rPr>
          <w:rFonts w:ascii="Arial" w:cs="Arial" w:eastAsia="Arial" w:hAnsi="Arial"/>
          <w:b/>
          <w:bCs/>
          <w:color w:val="146151"/>
          <w:sz w:val="26"/>
          <w:szCs w:val="26"/>
        </w:rPr>
        <w:t xml:space="preserve">7.1 Design principles</w:t>
      </w:r>
    </w:p>
    <w:p>
      <w:pPr>
        <w:spacing w:after="160"/>
      </w:pPr>
      <w:r>
        <w:rPr>
          <w:rFonts w:ascii="Arial" w:cs="Arial" w:eastAsia="Arial" w:hAnsi="Arial"/>
          <w:color w:val="666666"/>
          <w:sz w:val="22"/>
          <w:szCs w:val="22"/>
        </w:rPr>
        <w:t xml:space="preserve">The mini site should look and feel like a natural extension of business.gov.ki, not a separate product. Users should not feel they have left the official MTCIC ecosystem. The visual design follows the existing site’s conventions:</w:t>
      </w:r>
    </w:p>
    <w:p>
      <w:pPr>
        <w:spacing w:after="80"/>
      </w:pPr>
    </w:p>
    <w:p>
      <w:pPr>
        <w:pStyle w:val="ListParagraph"/>
        <w:numPr>
          <w:ilvl w:val="0"/>
          <w:numId w:val="2"/>
        </w:numPr>
        <w:spacing w:after="80"/>
      </w:pPr>
      <w:r>
        <w:rPr>
          <w:rFonts w:ascii="Arial" w:cs="Arial" w:eastAsia="Arial" w:hAnsi="Arial"/>
          <w:color w:val="666666"/>
          <w:sz w:val="22"/>
          <w:szCs w:val="22"/>
        </w:rPr>
        <w:t xml:space="preserve">White page background with content in a centred, constrained-width column.</w:t>
      </w:r>
    </w:p>
    <w:p>
      <w:pPr>
        <w:pStyle w:val="ListParagraph"/>
        <w:numPr>
          <w:ilvl w:val="0"/>
          <w:numId w:val="2"/>
        </w:numPr>
        <w:spacing w:after="80"/>
      </w:pPr>
      <w:r>
        <w:rPr>
          <w:rFonts w:ascii="Arial" w:cs="Arial" w:eastAsia="Arial" w:hAnsi="Arial"/>
          <w:color w:val="666666"/>
          <w:sz w:val="22"/>
          <w:szCs w:val="22"/>
        </w:rPr>
        <w:t xml:space="preserve">MTCIC teal (#146151) as the primary accent colour for headings, buttons, and highlights.</w:t>
      </w:r>
    </w:p>
    <w:p>
      <w:pPr>
        <w:pStyle w:val="ListParagraph"/>
        <w:numPr>
          <w:ilvl w:val="0"/>
          <w:numId w:val="2"/>
        </w:numPr>
        <w:spacing w:after="80"/>
      </w:pPr>
      <w:r>
        <w:rPr>
          <w:rFonts w:ascii="Arial" w:cs="Arial" w:eastAsia="Arial" w:hAnsi="Arial"/>
          <w:color w:val="666666"/>
          <w:sz w:val="22"/>
          <w:szCs w:val="22"/>
        </w:rPr>
        <w:t xml:space="preserve">Clean, readable typography using system fonts consistent with the main site.</w:t>
      </w:r>
    </w:p>
    <w:p>
      <w:pPr>
        <w:pStyle w:val="ListParagraph"/>
        <w:numPr>
          <w:ilvl w:val="0"/>
          <w:numId w:val="2"/>
        </w:numPr>
        <w:spacing w:after="80"/>
      </w:pPr>
      <w:r>
        <w:rPr>
          <w:rFonts w:ascii="Arial" w:cs="Arial" w:eastAsia="Arial" w:hAnsi="Arial"/>
          <w:color w:val="666666"/>
          <w:sz w:val="22"/>
          <w:szCs w:val="22"/>
        </w:rPr>
        <w:t xml:space="preserve">Minimal visual decoration. No gradients, no heavy shadows, no animation beyond functional transitions (e.g. expanding a step card).</w:t>
      </w:r>
    </w:p>
    <w:p>
      <w:pPr>
        <w:pStyle w:val="ListParagraph"/>
        <w:numPr>
          <w:ilvl w:val="0"/>
          <w:numId w:val="2"/>
        </w:numPr>
        <w:spacing w:after="80"/>
      </w:pPr>
      <w:r>
        <w:rPr>
          <w:rFonts w:ascii="Arial" w:cs="Arial" w:eastAsia="Arial" w:hAnsi="Arial"/>
          <w:color w:val="666666"/>
          <w:sz w:val="22"/>
          <w:szCs w:val="22"/>
        </w:rPr>
        <w:t xml:space="preserve">Cards with subtle borders for the step pathway and triage options.</w:t>
      </w:r>
    </w:p>
    <w:p>
      <w:pPr>
        <w:pStyle w:val="ListParagraph"/>
        <w:numPr>
          <w:ilvl w:val="0"/>
          <w:numId w:val="2"/>
        </w:numPr>
        <w:spacing w:after="80"/>
      </w:pPr>
      <w:r>
        <w:rPr>
          <w:rFonts w:ascii="Arial" w:cs="Arial" w:eastAsia="Arial" w:hAnsi="Arial"/>
          <w:color w:val="666666"/>
          <w:sz w:val="22"/>
          <w:szCs w:val="22"/>
        </w:rPr>
        <w:t xml:space="preserve">Responsive design that works on mobile phones, tablets, and desktops.</w:t>
      </w:r>
    </w:p>
    <w:p>
      <w:pPr>
        <w:pStyle w:val="Heading2"/>
        <w:spacing w:after="160" w:before="280"/>
      </w:pPr>
      <w:r>
        <w:rPr>
          <w:rFonts w:ascii="Arial" w:cs="Arial" w:eastAsia="Arial" w:hAnsi="Arial"/>
          <w:b/>
          <w:bCs/>
          <w:color w:val="146151"/>
          <w:sz w:val="26"/>
          <w:szCs w:val="26"/>
        </w:rPr>
        <w:t xml:space="preserve">7.2 Colour palette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Colour</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Hex</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Teal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#146151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Headings, primary buttons, step numbers, selected states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Teal light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#E8F5F1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Selected card backgrounds, highlights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White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#FFFFFF</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Page background, card backgrounds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Dark grey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#1A1A1A</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Body text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Medium grey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#666666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Secondary text, descriptions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Light grey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#F5F5F5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Toggle question backgrounds, subtle containers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Border grey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#E0E0E0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Card borders, dividers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Amber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#B45309</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Time-aware banner (advisory stage)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#DC2626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Time-aware banner (urgent and critical stages)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Blue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#0052CC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Links to registry (matching the existing convention for registry links)</w:t>
            </w:r>
          </w:p>
        </w:tc>
      </w:tr>
    </w:tbl>
    <w:p>
      <w:pPr>
        <w:pStyle w:val="Heading2"/>
        <w:spacing w:after="160" w:before="280"/>
      </w:pPr>
      <w:r>
        <w:rPr>
          <w:rFonts w:ascii="Arial" w:cs="Arial" w:eastAsia="Arial" w:hAnsi="Arial"/>
          <w:b/>
          <w:bCs/>
          <w:color w:val="146151"/>
          <w:sz w:val="26"/>
          <w:szCs w:val="26"/>
        </w:rPr>
        <w:t xml:space="preserve">7.3 Branding assets</w:t>
      </w:r>
    </w:p>
    <w:p>
      <w:pPr>
        <w:spacing w:after="160"/>
      </w:pPr>
      <w:r>
        <w:rPr>
          <w:rFonts w:ascii="Arial" w:cs="Arial" w:eastAsia="Arial" w:hAnsi="Arial"/>
          <w:color w:val="666666"/>
          <w:sz w:val="22"/>
          <w:szCs w:val="22"/>
        </w:rPr>
        <w:t xml:space="preserve">The MTCIC logo is sourced from the main site at /Images/Site/KI/mtcic-logo.png. A transparent version is available. The footer sponsor logos (ADB, Australian Aid, New Zealand Aid) are at /Images/Site/KI/footer_logo.jpg. If the mini site is hosted on the same domain, these can be referenced by absolute path. If hosted elsewhere, the assets will be embedded as base64.</w:t>
      </w:r>
    </w:p>
    <w:p>
      <w:r>
        <w:br w:type="page"/>
      </w:r>
    </w:p>
    <w:p>
      <w:pPr>
        <w:pStyle w:val="Heading1"/>
        <w:spacing w:after="200" w:before="360"/>
      </w:pPr>
      <w:r>
        <w:rPr>
          <w:rFonts w:ascii="Arial" w:cs="Arial" w:eastAsia="Arial" w:hAnsi="Arial"/>
          <w:b/>
          <w:bCs/>
          <w:color w:val="146151"/>
          <w:sz w:val="32"/>
          <w:szCs w:val="32"/>
        </w:rPr>
        <w:t xml:space="preserve">8. Technical Approach</w:t>
      </w:r>
    </w:p>
    <w:p>
      <w:pPr>
        <w:pStyle w:val="Heading2"/>
        <w:spacing w:after="160" w:before="280"/>
      </w:pPr>
      <w:r>
        <w:rPr>
          <w:rFonts w:ascii="Arial" w:cs="Arial" w:eastAsia="Arial" w:hAnsi="Arial"/>
          <w:b/>
          <w:bCs/>
          <w:color w:val="146151"/>
          <w:sz w:val="26"/>
          <w:szCs w:val="26"/>
        </w:rPr>
        <w:t xml:space="preserve">8.1 Architecture</w:t>
      </w:r>
    </w:p>
    <w:p>
      <w:pPr>
        <w:spacing w:after="160"/>
      </w:pPr>
      <w:r>
        <w:rPr>
          <w:rFonts w:ascii="Arial" w:cs="Arial" w:eastAsia="Arial" w:hAnsi="Arial"/>
          <w:color w:val="666666"/>
          <w:sz w:val="22"/>
          <w:szCs w:val="22"/>
        </w:rPr>
        <w:t xml:space="preserve">The mini site is a single self-contained HTML file. It uses React (via JSX) for the interactive components (triage, pathway, authority wizard) and jsPDF for PDF generation. All code, styles, and assets are contained within the single file. There is no build step, no server-side processing, and no external API calls.</w:t>
      </w:r>
    </w:p>
    <w:p>
      <w:pPr>
        <w:spacing w:after="160"/>
      </w:pPr>
      <w:r>
        <w:rPr>
          <w:rFonts w:ascii="Arial" w:cs="Arial" w:eastAsia="Arial" w:hAnsi="Arial"/>
          <w:color w:val="666666"/>
          <w:sz w:val="22"/>
          <w:szCs w:val="22"/>
        </w:rPr>
        <w:t xml:space="preserve">This is the same architecture used for the existing form builders (bn-forms.html, co-forms.html, overseas-co-forms.html), ensuring consistency in how standalone tools are built and maintained for the Kiribati registry project.</w:t>
      </w:r>
    </w:p>
    <w:p>
      <w:pPr>
        <w:pStyle w:val="Heading2"/>
        <w:spacing w:after="160" w:before="280"/>
      </w:pPr>
      <w:r>
        <w:rPr>
          <w:rFonts w:ascii="Arial" w:cs="Arial" w:eastAsia="Arial" w:hAnsi="Arial"/>
          <w:b/>
          <w:bCs/>
          <w:color w:val="146151"/>
          <w:sz w:val="26"/>
          <w:szCs w:val="26"/>
        </w:rPr>
        <w:t xml:space="preserve">8.2 Dependencies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Library</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Loaded from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React + ReactDOM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UI components and rendering</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CDN (cdnjs.cloudflare.com)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Babel Standalone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JSX transformation in-browser</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CDN (cdnjs.cloudflare.com)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jsPDF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PDF checklist generation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CDN (cdnjs.cloudflare.com)</w:t>
            </w:r>
          </w:p>
        </w:tc>
      </w:tr>
    </w:tbl>
    <w:p>
      <w:pPr>
        <w:spacing w:after="80"/>
      </w:pPr>
    </w:p>
    <w:p>
      <w:pPr>
        <w:spacing w:after="160"/>
      </w:pPr>
      <w:r>
        <w:rPr>
          <w:rFonts w:ascii="Arial" w:cs="Arial" w:eastAsia="Arial" w:hAnsi="Arial"/>
          <w:color w:val="666666"/>
          <w:sz w:val="22"/>
          <w:szCs w:val="22"/>
        </w:rPr>
        <w:t xml:space="preserve">No other external dependencies. No CSS framework. Styles are written as inline styles or embedded CSS within the HTML file, consistent with the form builder approach.</w:t>
      </w:r>
    </w:p>
    <w:p>
      <w:pPr>
        <w:pStyle w:val="Heading2"/>
        <w:spacing w:after="160" w:before="280"/>
      </w:pPr>
      <w:r>
        <w:rPr>
          <w:rFonts w:ascii="Arial" w:cs="Arial" w:eastAsia="Arial" w:hAnsi="Arial"/>
          <w:b/>
          <w:bCs/>
          <w:color w:val="146151"/>
          <w:sz w:val="26"/>
          <w:szCs w:val="26"/>
        </w:rPr>
        <w:t xml:space="preserve">8.3 Hosting options</w:t>
      </w:r>
    </w:p>
    <w:p>
      <w:pPr>
        <w:spacing w:after="160"/>
      </w:pPr>
      <w:r>
        <w:rPr>
          <w:rFonts w:ascii="Arial" w:cs="Arial" w:eastAsia="Arial" w:hAnsi="Arial"/>
          <w:color w:val="666666"/>
          <w:sz w:val="22"/>
          <w:szCs w:val="22"/>
        </w:rPr>
        <w:t xml:space="preserve">The mini site can be hosted in one of three ways:</w:t>
      </w:r>
    </w:p>
    <w:p>
      <w:pPr>
        <w:spacing w:after="80"/>
      </w:pPr>
    </w:p>
    <w:p>
      <w:pPr>
        <w:pStyle w:val="ListParagraph"/>
        <w:numPr>
          <w:ilvl w:val="0"/>
          <w:numId w:val="2"/>
        </w:numPr>
        <w:spacing w:after="80"/>
      </w:pPr>
      <w:r>
        <w:rPr>
          <w:rFonts w:ascii="Arial" w:cs="Arial" w:eastAsia="Arial" w:hAnsi="Arial"/>
          <w:b/>
          <w:bCs/>
          <w:color w:val="666666"/>
          <w:sz w:val="22"/>
          <w:szCs w:val="22"/>
        </w:rPr>
        <w:t xml:space="preserve">On the business.gov.ki domain </w:t>
      </w:r>
      <w:r>
        <w:rPr>
          <w:rFonts w:ascii="Arial" w:cs="Arial" w:eastAsia="Arial" w:hAnsi="Arial"/>
          <w:color w:val="666666"/>
          <w:sz w:val="22"/>
          <w:szCs w:val="22"/>
        </w:rPr>
        <w:t xml:space="preserve">(recommended). Paradigm Apps would host the HTML file as a standalone page on the same domain as the registry. This maintains the official context and allows logo and asset paths to use absolute references. The file would sit alongside the form builders.</w:t>
      </w:r>
    </w:p>
    <w:p>
      <w:pPr>
        <w:pStyle w:val="ListParagraph"/>
        <w:numPr>
          <w:ilvl w:val="0"/>
          <w:numId w:val="2"/>
        </w:numPr>
        <w:spacing w:after="80"/>
      </w:pPr>
      <w:r>
        <w:rPr>
          <w:rFonts w:ascii="Arial" w:cs="Arial" w:eastAsia="Arial" w:hAnsi="Arial"/>
          <w:b/>
          <w:bCs/>
          <w:color w:val="666666"/>
          <w:sz w:val="22"/>
          <w:szCs w:val="22"/>
        </w:rPr>
        <w:t xml:space="preserve">On GitHub Pages </w:t>
      </w:r>
      <w:r>
        <w:rPr>
          <w:rFonts w:ascii="Arial" w:cs="Arial" w:eastAsia="Arial" w:hAnsi="Arial"/>
          <w:color w:val="666666"/>
          <w:sz w:val="22"/>
          <w:szCs w:val="22"/>
        </w:rPr>
        <w:t xml:space="preserve">(fallback). If CMS deployment is not straightforward, the file can be hosted on GitHub Pages as an interim measure, similar to how other development tools have been hosted. Branding assets would need to be embedded as base64.</w:t>
      </w:r>
    </w:p>
    <w:p>
      <w:pPr>
        <w:pStyle w:val="ListParagraph"/>
        <w:numPr>
          <w:ilvl w:val="0"/>
          <w:numId w:val="2"/>
        </w:numPr>
        <w:spacing w:after="80"/>
      </w:pPr>
      <w:r>
        <w:rPr>
          <w:rFonts w:ascii="Arial" w:cs="Arial" w:eastAsia="Arial" w:hAnsi="Arial"/>
          <w:b/>
          <w:bCs/>
          <w:color w:val="666666"/>
          <w:sz w:val="22"/>
          <w:szCs w:val="22"/>
        </w:rPr>
        <w:t xml:space="preserve">As a downloadable file </w:t>
      </w:r>
      <w:r>
        <w:rPr>
          <w:rFonts w:ascii="Arial" w:cs="Arial" w:eastAsia="Arial" w:hAnsi="Arial"/>
          <w:color w:val="666666"/>
          <w:sz w:val="22"/>
          <w:szCs w:val="22"/>
        </w:rPr>
        <w:t xml:space="preserve">(offline use). The single-file architecture means the HTML file can be downloaded and opened locally in a browser with no internet connection required after initial download. This may be useful for outreach sessions in areas with limited connectivity.</w:t>
      </w:r>
    </w:p>
    <w:p>
      <w:pPr>
        <w:pStyle w:val="Heading2"/>
        <w:spacing w:after="160" w:before="280"/>
      </w:pPr>
      <w:r>
        <w:rPr>
          <w:rFonts w:ascii="Arial" w:cs="Arial" w:eastAsia="Arial" w:hAnsi="Arial"/>
          <w:b/>
          <w:bCs/>
          <w:color w:val="146151"/>
          <w:sz w:val="26"/>
          <w:szCs w:val="26"/>
        </w:rPr>
        <w:t xml:space="preserve">8.4 File inventory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rereg-guide.html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mini site (main deliverable)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walkthrough-account.html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Click-through guide: creating an account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walkthrough-authority.html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Click-through guide: requesting authority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walkthrough-submit.html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Click-through guide: uploading and submitting</w:t>
            </w:r>
          </w:p>
        </w:tc>
      </w:tr>
    </w:tbl>
    <w:p>
      <w:pPr>
        <w:spacing w:after="80"/>
      </w:pPr>
    </w:p>
    <w:p>
      <w:pPr>
        <w:spacing w:after="160"/>
      </w:pPr>
      <w:r>
        <w:rPr>
          <w:rFonts w:ascii="Arial" w:cs="Arial" w:eastAsia="Arial" w:hAnsi="Arial"/>
          <w:color w:val="666666"/>
          <w:sz w:val="22"/>
          <w:szCs w:val="22"/>
        </w:rPr>
        <w:t xml:space="preserve">Four files in total. All standalone HTML, all self-contained, all deployable independently.</w:t>
      </w:r>
    </w:p>
    <w:p>
      <w:pPr>
        <w:pStyle w:val="Heading2"/>
        <w:spacing w:after="160" w:before="280"/>
      </w:pPr>
      <w:r>
        <w:rPr>
          <w:rFonts w:ascii="Arial" w:cs="Arial" w:eastAsia="Arial" w:hAnsi="Arial"/>
          <w:b/>
          <w:bCs/>
          <w:color w:val="146151"/>
          <w:sz w:val="26"/>
          <w:szCs w:val="26"/>
        </w:rPr>
        <w:t xml:space="preserve">8.5 Integration with Paradigm Apps</w:t>
      </w:r>
    </w:p>
    <w:p>
      <w:pPr>
        <w:spacing w:after="160"/>
      </w:pPr>
      <w:r>
        <w:rPr>
          <w:rFonts w:ascii="Arial" w:cs="Arial" w:eastAsia="Arial" w:hAnsi="Arial"/>
          <w:color w:val="666666"/>
          <w:sz w:val="22"/>
          <w:szCs w:val="22"/>
        </w:rPr>
        <w:t xml:space="preserve">Paradigm Apps’ role is limited to hosting. The mini site does not interact with the registry backend. The only integration points are:</w:t>
      </w:r>
    </w:p>
    <w:p>
      <w:pPr>
        <w:spacing w:after="80"/>
      </w:pPr>
    </w:p>
    <w:p>
      <w:pPr>
        <w:pStyle w:val="ListParagraph"/>
        <w:numPr>
          <w:ilvl w:val="0"/>
          <w:numId w:val="2"/>
        </w:numPr>
        <w:spacing w:after="80"/>
      </w:pPr>
      <w:r>
        <w:rPr>
          <w:rFonts w:ascii="Arial" w:cs="Arial" w:eastAsia="Arial" w:hAnsi="Arial"/>
          <w:color w:val="666666"/>
          <w:sz w:val="22"/>
          <w:szCs w:val="22"/>
        </w:rPr>
        <w:t xml:space="preserve">Outbound links from the mini site to registry pages (login, create account, entity search).</w:t>
      </w:r>
    </w:p>
    <w:p>
      <w:pPr>
        <w:pStyle w:val="ListParagraph"/>
        <w:numPr>
          <w:ilvl w:val="0"/>
          <w:numId w:val="2"/>
        </w:numPr>
        <w:spacing w:after="80"/>
      </w:pPr>
      <w:r>
        <w:rPr>
          <w:rFonts w:ascii="Arial" w:cs="Arial" w:eastAsia="Arial" w:hAnsi="Arial"/>
          <w:color w:val="666666"/>
          <w:sz w:val="22"/>
          <w:szCs w:val="22"/>
        </w:rPr>
        <w:t xml:space="preserve">Outbound links from the mini site to the form builders (which Paradigm also hosts).</w:t>
      </w:r>
    </w:p>
    <w:p>
      <w:pPr>
        <w:pStyle w:val="ListParagraph"/>
        <w:numPr>
          <w:ilvl w:val="0"/>
          <w:numId w:val="2"/>
        </w:numPr>
        <w:spacing w:after="80"/>
      </w:pPr>
      <w:r>
        <w:rPr>
          <w:rFonts w:ascii="Arial" w:cs="Arial" w:eastAsia="Arial" w:hAnsi="Arial"/>
          <w:color w:val="666666"/>
          <w:sz w:val="22"/>
          <w:szCs w:val="22"/>
        </w:rPr>
        <w:t xml:space="preserve">Consistent branding and URL structure so users perceive a seamless experience.</w:t>
      </w:r>
    </w:p>
    <w:p>
      <w:pPr>
        <w:spacing w:after="80"/>
      </w:pPr>
    </w:p>
    <w:p>
      <w:pPr>
        <w:spacing w:after="160"/>
      </w:pPr>
      <w:r>
        <w:rPr>
          <w:rFonts w:ascii="Arial" w:cs="Arial" w:eastAsia="Arial" w:hAnsi="Arial"/>
          <w:color w:val="666666"/>
          <w:sz w:val="22"/>
          <w:szCs w:val="22"/>
        </w:rPr>
        <w:t xml:space="preserve">No changes to the registry codebase, CMS configuration, or database are required.</w:t>
      </w:r>
    </w:p>
    <w:p>
      <w:r>
        <w:br w:type="page"/>
      </w:r>
    </w:p>
    <w:p>
      <w:pPr>
        <w:pStyle w:val="Heading1"/>
        <w:spacing w:after="200" w:before="360"/>
      </w:pPr>
      <w:r>
        <w:rPr>
          <w:rFonts w:ascii="Arial" w:cs="Arial" w:eastAsia="Arial" w:hAnsi="Arial"/>
          <w:b/>
          <w:bCs/>
          <w:color w:val="146151"/>
          <w:sz w:val="32"/>
          <w:szCs w:val="32"/>
        </w:rPr>
        <w:t xml:space="preserve">9. Social Sharing and Distribution</w:t>
      </w:r>
    </w:p>
    <w:p>
      <w:pPr>
        <w:spacing w:after="160"/>
      </w:pPr>
      <w:r>
        <w:rPr>
          <w:rFonts w:ascii="Arial" w:cs="Arial" w:eastAsia="Arial" w:hAnsi="Arial"/>
          <w:color w:val="666666"/>
          <w:sz w:val="22"/>
          <w:szCs w:val="22"/>
        </w:rPr>
        <w:t xml:space="preserve">The mini site is only useful if people find it. In Kiribati, the two realistic discovery channels are social media (Facebook posts from MTCIC’s official page, shared into local business groups) and peer-to-peer sharing (WhatsApp forwards in group chats). The mini site must be designed to work well in both contexts.</w:t>
      </w:r>
    </w:p>
    <w:p>
      <w:pPr>
        <w:pStyle w:val="Heading2"/>
        <w:spacing w:after="160" w:before="280"/>
      </w:pPr>
      <w:r>
        <w:rPr>
          <w:rFonts w:ascii="Arial" w:cs="Arial" w:eastAsia="Arial" w:hAnsi="Arial"/>
          <w:b/>
          <w:bCs/>
          <w:color w:val="146151"/>
          <w:sz w:val="26"/>
          <w:szCs w:val="26"/>
        </w:rPr>
        <w:t xml:space="preserve">9.1 Open Graph meta tags</w:t>
      </w:r>
    </w:p>
    <w:p>
      <w:pPr>
        <w:spacing w:after="160"/>
      </w:pPr>
      <w:r>
        <w:rPr>
          <w:rFonts w:ascii="Arial" w:cs="Arial" w:eastAsia="Arial" w:hAnsi="Arial"/>
          <w:color w:val="666666"/>
          <w:sz w:val="22"/>
          <w:szCs w:val="22"/>
        </w:rPr>
        <w:t xml:space="preserve">The mini site HTML must include Open Graph meta tags so that when someone shares the URL on Facebook or WhatsApp, the platform renders a rich preview card rather than a bare URL. The required tags are:</w:t>
      </w:r>
    </w:p>
    <w:p>
      <w:pPr>
        <w:spacing w:after="80"/>
      </w:pPr>
    </w:p>
    <w:p>
      <w:pPr>
        <w:pStyle w:val="ListParagraph"/>
        <w:numPr>
          <w:ilvl w:val="0"/>
          <w:numId w:val="2"/>
        </w:numPr>
        <w:spacing w:after="80"/>
      </w:pPr>
      <w:r>
        <w:rPr>
          <w:rFonts w:ascii="Arial" w:cs="Arial" w:eastAsia="Arial" w:hAnsi="Arial"/>
          <w:color w:val="666666"/>
          <w:sz w:val="22"/>
          <w:szCs w:val="22"/>
        </w:rPr>
        <w:t xml:space="preserve">og:title — a concise, action-oriented title (e.g. “How to re-register your business — step-by-step guide”).</w:t>
      </w:r>
    </w:p>
    <w:p>
      <w:pPr>
        <w:pStyle w:val="ListParagraph"/>
        <w:numPr>
          <w:ilvl w:val="0"/>
          <w:numId w:val="2"/>
        </w:numPr>
        <w:spacing w:after="80"/>
      </w:pPr>
      <w:r>
        <w:rPr>
          <w:rFonts w:ascii="Arial" w:cs="Arial" w:eastAsia="Arial" w:hAnsi="Arial"/>
          <w:color w:val="666666"/>
          <w:sz w:val="22"/>
          <w:szCs w:val="22"/>
        </w:rPr>
        <w:t xml:space="preserve">og:description — the key hook (e.g. “Free, easy, works on your phone.”).</w:t>
      </w:r>
    </w:p>
    <w:p>
      <w:pPr>
        <w:pStyle w:val="ListParagraph"/>
        <w:numPr>
          <w:ilvl w:val="0"/>
          <w:numId w:val="2"/>
        </w:numPr>
        <w:spacing w:after="80"/>
      </w:pPr>
      <w:r>
        <w:rPr>
          <w:rFonts w:ascii="Arial" w:cs="Arial" w:eastAsia="Arial" w:hAnsi="Arial"/>
          <w:color w:val="666666"/>
          <w:sz w:val="22"/>
          <w:szCs w:val="22"/>
        </w:rPr>
        <w:t xml:space="preserve">og:image — a 1200×630px preview image that appears in the link card. This should use a warm, eye-catching design that stands out against both Facebook’s white feed and WhatsApp’s beige chat background. The image should include the three-step summary and the text “Free and works on your phone.”</w:t>
      </w:r>
    </w:p>
    <w:p>
      <w:pPr>
        <w:pStyle w:val="ListParagraph"/>
        <w:numPr>
          <w:ilvl w:val="0"/>
          <w:numId w:val="2"/>
        </w:numPr>
        <w:spacing w:after="80"/>
      </w:pPr>
      <w:r>
        <w:rPr>
          <w:rFonts w:ascii="Arial" w:cs="Arial" w:eastAsia="Arial" w:hAnsi="Arial"/>
          <w:color w:val="666666"/>
          <w:sz w:val="22"/>
          <w:szCs w:val="22"/>
        </w:rPr>
        <w:t xml:space="preserve">og:url — the canonical URL of the mini site.</w:t>
      </w:r>
    </w:p>
    <w:p>
      <w:pPr>
        <w:pStyle w:val="ListParagraph"/>
        <w:numPr>
          <w:ilvl w:val="0"/>
          <w:numId w:val="2"/>
        </w:numPr>
        <w:spacing w:after="80"/>
      </w:pPr>
      <w:r>
        <w:rPr>
          <w:rFonts w:ascii="Arial" w:cs="Arial" w:eastAsia="Arial" w:hAnsi="Arial"/>
          <w:color w:val="666666"/>
          <w:sz w:val="22"/>
          <w:szCs w:val="22"/>
        </w:rPr>
        <w:t xml:space="preserve">og:type — “website”.</w:t>
      </w:r>
    </w:p>
    <w:p>
      <w:pPr>
        <w:spacing w:after="80"/>
      </w:pPr>
    </w:p>
    <w:p>
      <w:pPr>
        <w:spacing w:after="160"/>
      </w:pPr>
      <w:r>
        <w:rPr>
          <w:rFonts w:ascii="Arial" w:cs="Arial" w:eastAsia="Arial" w:hAnsi="Arial"/>
          <w:color w:val="666666"/>
          <w:sz w:val="22"/>
          <w:szCs w:val="22"/>
        </w:rPr>
        <w:t xml:space="preserve">The preview image is a critical asset. It is the single biggest factor in whether someone taps a shared link. It should be designed as part of the mini site build and hosted alongside the HTML file (or embedded as a data URL if hosted separately from business.gov.ki).</w:t>
      </w:r>
    </w:p>
    <w:p>
      <w:pPr>
        <w:pStyle w:val="Heading2"/>
        <w:spacing w:after="160" w:before="280"/>
      </w:pPr>
      <w:r>
        <w:rPr>
          <w:rFonts w:ascii="Arial" w:cs="Arial" w:eastAsia="Arial" w:hAnsi="Arial"/>
          <w:b/>
          <w:bCs/>
          <w:color w:val="146151"/>
          <w:sz w:val="26"/>
          <w:szCs w:val="26"/>
        </w:rPr>
        <w:t xml:space="preserve">9.2 In-app browser compatibility</w:t>
      </w:r>
    </w:p>
    <w:p>
      <w:pPr>
        <w:spacing w:after="160"/>
      </w:pPr>
      <w:r>
        <w:rPr>
          <w:rFonts w:ascii="Arial" w:cs="Arial" w:eastAsia="Arial" w:hAnsi="Arial"/>
          <w:color w:val="666666"/>
          <w:sz w:val="22"/>
          <w:szCs w:val="22"/>
        </w:rPr>
        <w:t xml:space="preserve">When someone taps a shared link in WhatsApp or Facebook, it opens in the platform’s embedded in-app browser, not the device’s default browser. These embedded browsers are more limited than full Chrome or Safari. The mini site must:</w:t>
      </w:r>
    </w:p>
    <w:p>
      <w:pPr>
        <w:spacing w:after="80"/>
      </w:pPr>
    </w:p>
    <w:p>
      <w:pPr>
        <w:pStyle w:val="ListParagraph"/>
        <w:numPr>
          <w:ilvl w:val="0"/>
          <w:numId w:val="2"/>
        </w:numPr>
        <w:spacing w:after="80"/>
      </w:pPr>
      <w:r>
        <w:rPr>
          <w:rFonts w:ascii="Arial" w:cs="Arial" w:eastAsia="Arial" w:hAnsi="Arial"/>
          <w:color w:val="666666"/>
          <w:sz w:val="22"/>
          <w:szCs w:val="22"/>
        </w:rPr>
        <w:t xml:space="preserve">Work without CSS custom properties if targeting older WebViews (test in Facebook’s in-app browser).</w:t>
      </w:r>
    </w:p>
    <w:p>
      <w:pPr>
        <w:pStyle w:val="ListParagraph"/>
        <w:numPr>
          <w:ilvl w:val="0"/>
          <w:numId w:val="2"/>
        </w:numPr>
        <w:spacing w:after="80"/>
      </w:pPr>
      <w:r>
        <w:rPr>
          <w:rFonts w:ascii="Arial" w:cs="Arial" w:eastAsia="Arial" w:hAnsi="Arial"/>
          <w:color w:val="666666"/>
          <w:sz w:val="22"/>
          <w:szCs w:val="22"/>
        </w:rPr>
        <w:t xml:space="preserve">Use touch targets of at least 44px for all interactive elements.</w:t>
      </w:r>
    </w:p>
    <w:p>
      <w:pPr>
        <w:pStyle w:val="ListParagraph"/>
        <w:numPr>
          <w:ilvl w:val="0"/>
          <w:numId w:val="2"/>
        </w:numPr>
        <w:spacing w:after="80"/>
      </w:pPr>
      <w:r>
        <w:rPr>
          <w:rFonts w:ascii="Arial" w:cs="Arial" w:eastAsia="Arial" w:hAnsi="Arial"/>
          <w:color w:val="666666"/>
          <w:sz w:val="22"/>
          <w:szCs w:val="22"/>
        </w:rPr>
        <w:t xml:space="preserve">Include viewport-fit=cover and safe-area-inset padding for phones with notches.</w:t>
      </w:r>
    </w:p>
    <w:p>
      <w:pPr>
        <w:pStyle w:val="ListParagraph"/>
        <w:numPr>
          <w:ilvl w:val="0"/>
          <w:numId w:val="2"/>
        </w:numPr>
        <w:spacing w:after="80"/>
      </w:pPr>
      <w:r>
        <w:rPr>
          <w:rFonts w:ascii="Arial" w:cs="Arial" w:eastAsia="Arial" w:hAnsi="Arial"/>
          <w:color w:val="666666"/>
          <w:sz w:val="22"/>
          <w:szCs w:val="22"/>
        </w:rPr>
        <w:t xml:space="preserve">Avoid reliance on features that in-app browsers may block (localStorage, popups, downloads). The PDF download via jsPDF should be tested in both Facebook’s and WhatsApp’s in-app browsers, with a fallback instruction if the download does not trigger (e.g. “Open in your browser for the best experience”).</w:t>
      </w:r>
    </w:p>
    <w:p>
      <w:pPr>
        <w:pStyle w:val="Heading2"/>
        <w:spacing w:after="160" w:before="280"/>
      </w:pPr>
      <w:r>
        <w:rPr>
          <w:rFonts w:ascii="Arial" w:cs="Arial" w:eastAsia="Arial" w:hAnsi="Arial"/>
          <w:b/>
          <w:bCs/>
          <w:color w:val="146151"/>
          <w:sz w:val="26"/>
          <w:szCs w:val="26"/>
        </w:rPr>
        <w:t xml:space="preserve">9.3 Companion shareable assets</w:t>
      </w:r>
    </w:p>
    <w:p>
      <w:pPr>
        <w:spacing w:after="160"/>
      </w:pPr>
      <w:r>
        <w:rPr>
          <w:rFonts w:ascii="Arial" w:cs="Arial" w:eastAsia="Arial" w:hAnsi="Arial"/>
          <w:color w:val="666666"/>
          <w:sz w:val="22"/>
          <w:szCs w:val="22"/>
        </w:rPr>
        <w:t xml:space="preserve">Alongside the mini site, a set of companion assets should be produced for MTCIC to use in their social media and outreach communications. These are not part of the mini site itself but are essential to driving traffic to it:</w:t>
      </w:r>
    </w:p>
    <w:p>
      <w:pPr>
        <w:spacing w:after="80"/>
      </w:pPr>
    </w:p>
    <w:p>
      <w:pPr>
        <w:pStyle w:val="ListParagraph"/>
        <w:numPr>
          <w:ilvl w:val="0"/>
          <w:numId w:val="2"/>
        </w:numPr>
        <w:spacing w:after="80"/>
      </w:pPr>
      <w:r>
        <w:rPr>
          <w:rFonts w:ascii="Arial" w:cs="Arial" w:eastAsia="Arial" w:hAnsi="Arial"/>
          <w:b/>
          <w:bCs/>
          <w:color w:val="666666"/>
          <w:sz w:val="22"/>
          <w:szCs w:val="22"/>
        </w:rPr>
        <w:t xml:space="preserve">WhatsApp shareable cards. </w:t>
      </w:r>
      <w:r>
        <w:rPr>
          <w:rFonts w:ascii="Arial" w:cs="Arial" w:eastAsia="Arial" w:hAnsi="Arial"/>
          <w:color w:val="666666"/>
          <w:sz w:val="22"/>
          <w:szCs w:val="22"/>
        </w:rPr>
        <w:t xml:space="preserve">A set of 4–5 square (1080×1080px) image cards designed to be saved and forwarded in WhatsApp groups. Each card communicates one key message: the deadline, the fact that it’s free, that it works on a phone, the consequence of not re-registering, and a “forward this to a business owner” call to action. Each card includes the mini site URL.</w:t>
      </w:r>
    </w:p>
    <w:p>
      <w:pPr>
        <w:pStyle w:val="ListParagraph"/>
        <w:numPr>
          <w:ilvl w:val="0"/>
          <w:numId w:val="2"/>
        </w:numPr>
        <w:spacing w:after="80"/>
      </w:pPr>
      <w:r>
        <w:rPr>
          <w:rFonts w:ascii="Arial" w:cs="Arial" w:eastAsia="Arial" w:hAnsi="Arial"/>
          <w:b/>
          <w:bCs/>
          <w:color w:val="666666"/>
          <w:sz w:val="22"/>
          <w:szCs w:val="22"/>
        </w:rPr>
        <w:t xml:space="preserve">Facebook post templates. </w:t>
      </w:r>
      <w:r>
        <w:rPr>
          <w:rFonts w:ascii="Arial" w:cs="Arial" w:eastAsia="Arial" w:hAnsi="Arial"/>
          <w:color w:val="666666"/>
          <w:sz w:val="22"/>
          <w:szCs w:val="22"/>
        </w:rPr>
        <w:t xml:space="preserve">A set of ready-to-use post texts for MTCIC’s official Facebook page, with guidance on posting frequency, engagement practices, and sharing into local business groups. Posts should be bilingual (English and i-Kiribati) where possible.</w:t>
      </w:r>
    </w:p>
    <w:p>
      <w:pPr>
        <w:pStyle w:val="ListParagraph"/>
        <w:numPr>
          <w:ilvl w:val="0"/>
          <w:numId w:val="2"/>
        </w:numPr>
        <w:spacing w:after="80"/>
      </w:pPr>
      <w:r>
        <w:rPr>
          <w:rFonts w:ascii="Arial" w:cs="Arial" w:eastAsia="Arial" w:hAnsi="Arial"/>
          <w:b/>
          <w:bCs/>
          <w:color w:val="666666"/>
          <w:sz w:val="22"/>
          <w:szCs w:val="22"/>
        </w:rPr>
        <w:t xml:space="preserve">Link preview image. </w:t>
      </w:r>
      <w:r>
        <w:rPr>
          <w:rFonts w:ascii="Arial" w:cs="Arial" w:eastAsia="Arial" w:hAnsi="Arial"/>
          <w:color w:val="666666"/>
          <w:sz w:val="22"/>
          <w:szCs w:val="22"/>
        </w:rPr>
        <w:t xml:space="preserve">The 1200×630px OG image described above, also usable as a standalone visual for social posts.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Distribution note</w:t>
            </w:r>
          </w:p>
          <w:p>
            <w:pPr>
              <w:spacing w:after="0"/>
            </w:pPr>
            <w:r>
              <w:rPr>
                <w:rFonts w:ascii="Arial" w:cs="Arial" w:eastAsia="Arial" w:hAnsi="Arial"/>
                <w:color w:val="666666"/>
                <w:sz w:val="20"/>
                <w:szCs w:val="20"/>
              </w:rPr>
              <w:t xml:space="preserve">MTCIC needs to actively distribute the mini site link through their Facebook page and local business groups. The mini site will not generate traffic on its own. Facebook is the primary public channel in Kiribati; WhatsApp is how information spreads between individuals. Both must be used.</w:t>
            </w:r>
          </w:p>
        </w:tc>
      </w:tr>
    </w:tbl>
    <w:p>
      <w:r>
        <w:br w:type="page"/>
      </w:r>
    </w:p>
    <w:p>
      <w:pPr>
        <w:pStyle w:val="Heading1"/>
        <w:spacing w:after="200" w:before="360"/>
      </w:pPr>
      <w:r>
        <w:rPr>
          <w:rFonts w:ascii="Arial" w:cs="Arial" w:eastAsia="Arial" w:hAnsi="Arial"/>
          <w:b/>
          <w:bCs/>
          <w:color w:val="146151"/>
          <w:sz w:val="32"/>
          <w:szCs w:val="32"/>
        </w:rPr>
        <w:t xml:space="preserve">10. Accessibility</w:t>
      </w:r>
    </w:p>
    <w:p>
      <w:pPr>
        <w:spacing w:after="160"/>
      </w:pPr>
      <w:r>
        <w:rPr>
          <w:rFonts w:ascii="Arial" w:cs="Arial" w:eastAsia="Arial" w:hAnsi="Arial"/>
          <w:color w:val="666666"/>
          <w:sz w:val="22"/>
          <w:szCs w:val="22"/>
        </w:rPr>
        <w:t xml:space="preserve">The mini site targets WCAG 2.1 Level AA conformance, consistent with the standard applied to the existing form builders. As a government-adjacent service that needs to reach all business owners in Kiribati, accessibility is a requirement, not an enhancement.</w:t>
      </w:r>
    </w:p>
    <w:p>
      <w:pPr>
        <w:pStyle w:val="Heading2"/>
        <w:spacing w:after="160" w:before="280"/>
      </w:pPr>
      <w:r>
        <w:rPr>
          <w:rFonts w:ascii="Arial" w:cs="Arial" w:eastAsia="Arial" w:hAnsi="Arial"/>
          <w:b/>
          <w:bCs/>
          <w:color w:val="146151"/>
          <w:sz w:val="26"/>
          <w:szCs w:val="26"/>
        </w:rPr>
        <w:t xml:space="preserve">10.1 Semantic HTML</w:t>
      </w:r>
    </w:p>
    <w:p>
      <w:pPr>
        <w:spacing w:after="160"/>
      </w:pPr>
      <w:r>
        <w:rPr>
          <w:rFonts w:ascii="Arial" w:cs="Arial" w:eastAsia="Arial" w:hAnsi="Arial"/>
          <w:color w:val="666666"/>
          <w:sz w:val="22"/>
          <w:szCs w:val="22"/>
        </w:rPr>
        <w:t xml:space="preserve">The mini site must use proper semantic HTML throughout:</w:t>
      </w:r>
    </w:p>
    <w:p>
      <w:pPr>
        <w:spacing w:after="80"/>
      </w:pPr>
    </w:p>
    <w:p>
      <w:pPr>
        <w:pStyle w:val="ListParagraph"/>
        <w:numPr>
          <w:ilvl w:val="0"/>
          <w:numId w:val="2"/>
        </w:numPr>
        <w:spacing w:after="80"/>
      </w:pPr>
      <w:r>
        <w:rPr>
          <w:rFonts w:ascii="Arial" w:cs="Arial" w:eastAsia="Arial" w:hAnsi="Arial"/>
          <w:color w:val="666666"/>
          <w:sz w:val="22"/>
          <w:szCs w:val="22"/>
        </w:rPr>
        <w:t xml:space="preserve">Correct heading hierarchy (h1 for the page title, h2 for section headings, h3 for sub-sections). Screen readers use headings to navigate the page structure.</w:t>
      </w:r>
    </w:p>
    <w:p>
      <w:pPr>
        <w:pStyle w:val="ListParagraph"/>
        <w:numPr>
          <w:ilvl w:val="0"/>
          <w:numId w:val="2"/>
        </w:numPr>
        <w:spacing w:after="80"/>
      </w:pPr>
      <w:r>
        <w:rPr>
          <w:rFonts w:ascii="Arial" w:cs="Arial" w:eastAsia="Arial" w:hAnsi="Arial"/>
          <w:color w:val="666666"/>
          <w:sz w:val="22"/>
          <w:szCs w:val="22"/>
        </w:rPr>
        <w:t xml:space="preserve">The triage entity type cards must be implemented as a radio button group (or button elements with proper ARIA roles), not styled div elements. The selected state must be communicated programmatically, not just visually.</w:t>
      </w:r>
    </w:p>
    <w:p>
      <w:pPr>
        <w:pStyle w:val="ListParagraph"/>
        <w:numPr>
          <w:ilvl w:val="0"/>
          <w:numId w:val="2"/>
        </w:numPr>
        <w:spacing w:after="80"/>
      </w:pPr>
      <w:r>
        <w:rPr>
          <w:rFonts w:ascii="Arial" w:cs="Arial" w:eastAsia="Arial" w:hAnsi="Arial"/>
          <w:color w:val="666666"/>
          <w:sz w:val="22"/>
          <w:szCs w:val="22"/>
        </w:rPr>
        <w:t xml:space="preserve">The yes/no toggles must use button elements with aria-pressed to indicate the current state.</w:t>
      </w:r>
    </w:p>
    <w:p>
      <w:pPr>
        <w:pStyle w:val="ListParagraph"/>
        <w:numPr>
          <w:ilvl w:val="0"/>
          <w:numId w:val="2"/>
        </w:numPr>
        <w:spacing w:after="80"/>
      </w:pPr>
      <w:r>
        <w:rPr>
          <w:rFonts w:ascii="Arial" w:cs="Arial" w:eastAsia="Arial" w:hAnsi="Arial"/>
          <w:color w:val="666666"/>
          <w:sz w:val="22"/>
          <w:szCs w:val="22"/>
        </w:rPr>
        <w:t xml:space="preserve">The expandable step cards must follow the disclosure pattern: a button element with aria-expanded (true/false) and aria-controls pointing to the content panel.</w:t>
      </w:r>
    </w:p>
    <w:p>
      <w:pPr>
        <w:pStyle w:val="ListParagraph"/>
        <w:numPr>
          <w:ilvl w:val="0"/>
          <w:numId w:val="2"/>
        </w:numPr>
        <w:spacing w:after="80"/>
      </w:pPr>
      <w:r>
        <w:rPr>
          <w:rFonts w:ascii="Arial" w:cs="Arial" w:eastAsia="Arial" w:hAnsi="Arial"/>
          <w:color w:val="666666"/>
          <w:sz w:val="22"/>
          <w:szCs w:val="22"/>
        </w:rPr>
        <w:t xml:space="preserve">The authority wizard options must be a radio group with a group label and individual option labels.</w:t>
      </w:r>
    </w:p>
    <w:p>
      <w:pPr>
        <w:pStyle w:val="ListParagraph"/>
        <w:numPr>
          <w:ilvl w:val="0"/>
          <w:numId w:val="2"/>
        </w:numPr>
        <w:spacing w:after="80"/>
      </w:pPr>
      <w:r>
        <w:rPr>
          <w:rFonts w:ascii="Arial" w:cs="Arial" w:eastAsia="Arial" w:hAnsi="Arial"/>
          <w:color w:val="666666"/>
          <w:sz w:val="22"/>
          <w:szCs w:val="22"/>
        </w:rPr>
        <w:t xml:space="preserve">A skip link at the top of the page allowing keyboard users to bypass the header and jump to the main content.</w:t>
      </w:r>
    </w:p>
    <w:p>
      <w:pPr>
        <w:pStyle w:val="ListParagraph"/>
        <w:numPr>
          <w:ilvl w:val="0"/>
          <w:numId w:val="2"/>
        </w:numPr>
        <w:spacing w:after="80"/>
      </w:pPr>
      <w:r>
        <w:rPr>
          <w:rFonts w:ascii="Arial" w:cs="Arial" w:eastAsia="Arial" w:hAnsi="Arial"/>
          <w:color w:val="666666"/>
          <w:sz w:val="22"/>
          <w:szCs w:val="22"/>
        </w:rPr>
        <w:t xml:space="preserve">Landmark regions: header, main, and footer, using the appropriate HTML5 elements.</w:t>
      </w:r>
    </w:p>
    <w:p>
      <w:pPr>
        <w:pStyle w:val="Heading2"/>
        <w:spacing w:after="160" w:before="280"/>
      </w:pPr>
      <w:r>
        <w:rPr>
          <w:rFonts w:ascii="Arial" w:cs="Arial" w:eastAsia="Arial" w:hAnsi="Arial"/>
          <w:b/>
          <w:bCs/>
          <w:color w:val="146151"/>
          <w:sz w:val="26"/>
          <w:szCs w:val="26"/>
        </w:rPr>
        <w:t xml:space="preserve">10.2 Keyboard navigation</w:t>
      </w:r>
    </w:p>
    <w:p>
      <w:pPr>
        <w:spacing w:after="160"/>
      </w:pPr>
      <w:r>
        <w:rPr>
          <w:rFonts w:ascii="Arial" w:cs="Arial" w:eastAsia="Arial" w:hAnsi="Arial"/>
          <w:color w:val="666666"/>
          <w:sz w:val="22"/>
          <w:szCs w:val="22"/>
        </w:rPr>
        <w:t xml:space="preserve">Every interactive element must be reachable via the Tab key, operable via Enter or Space, and have a visible focus indicator. This includes the entity type cards, yes/no toggles, step expand/collapse buttons, authority wizard options, “Show me how” links, and the PDF download button. Focus indicators should use the teal brand colour and be clearly visible against the white background.</w:t>
      </w:r>
    </w:p>
    <w:p>
      <w:pPr>
        <w:pStyle w:val="Heading2"/>
        <w:spacing w:after="160" w:before="280"/>
      </w:pPr>
      <w:r>
        <w:rPr>
          <w:rFonts w:ascii="Arial" w:cs="Arial" w:eastAsia="Arial" w:hAnsi="Arial"/>
          <w:b/>
          <w:bCs/>
          <w:color w:val="146151"/>
          <w:sz w:val="26"/>
          <w:szCs w:val="26"/>
        </w:rPr>
        <w:t xml:space="preserve">10.3 Screen reader support</w:t>
      </w:r>
    </w:p>
    <w:p>
      <w:pPr>
        <w:spacing w:after="160"/>
      </w:pPr>
      <w:r>
        <w:rPr>
          <w:rFonts w:ascii="Arial" w:cs="Arial" w:eastAsia="Arial" w:hAnsi="Arial"/>
          <w:color w:val="666666"/>
          <w:sz w:val="22"/>
          <w:szCs w:val="22"/>
        </w:rPr>
        <w:t xml:space="preserve">Several interactions require specific screen reader consideration:</w:t>
      </w:r>
    </w:p>
    <w:p>
      <w:pPr>
        <w:spacing w:after="80"/>
      </w:pPr>
    </w:p>
    <w:p>
      <w:pPr>
        <w:pStyle w:val="ListParagraph"/>
        <w:numPr>
          <w:ilvl w:val="0"/>
          <w:numId w:val="2"/>
        </w:numPr>
        <w:spacing w:after="80"/>
      </w:pPr>
      <w:r>
        <w:rPr>
          <w:rFonts w:ascii="Arial" w:cs="Arial" w:eastAsia="Arial" w:hAnsi="Arial"/>
          <w:b/>
          <w:bCs/>
          <w:color w:val="666666"/>
          <w:sz w:val="22"/>
          <w:szCs w:val="22"/>
        </w:rPr>
        <w:t xml:space="preserve">Dynamic content loading. </w:t>
      </w:r>
      <w:r>
        <w:rPr>
          <w:rFonts w:ascii="Arial" w:cs="Arial" w:eastAsia="Arial" w:hAnsi="Arial"/>
          <w:color w:val="666666"/>
          <w:sz w:val="22"/>
          <w:szCs w:val="22"/>
        </w:rPr>
        <w:t xml:space="preserve">When the user completes the triage and the personalised pathway appears, a screen reader user needs to know that new content has been added to the page. An ARIA live region with polite politeness should announce a summary such as “Your personalised pathway is ready — 4 steps.”</w:t>
      </w:r>
    </w:p>
    <w:p>
      <w:pPr>
        <w:pStyle w:val="ListParagraph"/>
        <w:numPr>
          <w:ilvl w:val="0"/>
          <w:numId w:val="2"/>
        </w:numPr>
        <w:spacing w:after="80"/>
      </w:pPr>
      <w:r>
        <w:rPr>
          <w:rFonts w:ascii="Arial" w:cs="Arial" w:eastAsia="Arial" w:hAnsi="Arial"/>
          <w:b/>
          <w:bCs/>
          <w:color w:val="666666"/>
          <w:sz w:val="22"/>
          <w:szCs w:val="22"/>
        </w:rPr>
        <w:t xml:space="preserve">Colour-dependent information. </w:t>
      </w:r>
      <w:r>
        <w:rPr>
          <w:rFonts w:ascii="Arial" w:cs="Arial" w:eastAsia="Arial" w:hAnsi="Arial"/>
          <w:color w:val="666666"/>
          <w:sz w:val="22"/>
          <w:szCs w:val="22"/>
        </w:rPr>
        <w:t xml:space="preserve">The time-aware banner changes colour (teal, amber, red) to indicate urgency. The urgency level must also be conveyed through the text content itself, not just through colour. The current message text already does this (“start early” versus “start immediately”), but this must be maintained as a requirement.</w:t>
      </w:r>
    </w:p>
    <w:p>
      <w:pPr>
        <w:pStyle w:val="ListParagraph"/>
        <w:numPr>
          <w:ilvl w:val="0"/>
          <w:numId w:val="2"/>
        </w:numPr>
        <w:spacing w:after="80"/>
      </w:pPr>
      <w:r>
        <w:rPr>
          <w:rFonts w:ascii="Arial" w:cs="Arial" w:eastAsia="Arial" w:hAnsi="Arial"/>
          <w:b/>
          <w:bCs/>
          <w:color w:val="666666"/>
          <w:sz w:val="22"/>
          <w:szCs w:val="22"/>
        </w:rPr>
        <w:t xml:space="preserve">The PDF download button. </w:t>
      </w:r>
      <w:r>
        <w:rPr>
          <w:rFonts w:ascii="Arial" w:cs="Arial" w:eastAsia="Arial" w:hAnsi="Arial"/>
          <w:color w:val="666666"/>
          <w:sz w:val="22"/>
          <w:szCs w:val="22"/>
        </w:rPr>
        <w:t xml:space="preserve">The accessible name must be descriptive: “Download your personalised re-registration checklist (PDF)” rather than just “Download.”</w:t>
      </w:r>
    </w:p>
    <w:p>
      <w:pPr>
        <w:pStyle w:val="Heading2"/>
        <w:spacing w:after="160" w:before="280"/>
      </w:pPr>
      <w:r>
        <w:rPr>
          <w:rFonts w:ascii="Arial" w:cs="Arial" w:eastAsia="Arial" w:hAnsi="Arial"/>
          <w:b/>
          <w:bCs/>
          <w:color w:val="146151"/>
          <w:sz w:val="26"/>
          <w:szCs w:val="26"/>
        </w:rPr>
        <w:t xml:space="preserve">10.4 Contrast ratios</w:t>
      </w:r>
    </w:p>
    <w:p>
      <w:pPr>
        <w:spacing w:after="160"/>
      </w:pPr>
      <w:r>
        <w:rPr>
          <w:rFonts w:ascii="Arial" w:cs="Arial" w:eastAsia="Arial" w:hAnsi="Arial"/>
          <w:color w:val="666666"/>
          <w:sz w:val="22"/>
          <w:szCs w:val="22"/>
        </w:rPr>
        <w:t xml:space="preserve">The colour palette must meet WCAG AA minimum contrast ratios (4.5:1 for normal text, 3:1 for large text):</w:t>
      </w:r>
    </w:p>
    <w:p>
      <w:pPr>
        <w:spacing w:after="80"/>
      </w:pPr>
    </w:p>
    <w:p>
      <w:pPr>
        <w:pStyle w:val="ListParagraph"/>
        <w:numPr>
          <w:ilvl w:val="0"/>
          <w:numId w:val="2"/>
        </w:numPr>
        <w:spacing w:after="80"/>
      </w:pPr>
      <w:r>
        <w:rPr>
          <w:rFonts w:ascii="Arial" w:cs="Arial" w:eastAsia="Arial" w:hAnsi="Arial"/>
          <w:color w:val="666666"/>
          <w:sz w:val="22"/>
          <w:szCs w:val="22"/>
        </w:rPr>
        <w:t xml:space="preserve">MTCIC teal (#146151) on white: approximately 7:1 — passes AA and AAA.</w:t>
      </w:r>
    </w:p>
    <w:p>
      <w:pPr>
        <w:pStyle w:val="ListParagraph"/>
        <w:numPr>
          <w:ilvl w:val="0"/>
          <w:numId w:val="2"/>
        </w:numPr>
        <w:spacing w:after="80"/>
      </w:pPr>
      <w:r>
        <w:rPr>
          <w:rFonts w:ascii="Arial" w:cs="Arial" w:eastAsia="Arial" w:hAnsi="Arial"/>
          <w:color w:val="666666"/>
          <w:sz w:val="22"/>
          <w:szCs w:val="22"/>
        </w:rPr>
        <w:t xml:space="preserve">Medium grey (#666666) on white: approximately 5.7:1 — passes AA for normal text.</w:t>
      </w:r>
    </w:p>
    <w:p>
      <w:pPr>
        <w:pStyle w:val="ListParagraph"/>
        <w:numPr>
          <w:ilvl w:val="0"/>
          <w:numId w:val="2"/>
        </w:numPr>
        <w:spacing w:after="80"/>
      </w:pPr>
      <w:r>
        <w:rPr>
          <w:rFonts w:ascii="Arial" w:cs="Arial" w:eastAsia="Arial" w:hAnsi="Arial"/>
          <w:color w:val="666666"/>
          <w:sz w:val="22"/>
          <w:szCs w:val="22"/>
        </w:rPr>
        <w:t xml:space="preserve">White text on amber banner (#B45309): approximately 4.6:1 — passes AA. Should be verified during build.</w:t>
      </w:r>
    </w:p>
    <w:p>
      <w:pPr>
        <w:pStyle w:val="ListParagraph"/>
        <w:numPr>
          <w:ilvl w:val="0"/>
          <w:numId w:val="2"/>
        </w:numPr>
        <w:spacing w:after="80"/>
      </w:pPr>
      <w:r>
        <w:rPr>
          <w:rFonts w:ascii="Arial" w:cs="Arial" w:eastAsia="Arial" w:hAnsi="Arial"/>
          <w:color w:val="666666"/>
          <w:sz w:val="22"/>
          <w:szCs w:val="22"/>
        </w:rPr>
        <w:t xml:space="preserve">White text on red banner (#DC2626): approximately 4.5:1 — borderline AA. May need to darken slightly during build.</w:t>
      </w:r>
    </w:p>
    <w:p>
      <w:pPr>
        <w:pStyle w:val="Heading2"/>
        <w:spacing w:after="160" w:before="280"/>
      </w:pPr>
      <w:r>
        <w:rPr>
          <w:rFonts w:ascii="Arial" w:cs="Arial" w:eastAsia="Arial" w:hAnsi="Arial"/>
          <w:b/>
          <w:bCs/>
          <w:color w:val="146151"/>
          <w:sz w:val="26"/>
          <w:szCs w:val="26"/>
        </w:rPr>
        <w:t xml:space="preserve">10.5 Walkthrough guide accessibility</w:t>
      </w:r>
    </w:p>
    <w:p>
      <w:pPr>
        <w:spacing w:after="160"/>
      </w:pPr>
      <w:r>
        <w:rPr>
          <w:rFonts w:ascii="Arial" w:cs="Arial" w:eastAsia="Arial" w:hAnsi="Arial"/>
          <w:color w:val="666666"/>
          <w:sz w:val="22"/>
          <w:szCs w:val="22"/>
        </w:rPr>
        <w:t xml:space="preserve">The walkthrough guides are visual by nature — they show simplified representations of registry screens. For screen reader users, each screen in the walkthrough must have a text description that conveys the same instruction. For example: “The entity profile page. The REQUEST ENTITY AUTHORITY button is in the top right, shown in blue.” This ensures the walkthroughs function as step-by-step text instructions even without the visual component.</w:t>
      </w:r>
    </w:p>
    <w:p>
      <w:pPr>
        <w:pStyle w:val="Heading2"/>
        <w:spacing w:after="160" w:before="280"/>
      </w:pPr>
      <w:r>
        <w:rPr>
          <w:rFonts w:ascii="Arial" w:cs="Arial" w:eastAsia="Arial" w:hAnsi="Arial"/>
          <w:b/>
          <w:bCs/>
          <w:color w:val="146151"/>
          <w:sz w:val="26"/>
          <w:szCs w:val="26"/>
        </w:rPr>
        <w:t xml:space="preserve">10.6 PDF limitations</w:t>
      </w:r>
    </w:p>
    <w:p>
      <w:pPr>
        <w:spacing w:after="160"/>
      </w:pPr>
      <w:r>
        <w:rPr>
          <w:rFonts w:ascii="Arial" w:cs="Arial" w:eastAsia="Arial" w:hAnsi="Arial"/>
          <w:color w:val="666666"/>
          <w:sz w:val="22"/>
          <w:szCs w:val="22"/>
        </w:rPr>
        <w:t xml:space="preserve">The generated PDF checklist is produced by jsPDF, which creates a flat (untagged) PDF. Untagged PDFs do not have a semantic reading order, heading structure, or alt text, which limits their accessibility to screen reader users. This is a known limitation of client-side PDF generation.</w:t>
      </w:r>
    </w:p>
    <w:p>
      <w:pPr>
        <w:spacing w:after="160"/>
      </w:pPr>
      <w:r>
        <w:rPr>
          <w:rFonts w:ascii="Arial" w:cs="Arial" w:eastAsia="Arial" w:hAnsi="Arial"/>
          <w:color w:val="666666"/>
          <w:sz w:val="22"/>
          <w:szCs w:val="22"/>
        </w:rPr>
        <w:t xml:space="preserve">The pragmatic mitigation is that the PDF contains the same information that is available on screen in the personalised pathway section. A screen reader user gets full access to the content through the web page itself. The PDF is a convenience for printing and offline reference, not the primary accessible experience. The plan should not delay the build to address tagged PDF generation, but this limitation should be acknowledged in any accessibility documentation.</w:t>
      </w:r>
    </w:p>
    <w:p>
      <w:r>
        <w:br w:type="page"/>
      </w:r>
    </w:p>
    <w:p>
      <w:pPr>
        <w:pStyle w:val="Heading1"/>
        <w:spacing w:after="200" w:before="360"/>
      </w:pPr>
      <w:r>
        <w:rPr>
          <w:rFonts w:ascii="Arial" w:cs="Arial" w:eastAsia="Arial" w:hAnsi="Arial"/>
          <w:b/>
          <w:bCs/>
          <w:color w:val="146151"/>
          <w:sz w:val="32"/>
          <w:szCs w:val="32"/>
        </w:rPr>
        <w:t xml:space="preserve">11. Language</w:t>
      </w:r>
    </w:p>
    <w:p>
      <w:pPr>
        <w:pStyle w:val="Heading2"/>
        <w:spacing w:after="160" w:before="280"/>
      </w:pPr>
      <w:r>
        <w:rPr>
          <w:rFonts w:ascii="Arial" w:cs="Arial" w:eastAsia="Arial" w:hAnsi="Arial"/>
          <w:b/>
          <w:bCs/>
          <w:color w:val="146151"/>
          <w:sz w:val="26"/>
          <w:szCs w:val="26"/>
        </w:rPr>
        <w:t xml:space="preserve">11.1 Primary language</w:t>
      </w:r>
    </w:p>
    <w:p>
      <w:pPr>
        <w:spacing w:after="160"/>
      </w:pPr>
      <w:r>
        <w:rPr>
          <w:rFonts w:ascii="Arial" w:cs="Arial" w:eastAsia="Arial" w:hAnsi="Arial"/>
          <w:color w:val="666666"/>
          <w:sz w:val="22"/>
          <w:szCs w:val="22"/>
        </w:rPr>
        <w:t xml:space="preserve">The mini site is written in English, consistent with the existing business.gov.ki content and the form builders. All text should be written at a plain English reading level — short sentences, common words, no legal or technical jargon without explanation. Terms that have a specific meaning in this context (such as “authority to file” and “constitution”) should be explained in plain language when they first appear.</w:t>
      </w:r>
    </w:p>
    <w:p>
      <w:pPr>
        <w:spacing w:after="160"/>
      </w:pPr>
      <w:r>
        <w:rPr>
          <w:rFonts w:ascii="Arial" w:cs="Arial" w:eastAsia="Arial" w:hAnsi="Arial"/>
          <w:color w:val="666666"/>
          <w:sz w:val="22"/>
          <w:szCs w:val="22"/>
        </w:rPr>
        <w:t xml:space="preserve">The content should also work well when one person is reading it aloud or explaining it to another person — for example, a literate family member helping a business owner, or a facilitator at a community outreach session.</w:t>
      </w:r>
    </w:p>
    <w:p>
      <w:pPr>
        <w:pStyle w:val="Heading2"/>
        <w:spacing w:after="160" w:before="280"/>
      </w:pPr>
      <w:r>
        <w:rPr>
          <w:rFonts w:ascii="Arial" w:cs="Arial" w:eastAsia="Arial" w:hAnsi="Arial"/>
          <w:b/>
          <w:bCs/>
          <w:color w:val="146151"/>
          <w:sz w:val="26"/>
          <w:szCs w:val="26"/>
        </w:rPr>
        <w:t xml:space="preserve">11.2 I-Kiribati (te taetae ni Kiribati)</w:t>
      </w:r>
    </w:p>
    <w:p>
      <w:pPr>
        <w:spacing w:after="160"/>
      </w:pPr>
      <w:r>
        <w:rPr>
          <w:rFonts w:ascii="Arial" w:cs="Arial" w:eastAsia="Arial" w:hAnsi="Arial"/>
          <w:color w:val="666666"/>
          <w:sz w:val="22"/>
          <w:szCs w:val="22"/>
        </w:rPr>
        <w:t xml:space="preserve">A full i-Kiribati translation of the mini site is not in scope for the initial build. However, the architecture should not preclude adding a translation later. All user-facing text should be maintained in a structured data object rather than hardcoded into JSX, making it straightforward to add a language switcher and a second set of text strings in future.</w:t>
      </w:r>
    </w:p>
    <w:p>
      <w:pPr>
        <w:spacing w:after="160"/>
      </w:pPr>
      <w:r>
        <w:rPr>
          <w:rFonts w:ascii="Arial" w:cs="Arial" w:eastAsia="Arial" w:hAnsi="Arial"/>
          <w:color w:val="666666"/>
          <w:sz w:val="22"/>
          <w:szCs w:val="22"/>
        </w:rPr>
        <w:t xml:space="preserve">For the companion social sharing assets (WhatsApp cards and Facebook post templates), i-Kiribati text should be included where possible. Social media content in the local language is significantly more likely to be engaged with and shared. At minimum, the key messages (“re-registration is free,” “deadline is 31 March 2027,” “you can do it on your phone”) should be translated for the shareable cards.</w:t>
      </w:r>
    </w:p>
    <w:p>
      <w:pPr>
        <w:pStyle w:val="Heading1"/>
        <w:spacing w:after="200" w:before="360"/>
      </w:pPr>
      <w:r>
        <w:rPr>
          <w:rFonts w:ascii="Arial" w:cs="Arial" w:eastAsia="Arial" w:hAnsi="Arial"/>
          <w:b/>
          <w:bCs/>
          <w:color w:val="146151"/>
          <w:sz w:val="32"/>
          <w:szCs w:val="32"/>
        </w:rPr>
        <w:t xml:space="preserve">12. Relationship to Existing Content</w:t>
      </w:r>
    </w:p>
    <w:p>
      <w:pPr>
        <w:pStyle w:val="Heading2"/>
        <w:spacing w:after="160" w:before="280"/>
      </w:pPr>
      <w:r>
        <w:rPr>
          <w:rFonts w:ascii="Arial" w:cs="Arial" w:eastAsia="Arial" w:hAnsi="Arial"/>
          <w:b/>
          <w:bCs/>
          <w:color w:val="146151"/>
          <w:sz w:val="26"/>
          <w:szCs w:val="26"/>
        </w:rPr>
        <w:t xml:space="preserve">12.1 The How To pages stay</w:t>
      </w:r>
    </w:p>
    <w:p>
      <w:pPr>
        <w:spacing w:after="160"/>
      </w:pPr>
      <w:r>
        <w:rPr>
          <w:rFonts w:ascii="Arial" w:cs="Arial" w:eastAsia="Arial" w:hAnsi="Arial"/>
          <w:color w:val="666666"/>
          <w:sz w:val="22"/>
          <w:szCs w:val="22"/>
        </w:rPr>
        <w:t xml:space="preserve">The mini site does not replace the existing How To pages or the About Re-registration page on business.gov.ki. Those pages remain the authoritative, comprehensive reference for all registry processes. They serve a different purpose: when someone’s authority request is sent back for revision and they need the full detail on what proof of authority means for their specific situation, that’s the How To page’s job. When MTCIC staff need to point someone to official process documentation, they link to the How To page.</w:t>
      </w:r>
    </w:p>
    <w:p>
      <w:pPr>
        <w:spacing w:after="160"/>
      </w:pPr>
      <w:r>
        <w:rPr>
          <w:rFonts w:ascii="Arial" w:cs="Arial" w:eastAsia="Arial" w:hAnsi="Arial"/>
          <w:color w:val="666666"/>
          <w:sz w:val="22"/>
          <w:szCs w:val="22"/>
        </w:rPr>
        <w:t xml:space="preserve">The mini site complements the existing content by providing a focused, guided entry point specifically for re-registration. It distils the essential information from the How To pages, adds interactive personalisation (triage, authority wizard, PDF generation), and adds time-aware context (deadline countdown, recommended start dates) that static CMS pages cannot provide.</w:t>
      </w:r>
    </w:p>
    <w:p>
      <w:pPr>
        <w:spacing w:after="160"/>
      </w:pPr>
      <w:r>
        <w:rPr>
          <w:rFonts w:ascii="Arial" w:cs="Arial" w:eastAsia="Arial" w:hAnsi="Arial"/>
          <w:color w:val="666666"/>
          <w:sz w:val="22"/>
          <w:szCs w:val="22"/>
        </w:rPr>
        <w:t xml:space="preserve">Where the mini site refers to detailed procedures or rules (such as the full list of accepted ID types, the rules about company constitutions, or the specifics of the authority granting process), it links to the relevant section of the main site rather than duplicating the content. This avoids the maintenance risk of two sources diverging over time.</w:t>
      </w:r>
    </w:p>
    <w:p>
      <w:pPr>
        <w:pStyle w:val="Heading2"/>
        <w:spacing w:after="160" w:before="280"/>
      </w:pPr>
      <w:r>
        <w:rPr>
          <w:rFonts w:ascii="Arial" w:cs="Arial" w:eastAsia="Arial" w:hAnsi="Arial"/>
          <w:b/>
          <w:bCs/>
          <w:color w:val="146151"/>
          <w:sz w:val="26"/>
          <w:szCs w:val="26"/>
        </w:rPr>
        <w:t xml:space="preserve">12.2 Homepage hero boxes</w:t>
      </w:r>
    </w:p>
    <w:p>
      <w:pPr>
        <w:spacing w:after="160"/>
      </w:pPr>
      <w:r>
        <w:rPr>
          <w:rFonts w:ascii="Arial" w:cs="Arial" w:eastAsia="Arial" w:hAnsi="Arial"/>
          <w:color w:val="666666"/>
          <w:sz w:val="22"/>
          <w:szCs w:val="22"/>
        </w:rPr>
        <w:t xml:space="preserve">The business.gov.ki homepage currently has two dedicated hero boxes for re-registration — one for business names and one for companies. These link to the re-registration sections of the How To pages. With the mini site in place, the recommended change is:</w:t>
      </w:r>
    </w:p>
    <w:p>
      <w:pPr>
        <w:spacing w:after="80"/>
      </w:pPr>
    </w:p>
    <w:p>
      <w:pPr>
        <w:pStyle w:val="ListParagraph"/>
        <w:numPr>
          <w:ilvl w:val="0"/>
          <w:numId w:val="2"/>
        </w:numPr>
        <w:spacing w:after="80"/>
      </w:pPr>
      <w:r>
        <w:rPr>
          <w:rFonts w:ascii="Arial" w:cs="Arial" w:eastAsia="Arial" w:hAnsi="Arial"/>
          <w:b/>
          <w:bCs/>
          <w:color w:val="666666"/>
          <w:sz w:val="22"/>
          <w:szCs w:val="22"/>
        </w:rPr>
        <w:t xml:space="preserve">Replace the two re-registration hero boxes with a single temporary banner </w:t>
      </w:r>
      <w:r>
        <w:rPr>
          <w:rFonts w:ascii="Arial" w:cs="Arial" w:eastAsia="Arial" w:hAnsi="Arial"/>
          <w:color w:val="666666"/>
          <w:sz w:val="22"/>
          <w:szCs w:val="22"/>
        </w:rPr>
        <w:t xml:space="preserve">that links directly to the mini site. The banner should cover all entity types (“Re-register your business name or company — free step-by-step guide”) since the mini site handles entity type triage itself. The banner should be visually distinct from the permanent hero boxes — clearly a time-limited, deadline-driven call to action rather than a permanent navigation element.</w:t>
      </w:r>
    </w:p>
    <w:p>
      <w:pPr>
        <w:pStyle w:val="ListParagraph"/>
        <w:numPr>
          <w:ilvl w:val="0"/>
          <w:numId w:val="2"/>
        </w:numPr>
        <w:spacing w:after="80"/>
      </w:pPr>
      <w:r>
        <w:rPr>
          <w:rFonts w:ascii="Arial" w:cs="Arial" w:eastAsia="Arial" w:hAnsi="Arial"/>
          <w:b/>
          <w:bCs/>
          <w:color w:val="666666"/>
          <w:sz w:val="22"/>
          <w:szCs w:val="22"/>
        </w:rPr>
        <w:t xml:space="preserve">Repurpose the freed hero box slot </w:t>
      </w:r>
      <w:r>
        <w:rPr>
          <w:rFonts w:ascii="Arial" w:cs="Arial" w:eastAsia="Arial" w:hAnsi="Arial"/>
          <w:color w:val="666666"/>
          <w:sz w:val="22"/>
          <w:szCs w:val="22"/>
        </w:rPr>
        <w:t xml:space="preserve">for another priority task, such as annual returns, general awareness about the new registry, or account creation. This is a decision for MTCIC based on their current operational priorities.</w:t>
      </w:r>
    </w:p>
    <w:p>
      <w:pPr>
        <w:pStyle w:val="ListParagraph"/>
        <w:numPr>
          <w:ilvl w:val="0"/>
          <w:numId w:val="2"/>
        </w:numPr>
        <w:spacing w:after="80"/>
      </w:pPr>
      <w:r>
        <w:rPr>
          <w:rFonts w:ascii="Arial" w:cs="Arial" w:eastAsia="Arial" w:hAnsi="Arial"/>
          <w:b/>
          <w:bCs/>
          <w:color w:val="666666"/>
          <w:sz w:val="22"/>
          <w:szCs w:val="22"/>
        </w:rPr>
        <w:t xml:space="preserve">Remove the banner after March 2027 </w:t>
      </w:r>
      <w:r>
        <w:rPr>
          <w:rFonts w:ascii="Arial" w:cs="Arial" w:eastAsia="Arial" w:hAnsi="Arial"/>
          <w:color w:val="666666"/>
          <w:sz w:val="22"/>
          <w:szCs w:val="22"/>
        </w:rPr>
        <w:t xml:space="preserve">when the re-registration deadline has passed, and return the hero boxes to their normal configuration.</w:t>
      </w:r>
    </w:p>
    <w:p>
      <w:pPr>
        <w:spacing w:after="80"/>
      </w:pPr>
    </w:p>
    <w:p>
      <w:pPr>
        <w:spacing w:after="160"/>
      </w:pPr>
      <w:r>
        <w:rPr>
          <w:rFonts w:ascii="Arial" w:cs="Arial" w:eastAsia="Arial" w:hAnsi="Arial"/>
          <w:color w:val="666666"/>
          <w:sz w:val="22"/>
          <w:szCs w:val="22"/>
        </w:rPr>
        <w:t xml:space="preserve">This change requires Paradigm Apps to update the homepage content block in the CMS. It is a minor content update, not a structural change.</w:t>
      </w:r>
    </w:p>
    <w:p>
      <w:pPr>
        <w:pStyle w:val="Heading2"/>
        <w:spacing w:after="160" w:before="280"/>
      </w:pPr>
      <w:r>
        <w:rPr>
          <w:rFonts w:ascii="Arial" w:cs="Arial" w:eastAsia="Arial" w:hAnsi="Arial"/>
          <w:b/>
          <w:bCs/>
          <w:color w:val="146151"/>
          <w:sz w:val="26"/>
          <w:szCs w:val="26"/>
        </w:rPr>
        <w:t xml:space="preserve">12.3 Cross-linking</w:t>
      </w:r>
    </w:p>
    <w:p>
      <w:pPr>
        <w:spacing w:after="160"/>
      </w:pPr>
      <w:r>
        <w:rPr>
          <w:rFonts w:ascii="Arial" w:cs="Arial" w:eastAsia="Arial" w:hAnsi="Arial"/>
          <w:color w:val="666666"/>
          <w:sz w:val="22"/>
          <w:szCs w:val="22"/>
        </w:rPr>
        <w:t xml:space="preserve">Two reciprocal links should be added:</w:t>
      </w:r>
    </w:p>
    <w:p>
      <w:pPr>
        <w:spacing w:after="80"/>
      </w:pPr>
    </w:p>
    <w:p>
      <w:pPr>
        <w:pStyle w:val="ListParagraph"/>
        <w:numPr>
          <w:ilvl w:val="0"/>
          <w:numId w:val="2"/>
        </w:numPr>
        <w:spacing w:after="80"/>
      </w:pPr>
      <w:r>
        <w:rPr>
          <w:rFonts w:ascii="Arial" w:cs="Arial" w:eastAsia="Arial" w:hAnsi="Arial"/>
          <w:color w:val="666666"/>
          <w:sz w:val="22"/>
          <w:szCs w:val="22"/>
        </w:rPr>
        <w:t xml:space="preserve">The re-registration How To page should include a prominent link to the mini site at the top of the page, before the existing content. Something like “New: Use our step-by-step re-registration guide” in an info box. This catches users who arrive at the How To page directly (from a bookmark, a search result, or an MTCIC referral) and gives them the option of the guided experience.</w:t>
      </w:r>
    </w:p>
    <w:p>
      <w:pPr>
        <w:pStyle w:val="ListParagraph"/>
        <w:numPr>
          <w:ilvl w:val="0"/>
          <w:numId w:val="2"/>
        </w:numPr>
        <w:spacing w:after="80"/>
      </w:pPr>
      <w:r>
        <w:rPr>
          <w:rFonts w:ascii="Arial" w:cs="Arial" w:eastAsia="Arial" w:hAnsi="Arial"/>
          <w:color w:val="666666"/>
          <w:sz w:val="22"/>
          <w:szCs w:val="22"/>
        </w:rPr>
        <w:t xml:space="preserve">The mini site links back to the How To pages for detailed reference information, which is already specified in section 3.8 (Contact and further information).</w:t>
      </w:r>
    </w:p>
    <w:p>
      <w:pPr>
        <w:spacing w:after="80"/>
      </w:pPr>
    </w:p>
    <w:p>
      <w:pPr>
        <w:spacing w:after="160"/>
      </w:pPr>
      <w:r>
        <w:rPr>
          <w:rFonts w:ascii="Arial" w:cs="Arial" w:eastAsia="Arial" w:hAnsi="Arial"/>
          <w:color w:val="666666"/>
          <w:sz w:val="22"/>
          <w:szCs w:val="22"/>
        </w:rPr>
        <w:t xml:space="preserve">Both cross-links require Paradigm Apps to add content in the CMS. These are minor updates.</w:t>
      </w:r>
    </w:p>
    <w:p>
      <w:pPr>
        <w:pStyle w:val="Heading1"/>
        <w:spacing w:after="200" w:before="360"/>
      </w:pPr>
      <w:r>
        <w:rPr>
          <w:rFonts w:ascii="Arial" w:cs="Arial" w:eastAsia="Arial" w:hAnsi="Arial"/>
          <w:b/>
          <w:bCs/>
          <w:color w:val="146151"/>
          <w:sz w:val="32"/>
          <w:szCs w:val="32"/>
        </w:rPr>
        <w:t xml:space="preserve">13. Measuring Uptake</w:t>
      </w:r>
    </w:p>
    <w:p>
      <w:pPr>
        <w:spacing w:after="160"/>
      </w:pPr>
      <w:r>
        <w:rPr>
          <w:rFonts w:ascii="Arial" w:cs="Arial" w:eastAsia="Arial" w:hAnsi="Arial"/>
          <w:color w:val="666666"/>
          <w:sz w:val="22"/>
          <w:szCs w:val="22"/>
        </w:rPr>
        <w:t xml:space="preserve">The mini site does not include client-side analytics. This is consistent with the privacy approach across all standalone tools built for the Kiribati registry project: no tracking, no cookies, no data collection. This is a deliberate design choice, not an oversight.</w:t>
      </w:r>
    </w:p>
    <w:p>
      <w:pPr>
        <w:pStyle w:val="Heading2"/>
        <w:spacing w:after="160" w:before="280"/>
      </w:pPr>
      <w:r>
        <w:rPr>
          <w:rFonts w:ascii="Arial" w:cs="Arial" w:eastAsia="Arial" w:hAnsi="Arial"/>
          <w:b/>
          <w:bCs/>
          <w:color w:val="146151"/>
          <w:sz w:val="26"/>
          <w:szCs w:val="26"/>
        </w:rPr>
        <w:t xml:space="preserve">13.1 What to measure and where</w:t>
      </w:r>
    </w:p>
    <w:p>
      <w:pPr>
        <w:spacing w:after="160"/>
      </w:pPr>
      <w:r>
        <w:rPr>
          <w:rFonts w:ascii="Arial" w:cs="Arial" w:eastAsia="Arial" w:hAnsi="Arial"/>
          <w:color w:val="666666"/>
          <w:sz w:val="22"/>
          <w:szCs w:val="22"/>
        </w:rPr>
        <w:t xml:space="preserve">The meaningful measure of re-registration uptake is not how many people visited the mini site — it is how many entities have re-registered. That data exists in the registry itself. MTCIC can extract compliance reports showing how many entities have re-registered versus how many remain outstanding, broken down by entity type. This is the metric that matters, and it requires nothing from the mini site.</w:t>
      </w:r>
    </w:p>
    <w:p>
      <w:pPr>
        <w:spacing w:after="160"/>
      </w:pPr>
      <w:r>
        <w:rPr>
          <w:rFonts w:ascii="Arial" w:cs="Arial" w:eastAsia="Arial" w:hAnsi="Arial"/>
          <w:color w:val="666666"/>
          <w:sz w:val="22"/>
          <w:szCs w:val="22"/>
        </w:rPr>
        <w:t xml:space="preserve">If PSDI or MTCIC want to understand mini site usage specifically, two lightweight options are available without adding client-side tracking:</w:t>
      </w:r>
    </w:p>
    <w:p>
      <w:pPr>
        <w:spacing w:after="80"/>
      </w:pPr>
    </w:p>
    <w:p>
      <w:pPr>
        <w:pStyle w:val="ListParagraph"/>
        <w:numPr>
          <w:ilvl w:val="0"/>
          <w:numId w:val="2"/>
        </w:numPr>
        <w:spacing w:after="80"/>
      </w:pPr>
      <w:r>
        <w:rPr>
          <w:rFonts w:ascii="Arial" w:cs="Arial" w:eastAsia="Arial" w:hAnsi="Arial"/>
          <w:b/>
          <w:bCs/>
          <w:color w:val="666666"/>
          <w:sz w:val="22"/>
          <w:szCs w:val="22"/>
        </w:rPr>
        <w:t xml:space="preserve">Server-side logs. </w:t>
      </w:r>
      <w:r>
        <w:rPr>
          <w:rFonts w:ascii="Arial" w:cs="Arial" w:eastAsia="Arial" w:hAnsi="Arial"/>
          <w:color w:val="666666"/>
          <w:sz w:val="22"/>
          <w:szCs w:val="22"/>
        </w:rPr>
        <w:t xml:space="preserve">If the mini site is hosted on business.gov.ki, the web server will record basic request data (page loads, referrers) in its standard access logs. This tells you how many times the page was loaded and where traffic came from (e.g. Facebook referrals versus direct visits), without any changes to the mini site code.</w:t>
      </w:r>
    </w:p>
    <w:p>
      <w:pPr>
        <w:pStyle w:val="ListParagraph"/>
        <w:numPr>
          <w:ilvl w:val="0"/>
          <w:numId w:val="2"/>
        </w:numPr>
        <w:spacing w:after="80"/>
      </w:pPr>
      <w:r>
        <w:rPr>
          <w:rFonts w:ascii="Arial" w:cs="Arial" w:eastAsia="Arial" w:hAnsi="Arial"/>
          <w:b/>
          <w:bCs/>
          <w:color w:val="666666"/>
          <w:sz w:val="22"/>
          <w:szCs w:val="22"/>
        </w:rPr>
        <w:t xml:space="preserve">Social media metrics. </w:t>
      </w:r>
      <w:r>
        <w:rPr>
          <w:rFonts w:ascii="Arial" w:cs="Arial" w:eastAsia="Arial" w:hAnsi="Arial"/>
          <w:color w:val="666666"/>
          <w:sz w:val="22"/>
          <w:szCs w:val="22"/>
        </w:rPr>
        <w:t xml:space="preserve">Facebook provides engagement data (reach, clicks, shares) for posts made from the MTCIC page. WhatsApp does not provide analytics, but the nature of the platform (group chats, forwarding) means that a single shared link can reach many people without any tracking mechanism.</w:t>
      </w:r>
    </w:p>
    <w:p>
      <w:pPr>
        <w:pStyle w:val="Heading2"/>
        <w:spacing w:after="160" w:before="280"/>
      </w:pPr>
      <w:r>
        <w:rPr>
          <w:rFonts w:ascii="Arial" w:cs="Arial" w:eastAsia="Arial" w:hAnsi="Arial"/>
          <w:b/>
          <w:bCs/>
          <w:color w:val="146151"/>
          <w:sz w:val="26"/>
          <w:szCs w:val="26"/>
        </w:rPr>
        <w:t xml:space="preserve">13.2 What not to do</w:t>
      </w:r>
    </w:p>
    <w:p>
      <w:pPr>
        <w:spacing w:after="160"/>
      </w:pPr>
      <w:r>
        <w:rPr>
          <w:rFonts w:ascii="Arial" w:cs="Arial" w:eastAsia="Arial" w:hAnsi="Arial"/>
          <w:color w:val="666666"/>
          <w:sz w:val="22"/>
          <w:szCs w:val="22"/>
        </w:rPr>
        <w:t xml:space="preserve">Adding a third-party analytics service (such as Google Analytics) would introduce an external dependency, require cookie consent considerations, and contradict the “no tracking” positioning established across the standalone tools. It would also require coordination with Paradigm Apps for domain configuration. This is not recommended for a tool with a finite lifespan (retiring after March 2027).</w:t>
      </w:r>
    </w:p>
    <w:p>
      <w:r>
        <w:br w:type="page"/>
      </w:r>
    </w:p>
    <w:p>
      <w:pPr>
        <w:pStyle w:val="Heading1"/>
        <w:spacing w:after="200" w:before="360"/>
      </w:pPr>
      <w:r>
        <w:rPr>
          <w:rFonts w:ascii="Arial" w:cs="Arial" w:eastAsia="Arial" w:hAnsi="Arial"/>
          <w:b/>
          <w:bCs/>
          <w:color w:val="146151"/>
          <w:sz w:val="32"/>
          <w:szCs w:val="32"/>
        </w:rPr>
        <w:t xml:space="preserve">14. Risks and Open Questions</w:t>
      </w:r>
    </w:p>
    <w:p>
      <w:pPr>
        <w:pStyle w:val="Heading2"/>
        <w:spacing w:after="160" w:before="280"/>
      </w:pPr>
      <w:r>
        <w:rPr>
          <w:rFonts w:ascii="Arial" w:cs="Arial" w:eastAsia="Arial" w:hAnsi="Arial"/>
          <w:b/>
          <w:bCs/>
          <w:color w:val="146151"/>
          <w:sz w:val="26"/>
          <w:szCs w:val="26"/>
        </w:rPr>
        <w:t xml:space="preserve">14.1 Open questions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 from</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contact details (phone and email for registry team)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To be confirmed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Additional evidence requirements for employee/agent authority path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Approximate — needs confirmation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Hosting location and URL for mini site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Recommended: business.gov.ki domain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Paradigm Apps / PSDI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Production URLs for form builders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Expected on main domain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Paradigm Apps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Existing approved messaging or communications materials on re-registration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Unknown — may not exist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I-Kiribati translation of key messages for social sharing assets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To be discussed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MTCIC / PSDI</w:t>
            </w:r>
          </w:p>
        </w:tc>
      </w:tr>
    </w:tbl>
    <w:p>
      <w:pPr>
        <w:pStyle w:val="Heading2"/>
        <w:spacing w:after="160" w:before="280"/>
      </w:pPr>
      <w:r>
        <w:rPr>
          <w:rFonts w:ascii="Arial" w:cs="Arial" w:eastAsia="Arial" w:hAnsi="Arial"/>
          <w:b/>
          <w:bCs/>
          <w:color w:val="146151"/>
          <w:sz w:val="26"/>
          <w:szCs w:val="26"/>
        </w:rPr>
        <w:t xml:space="preserve">14.2 Risks</w:t>
      </w:r>
    </w:p>
    <w:p>
      <w:pPr>
        <w:spacing w:after="80"/>
      </w:pPr>
    </w:p>
    <w:p>
      <w:pPr>
        <w:spacing w:after="160"/>
      </w:pPr>
      <w:r>
        <w:rPr>
          <w:rFonts w:ascii="Arial" w:cs="Arial" w:eastAsia="Arial" w:hAnsi="Arial"/>
          <w:b/>
          <w:bCs/>
          <w:color w:val="666666"/>
          <w:sz w:val="22"/>
          <w:szCs w:val="22"/>
        </w:rPr>
        <w:t xml:space="preserve">Deadline messaging and enforcement. </w:t>
      </w:r>
      <w:r>
        <w:rPr>
          <w:rFonts w:ascii="Arial" w:cs="Arial" w:eastAsia="Arial" w:hAnsi="Arial"/>
          <w:color w:val="666666"/>
          <w:sz w:val="22"/>
          <w:szCs w:val="22"/>
        </w:rPr>
        <w:t xml:space="preserve">The 31 March 2027 deadline is confirmed as firm. The mini site’s messaging treats it as such. If the deadline were to be extended, the time-aware banner and PDF content would need to be updated. This is a straightforward code change (single date constant) but requires someone to make and deploy it.</w:t>
      </w:r>
    </w:p>
    <w:p>
      <w:pPr>
        <w:spacing w:after="160"/>
      </w:pPr>
      <w:r>
        <w:rPr>
          <w:rFonts w:ascii="Arial" w:cs="Arial" w:eastAsia="Arial" w:hAnsi="Arial"/>
          <w:b/>
          <w:bCs/>
          <w:color w:val="666666"/>
          <w:sz w:val="22"/>
          <w:szCs w:val="22"/>
        </w:rPr>
        <w:t xml:space="preserve">User expectations about the process timeline. </w:t>
      </w:r>
      <w:r>
        <w:rPr>
          <w:rFonts w:ascii="Arial" w:cs="Arial" w:eastAsia="Arial" w:hAnsi="Arial"/>
          <w:color w:val="666666"/>
          <w:sz w:val="22"/>
          <w:szCs w:val="22"/>
        </w:rPr>
        <w:t xml:space="preserve">The pathway presents an estimated timeline based on the assumption that each step is approved without issues. In practice, many users will experience at least one rejection cycle (unclear photo ID, insufficient authority evidence, incomplete form). The mini site should include messaging about what to do if a step is sent back for revision, to avoid setting unrealistic expectations.</w:t>
      </w:r>
    </w:p>
    <w:p>
      <w:pPr>
        <w:spacing w:after="160"/>
      </w:pPr>
      <w:r>
        <w:rPr>
          <w:rFonts w:ascii="Arial" w:cs="Arial" w:eastAsia="Arial" w:hAnsi="Arial"/>
          <w:b/>
          <w:bCs/>
          <w:color w:val="666666"/>
          <w:sz w:val="22"/>
          <w:szCs w:val="22"/>
        </w:rPr>
        <w:t xml:space="preserve">Digital literacy gap. </w:t>
      </w:r>
      <w:r>
        <w:rPr>
          <w:rFonts w:ascii="Arial" w:cs="Arial" w:eastAsia="Arial" w:hAnsi="Arial"/>
          <w:color w:val="666666"/>
          <w:sz w:val="22"/>
          <w:szCs w:val="22"/>
        </w:rPr>
        <w:t xml:space="preserve">The walkthrough guides mitigate this for users who can access the guides, but some business owners will require in-person support to complete the online process. The mini site and PDF checklist are designed to reduce the support burden by ensuring users arrive with the right information and documents, but they cannot eliminate the need for human assistance entirely. MTCIC outreach sessions, where planned, can use the mini site and PDF as supporting materials.</w:t>
      </w:r>
    </w:p>
    <w:p>
      <w:pPr>
        <w:spacing w:after="160"/>
      </w:pPr>
      <w:r>
        <w:rPr>
          <w:rFonts w:ascii="Arial" w:cs="Arial" w:eastAsia="Arial" w:hAnsi="Arial"/>
          <w:b/>
          <w:bCs/>
          <w:color w:val="666666"/>
          <w:sz w:val="22"/>
          <w:szCs w:val="22"/>
        </w:rPr>
        <w:t xml:space="preserve">Connectivity. </w:t>
      </w:r>
      <w:r>
        <w:rPr>
          <w:rFonts w:ascii="Arial" w:cs="Arial" w:eastAsia="Arial" w:hAnsi="Arial"/>
          <w:color w:val="666666"/>
          <w:sz w:val="22"/>
          <w:szCs w:val="22"/>
        </w:rPr>
        <w:t xml:space="preserve">The mini site and walkthrough guides are lightweight standalone files, but they still require an internet connection to load (or to be pre-downloaded). The PDF checklist works fully offline once generated. For areas with very limited connectivity, the offline-downloadable architecture provides a fallback.</w:t>
      </w:r>
    </w:p>
    <w:p>
      <w:pPr>
        <w:spacing w:after="160"/>
      </w:pPr>
      <w:r>
        <w:rPr>
          <w:rFonts w:ascii="Arial" w:cs="Arial" w:eastAsia="Arial" w:hAnsi="Arial"/>
          <w:b/>
          <w:bCs/>
          <w:color w:val="666666"/>
          <w:sz w:val="22"/>
          <w:szCs w:val="22"/>
        </w:rPr>
        <w:t xml:space="preserve">Social sharing as the primary discovery channel. </w:t>
      </w:r>
      <w:r>
        <w:rPr>
          <w:rFonts w:ascii="Arial" w:cs="Arial" w:eastAsia="Arial" w:hAnsi="Arial"/>
          <w:color w:val="666666"/>
          <w:sz w:val="22"/>
          <w:szCs w:val="22"/>
        </w:rPr>
        <w:t xml:space="preserve">The mini site depends on MTCIC actively distributing the link through their Facebook page and into local business groups, and on peer-to-peer sharing via WhatsApp. If MTCIC does not engage in active distribution, the mini site will have limited reach regardless of its quality. The companion shareable assets (WhatsApp cards, Facebook posts) are designed to make this as easy as possible, but the distribution effort itself must come from MTCIC.</w:t>
      </w:r>
    </w:p>
    <w:p>
      <w:pPr>
        <w:pStyle w:val="Heading2"/>
        <w:spacing w:after="160" w:before="280"/>
      </w:pPr>
      <w:r>
        <w:rPr>
          <w:rFonts w:ascii="Arial" w:cs="Arial" w:eastAsia="Arial" w:hAnsi="Arial"/>
          <w:b/>
          <w:bCs/>
          <w:color w:val="146151"/>
          <w:sz w:val="26"/>
          <w:szCs w:val="26"/>
        </w:rPr>
        <w:t xml:space="preserve">14.3 Maintenance</w:t>
      </w:r>
    </w:p>
    <w:p>
      <w:pPr>
        <w:spacing w:after="160"/>
      </w:pPr>
      <w:r>
        <w:rPr>
          <w:rFonts w:ascii="Arial" w:cs="Arial" w:eastAsia="Arial" w:hAnsi="Arial"/>
          <w:color w:val="666666"/>
          <w:sz w:val="22"/>
          <w:szCs w:val="22"/>
        </w:rPr>
        <w:t xml:space="preserve">The mini site is designed to require minimal ongoing maintenance. The primary maintenance scenarios are:</w:t>
      </w:r>
    </w:p>
    <w:p>
      <w:pPr>
        <w:spacing w:after="80"/>
      </w:pPr>
    </w:p>
    <w:p>
      <w:pPr>
        <w:pStyle w:val="ListParagraph"/>
        <w:numPr>
          <w:ilvl w:val="0"/>
          <w:numId w:val="2"/>
        </w:numPr>
        <w:spacing w:after="80"/>
      </w:pPr>
      <w:r>
        <w:rPr>
          <w:rFonts w:ascii="Arial" w:cs="Arial" w:eastAsia="Arial" w:hAnsi="Arial"/>
          <w:color w:val="666666"/>
          <w:sz w:val="22"/>
          <w:szCs w:val="22"/>
        </w:rPr>
        <w:t xml:space="preserve">Updating the deadline date if it changes (single constant in the code).</w:t>
      </w:r>
    </w:p>
    <w:p>
      <w:pPr>
        <w:pStyle w:val="ListParagraph"/>
        <w:numPr>
          <w:ilvl w:val="0"/>
          <w:numId w:val="2"/>
        </w:numPr>
        <w:spacing w:after="80"/>
      </w:pPr>
      <w:r>
        <w:rPr>
          <w:rFonts w:ascii="Arial" w:cs="Arial" w:eastAsia="Arial" w:hAnsi="Arial"/>
          <w:color w:val="666666"/>
          <w:sz w:val="22"/>
          <w:szCs w:val="22"/>
        </w:rPr>
        <w:t xml:space="preserve">Updating MTCIC contact details.</w:t>
      </w:r>
    </w:p>
    <w:p>
      <w:pPr>
        <w:pStyle w:val="ListParagraph"/>
        <w:numPr>
          <w:ilvl w:val="0"/>
          <w:numId w:val="2"/>
        </w:numPr>
        <w:spacing w:after="80"/>
      </w:pPr>
      <w:r>
        <w:rPr>
          <w:rFonts w:ascii="Arial" w:cs="Arial" w:eastAsia="Arial" w:hAnsi="Arial"/>
          <w:color w:val="666666"/>
          <w:sz w:val="22"/>
          <w:szCs w:val="22"/>
        </w:rPr>
        <w:t xml:space="preserve">Updating form builder or registry URLs if they change.</w:t>
      </w:r>
    </w:p>
    <w:p>
      <w:pPr>
        <w:pStyle w:val="ListParagraph"/>
        <w:numPr>
          <w:ilvl w:val="0"/>
          <w:numId w:val="2"/>
        </w:numPr>
        <w:spacing w:after="80"/>
      </w:pPr>
      <w:r>
        <w:rPr>
          <w:rFonts w:ascii="Arial" w:cs="Arial" w:eastAsia="Arial" w:hAnsi="Arial"/>
          <w:color w:val="666666"/>
          <w:sz w:val="22"/>
          <w:szCs w:val="22"/>
        </w:rPr>
        <w:t xml:space="preserve">Updating authority evidence requirements if MTCIC’s policy changes.</w:t>
      </w:r>
    </w:p>
    <w:p>
      <w:pPr>
        <w:pStyle w:val="ListParagraph"/>
        <w:numPr>
          <w:ilvl w:val="0"/>
          <w:numId w:val="2"/>
        </w:numPr>
        <w:spacing w:after="80"/>
      </w:pPr>
      <w:r>
        <w:rPr>
          <w:rFonts w:ascii="Arial" w:cs="Arial" w:eastAsia="Arial" w:hAnsi="Arial"/>
          <w:color w:val="666666"/>
          <w:sz w:val="22"/>
          <w:szCs w:val="22"/>
        </w:rPr>
        <w:t xml:space="preserve">Updating the OG preview image if the mini site URL or branding changes.</w:t>
      </w:r>
    </w:p>
    <w:p>
      <w:pPr>
        <w:spacing w:after="80"/>
      </w:pPr>
    </w:p>
    <w:p>
      <w:pPr>
        <w:spacing w:after="160"/>
      </w:pPr>
      <w:r>
        <w:rPr>
          <w:rFonts w:ascii="Arial" w:cs="Arial" w:eastAsia="Arial" w:hAnsi="Arial"/>
          <w:color w:val="666666"/>
          <w:sz w:val="22"/>
          <w:szCs w:val="22"/>
        </w:rPr>
        <w:t xml:space="preserve">The walkthrough guides do not require maintenance unless the registry interface changes, which is not expected.</w:t>
      </w:r>
    </w:p>
    <w:p>
      <w:pPr>
        <w:spacing w:after="160"/>
      </w:pPr>
      <w:r>
        <w:rPr>
          <w:rFonts w:ascii="Arial" w:cs="Arial" w:eastAsia="Arial" w:hAnsi="Arial"/>
          <w:color w:val="666666"/>
          <w:sz w:val="22"/>
          <w:szCs w:val="22"/>
        </w:rPr>
        <w:t xml:space="preserve">After the re-registration deadline passes (31 March 2027), the mini site will no longer be needed and can be retired or redirected to the main site.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CCCC"/>
        <w:sz w:val="16"/>
        <w:szCs w:val="16"/>
      </w:rPr>
      <w:t xml:space="preserve">Re-Registration Guide — Mini Site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615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46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2026-03-20T12:32:23.655Z</dcterms:created>
  <dcterms:modified xsi:type="dcterms:W3CDTF">2026-03-20T12:32:23.656Z</dcterms:modified>
</cp:coreProperties>
</file>

<file path=docProps/custom.xml><?xml version="1.0" encoding="utf-8"?>
<Properties xmlns="http://schemas.openxmlformats.org/officeDocument/2006/custom-properties" xmlns:vt="http://schemas.openxmlformats.org/officeDocument/2006/docPropsVTypes"/>
</file>