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2160" w:val="left"/>
        </w:tabs>
        <w:rPr>
          <w:sz w:val="20"/>
          <w:szCs w:val="20"/>
          <w:color w:val="auto"/>
        </w:rPr>
      </w:pPr>
      <w:r>
        <w:rPr>
          <w:rFonts w:ascii="Arial" w:cs="Arial" w:eastAsia="Arial" w:hAnsi="Arial"/>
          <w:sz w:val="44"/>
          <w:szCs w:val="44"/>
          <w:color w:val="auto"/>
          <w:vertAlign w:val="subscript"/>
        </w:rPr>
        <w:drawing>
          <wp:anchor simplePos="0" relativeHeight="251657728" behindDoc="1" locked="0" layoutInCell="0" allowOverlap="1">
            <wp:simplePos x="0" y="0"/>
            <wp:positionH relativeFrom="page">
              <wp:posOffset>914400</wp:posOffset>
            </wp:positionH>
            <wp:positionV relativeFrom="page">
              <wp:posOffset>640080</wp:posOffset>
            </wp:positionV>
            <wp:extent cx="5742940" cy="19748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5742940" cy="1974850"/>
                    </a:xfrm>
                    <a:prstGeom prst="rect">
                      <a:avLst/>
                    </a:prstGeom>
                    <a:noFill/>
                  </pic:spPr>
                </pic:pic>
              </a:graphicData>
            </a:graphic>
          </wp:anchor>
        </w:drawing>
        <w:t>X`2</w:t>
      </w:r>
      <w:r>
        <w:rPr>
          <w:sz w:val="20"/>
          <w:szCs w:val="20"/>
          <w:color w:val="auto"/>
        </w:rPr>
        <w:tab/>
      </w:r>
      <w:r>
        <w:rPr>
          <w:rFonts w:ascii="Arial" w:cs="Arial" w:eastAsia="Arial" w:hAnsi="Arial"/>
          <w:sz w:val="22"/>
          <w:szCs w:val="22"/>
          <w:b w:val="1"/>
          <w:bCs w:val="1"/>
          <w:color w:val="FFFFFF"/>
        </w:rPr>
        <w:t>Public Record Office Standard</w:t>
      </w:r>
    </w:p>
    <w:p>
      <w:pPr>
        <w:spacing w:after="0" w:line="368" w:lineRule="exact"/>
        <w:rPr>
          <w:sz w:val="24"/>
          <w:szCs w:val="24"/>
          <w:color w:val="auto"/>
        </w:rPr>
      </w:pPr>
    </w:p>
    <w:p>
      <w:pPr>
        <w:ind w:left="2180"/>
        <w:spacing w:after="0"/>
        <w:rPr>
          <w:sz w:val="20"/>
          <w:szCs w:val="20"/>
          <w:color w:val="auto"/>
        </w:rPr>
      </w:pPr>
      <w:r>
        <w:rPr>
          <w:rFonts w:ascii="Arial" w:cs="Arial" w:eastAsia="Arial" w:hAnsi="Arial"/>
          <w:sz w:val="48"/>
          <w:szCs w:val="48"/>
          <w:color w:val="FFFFFF"/>
        </w:rPr>
        <w:t>PROS 08/06</w:t>
      </w:r>
    </w:p>
    <w:p>
      <w:pPr>
        <w:spacing w:after="0" w:line="384" w:lineRule="exact"/>
        <w:rPr>
          <w:sz w:val="24"/>
          <w:szCs w:val="24"/>
          <w:color w:val="auto"/>
        </w:rPr>
      </w:pPr>
    </w:p>
    <w:p>
      <w:pPr>
        <w:ind w:left="80"/>
        <w:spacing w:after="0"/>
        <w:rPr>
          <w:sz w:val="20"/>
          <w:szCs w:val="20"/>
          <w:color w:val="auto"/>
        </w:rPr>
      </w:pPr>
      <w:r>
        <w:rPr>
          <w:rFonts w:ascii="Arial" w:cs="Arial" w:eastAsia="Arial" w:hAnsi="Arial"/>
          <w:sz w:val="124"/>
          <w:szCs w:val="124"/>
          <w:color w:val="FFFFFF"/>
        </w:rPr>
        <w:t>Authority</w:t>
      </w:r>
    </w:p>
    <w:p>
      <w:pPr>
        <w:spacing w:after="0" w:line="200" w:lineRule="exact"/>
        <w:rPr>
          <w:sz w:val="24"/>
          <w:szCs w:val="24"/>
          <w:color w:val="auto"/>
        </w:rPr>
      </w:pPr>
    </w:p>
    <w:p>
      <w:pPr>
        <w:spacing w:after="0" w:line="200" w:lineRule="exact"/>
        <w:rPr>
          <w:sz w:val="24"/>
          <w:szCs w:val="24"/>
          <w:color w:val="auto"/>
        </w:rPr>
      </w:pPr>
    </w:p>
    <w:p>
      <w:pPr>
        <w:spacing w:after="0" w:line="213" w:lineRule="exact"/>
        <w:rPr>
          <w:sz w:val="24"/>
          <w:szCs w:val="24"/>
          <w:color w:val="auto"/>
        </w:rPr>
      </w:pPr>
    </w:p>
    <w:p>
      <w:pPr>
        <w:ind w:right="646"/>
        <w:spacing w:after="0" w:line="286" w:lineRule="auto"/>
        <w:rPr>
          <w:sz w:val="20"/>
          <w:szCs w:val="20"/>
          <w:color w:val="auto"/>
        </w:rPr>
      </w:pPr>
      <w:r>
        <w:rPr>
          <w:rFonts w:ascii="Arial" w:cs="Arial" w:eastAsia="Arial" w:hAnsi="Arial"/>
          <w:sz w:val="55"/>
          <w:szCs w:val="55"/>
          <w:color w:val="008080"/>
        </w:rPr>
        <w:t>Retention &amp; Disposal Authority for Records of the Port of Melbourne</w:t>
      </w:r>
    </w:p>
    <w:p>
      <w:pPr>
        <w:spacing w:after="0" w:line="215" w:lineRule="exact"/>
        <w:rPr>
          <w:sz w:val="24"/>
          <w:szCs w:val="24"/>
          <w:color w:val="auto"/>
        </w:rPr>
      </w:pPr>
    </w:p>
    <w:p>
      <w:pPr>
        <w:spacing w:after="0"/>
        <w:rPr>
          <w:sz w:val="20"/>
          <w:szCs w:val="20"/>
          <w:color w:val="auto"/>
        </w:rPr>
      </w:pPr>
      <w:r>
        <w:rPr>
          <w:rFonts w:ascii="Arial" w:cs="Arial" w:eastAsia="Arial" w:hAnsi="Arial"/>
          <w:sz w:val="32"/>
          <w:szCs w:val="32"/>
          <w:color w:val="008080"/>
        </w:rPr>
        <w:t>Version 2018</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2" w:lineRule="exact"/>
        <w:rPr>
          <w:sz w:val="24"/>
          <w:szCs w:val="24"/>
          <w:color w:val="auto"/>
        </w:rPr>
      </w:pPr>
    </w:p>
    <w:tbl>
      <w:tblPr>
        <w:tblLayout w:type="fixed"/>
        <w:tblInd w:w="0" w:type="dxa"/>
        <w:tblCellMar>
          <w:top w:w="0" w:type="dxa"/>
          <w:left w:w="0" w:type="dxa"/>
          <w:bottom w:w="0" w:type="dxa"/>
          <w:right w:w="0" w:type="dxa"/>
        </w:tblCellMar>
      </w:tblPr>
      <w:tr>
        <w:trPr>
          <w:trHeight w:val="322"/>
        </w:trPr>
        <w:tc>
          <w:tcPr>
            <w:tcW w:w="1720" w:type="dxa"/>
            <w:vAlign w:val="bottom"/>
          </w:tcPr>
          <w:p>
            <w:pPr>
              <w:spacing w:after="0"/>
              <w:rPr>
                <w:sz w:val="20"/>
                <w:szCs w:val="20"/>
                <w:color w:val="auto"/>
              </w:rPr>
            </w:pPr>
            <w:r>
              <w:rPr>
                <w:rFonts w:ascii="Arial" w:cs="Arial" w:eastAsia="Arial" w:hAnsi="Arial"/>
                <w:sz w:val="28"/>
                <w:szCs w:val="28"/>
                <w:color w:val="008080"/>
              </w:rPr>
              <w:t>08/06</w:t>
            </w:r>
          </w:p>
        </w:tc>
        <w:tc>
          <w:tcPr>
            <w:tcW w:w="3620" w:type="dxa"/>
            <w:vAlign w:val="bottom"/>
          </w:tcPr>
          <w:p>
            <w:pPr>
              <w:ind w:left="360"/>
              <w:spacing w:after="0"/>
              <w:rPr>
                <w:sz w:val="20"/>
                <w:szCs w:val="20"/>
                <w:color w:val="auto"/>
              </w:rPr>
            </w:pPr>
            <w:r>
              <w:rPr>
                <w:rFonts w:ascii="Arial" w:cs="Arial" w:eastAsia="Arial" w:hAnsi="Arial"/>
                <w:sz w:val="28"/>
                <w:szCs w:val="28"/>
                <w:color w:val="008080"/>
              </w:rPr>
              <w:t>Issue Date: 28/07/2008</w:t>
            </w:r>
          </w:p>
        </w:tc>
        <w:tc>
          <w:tcPr>
            <w:tcW w:w="3380" w:type="dxa"/>
            <w:vAlign w:val="bottom"/>
          </w:tcPr>
          <w:p>
            <w:pPr>
              <w:ind w:left="340"/>
              <w:spacing w:after="0"/>
              <w:rPr>
                <w:sz w:val="20"/>
                <w:szCs w:val="20"/>
                <w:color w:val="auto"/>
              </w:rPr>
            </w:pPr>
            <w:r>
              <w:rPr>
                <w:rFonts w:ascii="Arial" w:cs="Arial" w:eastAsia="Arial" w:hAnsi="Arial"/>
                <w:sz w:val="28"/>
                <w:szCs w:val="28"/>
                <w:color w:val="008080"/>
                <w:w w:val="99"/>
              </w:rPr>
              <w:t>Expiry Date: 28/07/2018</w:t>
            </w:r>
          </w:p>
        </w:tc>
      </w:tr>
      <w:tr>
        <w:trPr>
          <w:trHeight w:val="322"/>
        </w:trPr>
        <w:tc>
          <w:tcPr>
            <w:tcW w:w="1720" w:type="dxa"/>
            <w:vAlign w:val="bottom"/>
          </w:tcPr>
          <w:p>
            <w:pPr>
              <w:spacing w:after="0"/>
              <w:rPr>
                <w:sz w:val="20"/>
                <w:szCs w:val="20"/>
                <w:color w:val="auto"/>
              </w:rPr>
            </w:pPr>
            <w:r>
              <w:rPr>
                <w:rFonts w:ascii="Arial" w:cs="Arial" w:eastAsia="Arial" w:hAnsi="Arial"/>
                <w:sz w:val="28"/>
                <w:szCs w:val="28"/>
                <w:color w:val="008080"/>
              </w:rPr>
              <w:t>Variation 1</w:t>
            </w:r>
          </w:p>
        </w:tc>
        <w:tc>
          <w:tcPr>
            <w:tcW w:w="3620" w:type="dxa"/>
            <w:vAlign w:val="bottom"/>
          </w:tcPr>
          <w:p>
            <w:pPr>
              <w:ind w:left="360"/>
              <w:spacing w:after="0"/>
              <w:rPr>
                <w:sz w:val="20"/>
                <w:szCs w:val="20"/>
                <w:color w:val="auto"/>
              </w:rPr>
            </w:pPr>
            <w:r>
              <w:rPr>
                <w:rFonts w:ascii="Arial" w:cs="Arial" w:eastAsia="Arial" w:hAnsi="Arial"/>
                <w:sz w:val="28"/>
                <w:szCs w:val="28"/>
                <w:color w:val="008080"/>
              </w:rPr>
              <w:t>Issue Date: 23/01/2009</w:t>
            </w:r>
          </w:p>
        </w:tc>
        <w:tc>
          <w:tcPr>
            <w:tcW w:w="3380" w:type="dxa"/>
            <w:vAlign w:val="bottom"/>
          </w:tcPr>
          <w:p>
            <w:pPr>
              <w:ind w:left="340"/>
              <w:spacing w:after="0"/>
              <w:rPr>
                <w:sz w:val="20"/>
                <w:szCs w:val="20"/>
                <w:color w:val="auto"/>
              </w:rPr>
            </w:pPr>
            <w:r>
              <w:rPr>
                <w:rFonts w:ascii="Arial" w:cs="Arial" w:eastAsia="Arial" w:hAnsi="Arial"/>
                <w:sz w:val="28"/>
                <w:szCs w:val="28"/>
                <w:color w:val="008080"/>
                <w:w w:val="99"/>
              </w:rPr>
              <w:t>Expiry Date: 28/07/2018</w:t>
            </w:r>
          </w:p>
        </w:tc>
      </w:tr>
      <w:tr>
        <w:trPr>
          <w:trHeight w:val="371"/>
        </w:trPr>
        <w:tc>
          <w:tcPr>
            <w:tcW w:w="1720" w:type="dxa"/>
            <w:vAlign w:val="bottom"/>
          </w:tcPr>
          <w:p>
            <w:pPr>
              <w:spacing w:after="0"/>
              <w:rPr>
                <w:sz w:val="20"/>
                <w:szCs w:val="20"/>
                <w:color w:val="auto"/>
              </w:rPr>
            </w:pPr>
            <w:r>
              <w:rPr>
                <w:rFonts w:ascii="Arial" w:cs="Arial" w:eastAsia="Arial" w:hAnsi="Arial"/>
                <w:sz w:val="28"/>
                <w:szCs w:val="28"/>
                <w:color w:val="008080"/>
              </w:rPr>
              <w:t>Variation 2</w:t>
            </w:r>
          </w:p>
        </w:tc>
        <w:tc>
          <w:tcPr>
            <w:tcW w:w="3620" w:type="dxa"/>
            <w:vAlign w:val="bottom"/>
          </w:tcPr>
          <w:p>
            <w:pPr>
              <w:ind w:left="360"/>
              <w:spacing w:after="0"/>
              <w:rPr>
                <w:sz w:val="20"/>
                <w:szCs w:val="20"/>
                <w:color w:val="auto"/>
              </w:rPr>
            </w:pPr>
            <w:r>
              <w:rPr>
                <w:rFonts w:ascii="Arial" w:cs="Arial" w:eastAsia="Arial" w:hAnsi="Arial"/>
                <w:sz w:val="28"/>
                <w:szCs w:val="28"/>
                <w:color w:val="008080"/>
              </w:rPr>
              <w:t>Issue Date: 19/11/2018</w:t>
            </w:r>
          </w:p>
        </w:tc>
        <w:tc>
          <w:tcPr>
            <w:tcW w:w="3380" w:type="dxa"/>
            <w:vAlign w:val="bottom"/>
          </w:tcPr>
          <w:p>
            <w:pPr>
              <w:spacing w:after="0"/>
              <w:rPr>
                <w:sz w:val="24"/>
                <w:szCs w:val="24"/>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2"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Copyright Statement</w:t>
      </w:r>
    </w:p>
    <w:p>
      <w:pPr>
        <w:spacing w:after="0" w:line="120" w:lineRule="exact"/>
        <w:rPr>
          <w:sz w:val="24"/>
          <w:szCs w:val="24"/>
          <w:color w:val="auto"/>
        </w:rPr>
      </w:pPr>
    </w:p>
    <w:p>
      <w:pPr>
        <w:spacing w:after="0"/>
        <w:rPr>
          <w:sz w:val="20"/>
          <w:szCs w:val="20"/>
          <w:color w:val="auto"/>
        </w:rPr>
      </w:pPr>
      <w:r>
        <w:rPr>
          <w:rFonts w:ascii="Arial" w:cs="Arial" w:eastAsia="Arial" w:hAnsi="Arial"/>
          <w:sz w:val="20"/>
          <w:szCs w:val="20"/>
          <w:color w:val="auto"/>
        </w:rPr>
        <w:t>© State of Victoria 2018</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81915</wp:posOffset>
            </wp:positionV>
            <wp:extent cx="838200" cy="2959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838200" cy="295910"/>
                    </a:xfrm>
                    <a:prstGeom prst="rect">
                      <a:avLst/>
                    </a:prstGeom>
                    <a:noFill/>
                  </pic:spPr>
                </pic:pic>
              </a:graphicData>
            </a:graphic>
          </wp:anchor>
        </w:drawing>
      </w:r>
    </w:p>
    <w:p>
      <w:pPr>
        <w:spacing w:after="0" w:line="200" w:lineRule="exact"/>
        <w:rPr>
          <w:sz w:val="24"/>
          <w:szCs w:val="24"/>
          <w:color w:val="auto"/>
        </w:rPr>
      </w:pPr>
    </w:p>
    <w:p>
      <w:pPr>
        <w:spacing w:after="0" w:line="359" w:lineRule="exact"/>
        <w:rPr>
          <w:sz w:val="24"/>
          <w:szCs w:val="24"/>
          <w:color w:val="auto"/>
        </w:rPr>
      </w:pPr>
    </w:p>
    <w:p>
      <w:pPr>
        <w:ind w:right="106"/>
        <w:spacing w:after="0" w:line="252" w:lineRule="auto"/>
        <w:rPr>
          <w:rFonts w:ascii="Arial" w:cs="Arial" w:eastAsia="Arial" w:hAnsi="Arial"/>
          <w:sz w:val="20"/>
          <w:szCs w:val="20"/>
          <w:color w:val="auto"/>
        </w:rPr>
      </w:pPr>
      <w:r>
        <w:rPr>
          <w:rFonts w:ascii="Arial" w:cs="Arial" w:eastAsia="Arial" w:hAnsi="Arial"/>
          <w:sz w:val="20"/>
          <w:szCs w:val="20"/>
          <w:color w:val="auto"/>
        </w:rPr>
        <w:t>Except for any logos, emblems, and trademarks, this work (PROS 08/09 Records of the Port of Melbourne) is licensed under a Creative Commons Attribution 4.0 International license, to the extent that it is protected by copyright. Authorship of this work must be attributed to the Public Record Office Victoria. To view a copy of this license, visit</w:t>
      </w:r>
      <w:r>
        <w:rPr>
          <w:rFonts w:ascii="Arial" w:cs="Arial" w:eastAsia="Arial" w:hAnsi="Arial"/>
          <w:sz w:val="20"/>
          <w:szCs w:val="20"/>
          <w:color w:val="0000FF"/>
        </w:rPr>
        <w:t xml:space="preserve"> </w:t>
      </w:r>
      <w:hyperlink r:id="rId14">
        <w:r>
          <w:rPr>
            <w:rFonts w:ascii="Arial" w:cs="Arial" w:eastAsia="Arial" w:hAnsi="Arial"/>
            <w:sz w:val="20"/>
            <w:szCs w:val="20"/>
            <w:u w:val="single" w:color="auto"/>
            <w:color w:val="0000FF"/>
          </w:rPr>
          <w:t>http://creativecommons.org/licenses/by/4.0/</w:t>
        </w:r>
      </w:hyperlink>
    </w:p>
    <w:p>
      <w:pPr>
        <w:spacing w:after="0" w:line="181" w:lineRule="exact"/>
        <w:rPr>
          <w:sz w:val="24"/>
          <w:szCs w:val="24"/>
          <w:color w:val="auto"/>
        </w:rPr>
      </w:pPr>
    </w:p>
    <w:p>
      <w:pPr>
        <w:jc w:val="both"/>
        <w:ind w:right="386"/>
        <w:spacing w:after="0" w:line="259" w:lineRule="auto"/>
        <w:rPr>
          <w:sz w:val="20"/>
          <w:szCs w:val="20"/>
          <w:color w:val="auto"/>
        </w:rPr>
      </w:pPr>
      <w:r>
        <w:rPr>
          <w:rFonts w:ascii="Arial" w:cs="Arial" w:eastAsia="Arial" w:hAnsi="Arial"/>
          <w:sz w:val="20"/>
          <w:szCs w:val="20"/>
          <w:b w:val="1"/>
          <w:bCs w:val="1"/>
          <w:color w:val="auto"/>
        </w:rPr>
        <w:t>Disclaimer</w:t>
      </w:r>
      <w:r>
        <w:rPr>
          <w:rFonts w:ascii="Arial" w:cs="Arial" w:eastAsia="Arial" w:hAnsi="Arial"/>
          <w:sz w:val="20"/>
          <w:szCs w:val="20"/>
          <w:color w:val="auto"/>
        </w:rPr>
        <w:t xml:space="preserve"> The State of Victoria gives no warranty that the information in this version is correct or complete, error free or contains no omissions. The State of Victoria shall not be liable for any loss howsoever caused whether due to negligence or otherwise arising from the use of this Standard.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4563110</wp:posOffset>
            </wp:positionH>
            <wp:positionV relativeFrom="paragraph">
              <wp:posOffset>307340</wp:posOffset>
            </wp:positionV>
            <wp:extent cx="800100" cy="4546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800100" cy="454660"/>
                    </a:xfrm>
                    <a:prstGeom prst="rect">
                      <a:avLst/>
                    </a:prstGeom>
                    <a:noFill/>
                  </pic:spPr>
                </pic:pic>
              </a:graphicData>
            </a:graphic>
          </wp:anchor>
        </w:drawing>
      </w:r>
    </w:p>
    <w:p>
      <w:pPr>
        <w:sectPr>
          <w:pgSz w:w="11900" w:h="16841" w:orient="portrait"/>
          <w:cols w:equalWidth="0" w:num="1">
            <w:col w:w="9046"/>
          </w:cols>
          <w:pgMar w:left="1420" w:top="867" w:right="1440" w:bottom="1440" w:gutter="0" w:footer="0" w:header="0"/>
        </w:sectPr>
      </w:pPr>
    </w:p>
    <w:bookmarkStart w:id="1" w:name="page2"/>
    <w:bookmarkEnd w:id="1"/>
    <w:tbl>
      <w:tblPr>
        <w:tblLayout w:type="fixed"/>
        <w:tblInd w:w="360" w:type="dxa"/>
        <w:tblCellMar>
          <w:top w:w="0" w:type="dxa"/>
          <w:left w:w="0" w:type="dxa"/>
          <w:bottom w:w="0" w:type="dxa"/>
          <w:right w:w="0" w:type="dxa"/>
        </w:tblCellMar>
      </w:tblPr>
      <w:tr>
        <w:trPr>
          <w:trHeight w:val="214"/>
        </w:trPr>
        <w:tc>
          <w:tcPr>
            <w:tcW w:w="730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640" w:type="dxa"/>
            <w:vAlign w:val="bottom"/>
          </w:tcPr>
          <w:p>
            <w:pPr>
              <w:jc w:val="right"/>
              <w:spacing w:after="0"/>
              <w:rPr>
                <w:sz w:val="20"/>
                <w:szCs w:val="20"/>
                <w:color w:val="auto"/>
              </w:rPr>
            </w:pPr>
            <w:r>
              <w:rPr>
                <w:rFonts w:ascii="Arial" w:cs="Arial" w:eastAsia="Arial" w:hAnsi="Arial"/>
                <w:sz w:val="16"/>
                <w:szCs w:val="16"/>
                <w:color w:val="008080"/>
              </w:rPr>
              <w:t>2</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jc w:val="center"/>
        <w:ind w:right="240"/>
        <w:spacing w:after="0"/>
        <w:rPr>
          <w:sz w:val="20"/>
          <w:szCs w:val="20"/>
          <w:color w:val="auto"/>
        </w:rPr>
      </w:pPr>
      <w:r>
        <w:rPr>
          <w:rFonts w:ascii="Arial" w:cs="Arial" w:eastAsia="Arial" w:hAnsi="Arial"/>
          <w:sz w:val="28"/>
          <w:szCs w:val="28"/>
          <w:b w:val="1"/>
          <w:bCs w:val="1"/>
          <w:color w:val="008080"/>
        </w:rPr>
        <w:t>Public Records Act 1973</w:t>
      </w:r>
    </w:p>
    <w:p>
      <w:pPr>
        <w:spacing w:after="0" w:line="240" w:lineRule="exact"/>
        <w:rPr>
          <w:sz w:val="20"/>
          <w:szCs w:val="20"/>
          <w:color w:val="auto"/>
        </w:rPr>
      </w:pPr>
    </w:p>
    <w:p>
      <w:pPr>
        <w:jc w:val="center"/>
        <w:ind w:right="240"/>
        <w:spacing w:after="0"/>
        <w:rPr>
          <w:sz w:val="20"/>
          <w:szCs w:val="20"/>
          <w:color w:val="auto"/>
        </w:rPr>
      </w:pPr>
      <w:r>
        <w:rPr>
          <w:rFonts w:ascii="Arial" w:cs="Arial" w:eastAsia="Arial" w:hAnsi="Arial"/>
          <w:sz w:val="28"/>
          <w:szCs w:val="28"/>
          <w:b w:val="1"/>
          <w:bCs w:val="1"/>
          <w:color w:val="008080"/>
        </w:rPr>
        <w:t>(Section 12)</w:t>
      </w: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ind w:left="360" w:right="600"/>
        <w:spacing w:after="0" w:line="290" w:lineRule="auto"/>
        <w:rPr>
          <w:sz w:val="20"/>
          <w:szCs w:val="20"/>
          <w:color w:val="auto"/>
        </w:rPr>
      </w:pPr>
      <w:r>
        <w:rPr>
          <w:rFonts w:ascii="Arial" w:cs="Arial" w:eastAsia="Arial" w:hAnsi="Arial"/>
          <w:sz w:val="28"/>
          <w:szCs w:val="28"/>
          <w:b w:val="1"/>
          <w:bCs w:val="1"/>
          <w:color w:val="008080"/>
        </w:rPr>
        <w:t>Retention &amp; Disposal Authority for Records of the Port of Melbourne</w:t>
      </w: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1580"/>
        <w:spacing w:after="0"/>
        <w:rPr>
          <w:sz w:val="20"/>
          <w:szCs w:val="20"/>
          <w:color w:val="auto"/>
        </w:rPr>
      </w:pPr>
      <w:r>
        <w:rPr>
          <w:rFonts w:ascii="Arial" w:cs="Arial" w:eastAsia="Arial" w:hAnsi="Arial"/>
          <w:sz w:val="28"/>
          <w:szCs w:val="28"/>
          <w:b w:val="1"/>
          <w:bCs w:val="1"/>
          <w:color w:val="008080"/>
        </w:rPr>
        <w:t>Public Record Office Standard (PROS) 08/06</w:t>
      </w: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540"/>
        <w:spacing w:after="0"/>
        <w:rPr>
          <w:sz w:val="20"/>
          <w:szCs w:val="20"/>
          <w:color w:val="auto"/>
        </w:rPr>
      </w:pPr>
      <w:r>
        <w:rPr>
          <w:rFonts w:ascii="Arial" w:cs="Arial" w:eastAsia="Arial" w:hAnsi="Arial"/>
          <w:sz w:val="28"/>
          <w:szCs w:val="28"/>
          <w:b w:val="1"/>
          <w:bCs w:val="1"/>
          <w:color w:val="008080"/>
        </w:rPr>
        <w:t>Variation 1:</w:t>
      </w:r>
    </w:p>
    <w:p>
      <w:pPr>
        <w:spacing w:after="0" w:line="200" w:lineRule="exact"/>
        <w:rPr>
          <w:sz w:val="20"/>
          <w:szCs w:val="20"/>
          <w:color w:val="auto"/>
        </w:rPr>
      </w:pPr>
    </w:p>
    <w:p>
      <w:pPr>
        <w:spacing w:after="0" w:line="329" w:lineRule="exact"/>
        <w:rPr>
          <w:sz w:val="20"/>
          <w:szCs w:val="20"/>
          <w:color w:val="auto"/>
        </w:rPr>
      </w:pPr>
    </w:p>
    <w:p>
      <w:pPr>
        <w:jc w:val="both"/>
        <w:ind w:left="360" w:right="600"/>
        <w:spacing w:after="0" w:line="378" w:lineRule="auto"/>
        <w:rPr>
          <w:sz w:val="20"/>
          <w:szCs w:val="20"/>
          <w:color w:val="auto"/>
        </w:rPr>
      </w:pPr>
      <w:r>
        <w:rPr>
          <w:rFonts w:ascii="Arial" w:cs="Arial" w:eastAsia="Arial" w:hAnsi="Arial"/>
          <w:sz w:val="22"/>
          <w:szCs w:val="22"/>
          <w:color w:val="auto"/>
        </w:rPr>
        <w:t xml:space="preserve">In accordance with section 12 of the </w:t>
      </w:r>
      <w:r>
        <w:rPr>
          <w:rFonts w:ascii="Arial" w:cs="Arial" w:eastAsia="Arial" w:hAnsi="Arial"/>
          <w:sz w:val="22"/>
          <w:szCs w:val="22"/>
          <w:i w:val="1"/>
          <w:iCs w:val="1"/>
          <w:color w:val="auto"/>
        </w:rPr>
        <w:t>Public Records Act</w:t>
      </w:r>
      <w:r>
        <w:rPr>
          <w:rFonts w:ascii="Arial" w:cs="Arial" w:eastAsia="Arial" w:hAnsi="Arial"/>
          <w:sz w:val="22"/>
          <w:szCs w:val="22"/>
          <w:color w:val="auto"/>
        </w:rPr>
        <w:t xml:space="preserve"> 1973 (as amended), I hereby vary the Standard applying to the records of the Port of Melbourne, issued as Public Record Office Standard (PROS) 08/06 on 28 July 2008, as follows:</w:t>
      </w:r>
    </w:p>
    <w:p>
      <w:pPr>
        <w:spacing w:after="0" w:line="316" w:lineRule="exact"/>
        <w:rPr>
          <w:sz w:val="20"/>
          <w:szCs w:val="20"/>
          <w:color w:val="auto"/>
        </w:rPr>
      </w:pPr>
    </w:p>
    <w:p>
      <w:pPr>
        <w:jc w:val="both"/>
        <w:ind w:left="360" w:right="600"/>
        <w:spacing w:after="0" w:line="376" w:lineRule="auto"/>
        <w:rPr>
          <w:sz w:val="20"/>
          <w:szCs w:val="20"/>
          <w:color w:val="auto"/>
        </w:rPr>
      </w:pPr>
      <w:r>
        <w:rPr>
          <w:rFonts w:ascii="Arial" w:cs="Arial" w:eastAsia="Arial" w:hAnsi="Arial"/>
          <w:sz w:val="22"/>
          <w:szCs w:val="22"/>
          <w:b w:val="1"/>
          <w:bCs w:val="1"/>
          <w:color w:val="008080"/>
        </w:rPr>
        <w:t>Alteration of the status of class 5.4.3 - Security surveillance videotapes, voice recordings and CCTV not required for investigation of incidents from “Temporary - Destroy 30 days after administrative use has concluded” to “Temporary - Destroy 7 days after administrative use has concluded”.</w:t>
      </w:r>
    </w:p>
    <w:p>
      <w:pPr>
        <w:spacing w:after="0" w:line="213" w:lineRule="exact"/>
        <w:rPr>
          <w:sz w:val="20"/>
          <w:szCs w:val="20"/>
          <w:color w:val="auto"/>
        </w:rPr>
      </w:pPr>
    </w:p>
    <w:p>
      <w:pPr>
        <w:ind w:left="360"/>
        <w:spacing w:after="0"/>
        <w:rPr>
          <w:sz w:val="20"/>
          <w:szCs w:val="20"/>
          <w:color w:val="auto"/>
        </w:rPr>
      </w:pPr>
      <w:r>
        <w:rPr>
          <w:rFonts w:ascii="Arial" w:cs="Arial" w:eastAsia="Arial" w:hAnsi="Arial"/>
          <w:sz w:val="22"/>
          <w:szCs w:val="22"/>
          <w:color w:val="auto"/>
        </w:rPr>
        <w:t>This Variation shall have effect from the date of issue.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360"/>
        <w:spacing w:after="0"/>
        <w:rPr>
          <w:sz w:val="20"/>
          <w:szCs w:val="20"/>
          <w:color w:val="auto"/>
        </w:rPr>
      </w:pPr>
      <w:r>
        <w:rPr>
          <w:rFonts w:ascii="Arial" w:cs="Arial" w:eastAsia="Arial" w:hAnsi="Arial"/>
          <w:sz w:val="22"/>
          <w:szCs w:val="22"/>
          <w:color w:val="auto"/>
        </w:rPr>
        <w:t>[Signed]</w:t>
      </w:r>
    </w:p>
    <w:p>
      <w:pPr>
        <w:spacing w:after="0" w:line="120" w:lineRule="exact"/>
        <w:rPr>
          <w:sz w:val="20"/>
          <w:szCs w:val="20"/>
          <w:color w:val="auto"/>
        </w:rPr>
      </w:pPr>
    </w:p>
    <w:p>
      <w:pPr>
        <w:ind w:left="360"/>
        <w:spacing w:after="0"/>
        <w:tabs>
          <w:tab w:leader="none" w:pos="5600" w:val="left"/>
        </w:tabs>
        <w:rPr>
          <w:sz w:val="20"/>
          <w:szCs w:val="20"/>
          <w:color w:val="auto"/>
        </w:rPr>
      </w:pPr>
      <w:r>
        <w:rPr>
          <w:rFonts w:ascii="Arial" w:cs="Arial" w:eastAsia="Arial" w:hAnsi="Arial"/>
          <w:sz w:val="22"/>
          <w:szCs w:val="22"/>
          <w:color w:val="auto"/>
        </w:rPr>
        <w:t>David Brown</w:t>
      </w:r>
      <w:r>
        <w:rPr>
          <w:sz w:val="20"/>
          <w:szCs w:val="20"/>
          <w:color w:val="auto"/>
        </w:rPr>
        <w:tab/>
      </w:r>
      <w:r>
        <w:rPr>
          <w:rFonts w:ascii="Arial" w:cs="Arial" w:eastAsia="Arial" w:hAnsi="Arial"/>
          <w:sz w:val="21"/>
          <w:szCs w:val="21"/>
          <w:color w:val="auto"/>
        </w:rPr>
        <w:t>Date of issue: 23 January 2009</w:t>
      </w:r>
    </w:p>
    <w:p>
      <w:pPr>
        <w:ind w:left="360"/>
        <w:spacing w:after="0"/>
        <w:rPr>
          <w:sz w:val="20"/>
          <w:szCs w:val="20"/>
          <w:color w:val="auto"/>
        </w:rPr>
      </w:pPr>
      <w:r>
        <w:rPr>
          <w:rFonts w:ascii="Arial" w:cs="Arial" w:eastAsia="Arial" w:hAnsi="Arial"/>
          <w:sz w:val="22"/>
          <w:szCs w:val="22"/>
          <w:b w:val="1"/>
          <w:bCs w:val="1"/>
          <w:color w:val="auto"/>
        </w:rPr>
        <w:t>Acting Director and Keeper of Public Records</w:t>
      </w:r>
    </w:p>
    <w:p>
      <w:pPr>
        <w:sectPr>
          <w:pgSz w:w="11900" w:h="16841" w:orient="portrait"/>
          <w:cols w:equalWidth="0" w:num="1">
            <w:col w:w="9280"/>
          </w:cols>
          <w:pgMar w:left="1440" w:top="704" w:right="1186" w:bottom="1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36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36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41" w:orient="portrait"/>
          <w:cols w:equalWidth="0" w:num="1">
            <w:col w:w="9280"/>
          </w:cols>
          <w:pgMar w:left="1440" w:top="704" w:right="1186" w:bottom="172" w:gutter="0" w:footer="0" w:header="0"/>
          <w:type w:val="continuous"/>
        </w:sectPr>
      </w:pPr>
    </w:p>
    <w:bookmarkStart w:id="2" w:name="page3"/>
    <w:bookmarkEnd w:id="2"/>
    <w:tbl>
      <w:tblPr>
        <w:tblLayout w:type="fixed"/>
        <w:tblInd w:w="360" w:type="dxa"/>
        <w:tblCellMar>
          <w:top w:w="0" w:type="dxa"/>
          <w:left w:w="0" w:type="dxa"/>
          <w:bottom w:w="0" w:type="dxa"/>
          <w:right w:w="0" w:type="dxa"/>
        </w:tblCellMar>
      </w:tblPr>
      <w:tr>
        <w:trPr>
          <w:trHeight w:val="214"/>
        </w:trPr>
        <w:tc>
          <w:tcPr>
            <w:tcW w:w="730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640" w:type="dxa"/>
            <w:vAlign w:val="bottom"/>
          </w:tcPr>
          <w:p>
            <w:pPr>
              <w:jc w:val="right"/>
              <w:spacing w:after="0"/>
              <w:rPr>
                <w:sz w:val="20"/>
                <w:szCs w:val="20"/>
                <w:color w:val="auto"/>
              </w:rPr>
            </w:pPr>
            <w:r>
              <w:rPr>
                <w:rFonts w:ascii="Arial" w:cs="Arial" w:eastAsia="Arial" w:hAnsi="Arial"/>
                <w:sz w:val="16"/>
                <w:szCs w:val="16"/>
                <w:color w:val="008080"/>
              </w:rPr>
              <w:t>3</w:t>
            </w:r>
          </w:p>
        </w:tc>
      </w:tr>
    </w:tbl>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center"/>
        <w:ind w:right="240"/>
        <w:spacing w:after="0"/>
        <w:rPr>
          <w:sz w:val="20"/>
          <w:szCs w:val="20"/>
          <w:color w:val="auto"/>
        </w:rPr>
      </w:pPr>
      <w:r>
        <w:rPr>
          <w:rFonts w:ascii="Arial" w:cs="Arial" w:eastAsia="Arial" w:hAnsi="Arial"/>
          <w:sz w:val="28"/>
          <w:szCs w:val="28"/>
          <w:b w:val="1"/>
          <w:bCs w:val="1"/>
          <w:color w:val="008080"/>
        </w:rPr>
        <w:t>Public Records Act 1973</w:t>
      </w:r>
    </w:p>
    <w:p>
      <w:pPr>
        <w:spacing w:after="0" w:line="240" w:lineRule="exact"/>
        <w:rPr>
          <w:sz w:val="20"/>
          <w:szCs w:val="20"/>
          <w:color w:val="auto"/>
        </w:rPr>
      </w:pPr>
    </w:p>
    <w:p>
      <w:pPr>
        <w:jc w:val="center"/>
        <w:ind w:right="240"/>
        <w:spacing w:after="0"/>
        <w:rPr>
          <w:sz w:val="20"/>
          <w:szCs w:val="20"/>
          <w:color w:val="auto"/>
        </w:rPr>
      </w:pPr>
      <w:r>
        <w:rPr>
          <w:rFonts w:ascii="Arial" w:cs="Arial" w:eastAsia="Arial" w:hAnsi="Arial"/>
          <w:sz w:val="28"/>
          <w:szCs w:val="28"/>
          <w:b w:val="1"/>
          <w:bCs w:val="1"/>
          <w:color w:val="008080"/>
        </w:rPr>
        <w:t>(Section 12)</w:t>
      </w: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ind w:left="360" w:right="600"/>
        <w:spacing w:after="0" w:line="290" w:lineRule="auto"/>
        <w:rPr>
          <w:sz w:val="20"/>
          <w:szCs w:val="20"/>
          <w:color w:val="auto"/>
        </w:rPr>
      </w:pPr>
      <w:r>
        <w:rPr>
          <w:rFonts w:ascii="Arial" w:cs="Arial" w:eastAsia="Arial" w:hAnsi="Arial"/>
          <w:sz w:val="28"/>
          <w:szCs w:val="28"/>
          <w:b w:val="1"/>
          <w:bCs w:val="1"/>
          <w:color w:val="008080"/>
        </w:rPr>
        <w:t>Retention &amp; Disposal Authority for Records of the Port of Melbourne</w:t>
      </w: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1580"/>
        <w:spacing w:after="0"/>
        <w:rPr>
          <w:sz w:val="20"/>
          <w:szCs w:val="20"/>
          <w:color w:val="auto"/>
        </w:rPr>
      </w:pPr>
      <w:r>
        <w:rPr>
          <w:rFonts w:ascii="Arial" w:cs="Arial" w:eastAsia="Arial" w:hAnsi="Arial"/>
          <w:sz w:val="28"/>
          <w:szCs w:val="28"/>
          <w:b w:val="1"/>
          <w:bCs w:val="1"/>
          <w:color w:val="008080"/>
        </w:rPr>
        <w:t>Public Record Office Standard (PROS) 08/06</w:t>
      </w: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360"/>
        <w:spacing w:after="0"/>
        <w:rPr>
          <w:sz w:val="20"/>
          <w:szCs w:val="20"/>
          <w:color w:val="auto"/>
        </w:rPr>
      </w:pPr>
      <w:r>
        <w:rPr>
          <w:rFonts w:ascii="Arial" w:cs="Arial" w:eastAsia="Arial" w:hAnsi="Arial"/>
          <w:sz w:val="28"/>
          <w:szCs w:val="28"/>
          <w:b w:val="1"/>
          <w:bCs w:val="1"/>
          <w:color w:val="008080"/>
        </w:rPr>
        <w:t>Variation 2:</w:t>
      </w:r>
    </w:p>
    <w:p>
      <w:pPr>
        <w:spacing w:after="0" w:line="200" w:lineRule="exact"/>
        <w:rPr>
          <w:sz w:val="20"/>
          <w:szCs w:val="20"/>
          <w:color w:val="auto"/>
        </w:rPr>
      </w:pPr>
    </w:p>
    <w:p>
      <w:pPr>
        <w:spacing w:after="0" w:line="326" w:lineRule="exact"/>
        <w:rPr>
          <w:sz w:val="20"/>
          <w:szCs w:val="20"/>
          <w:color w:val="auto"/>
        </w:rPr>
      </w:pPr>
    </w:p>
    <w:p>
      <w:pPr>
        <w:jc w:val="both"/>
        <w:ind w:left="360" w:right="600"/>
        <w:spacing w:after="0" w:line="372" w:lineRule="auto"/>
        <w:rPr>
          <w:sz w:val="20"/>
          <w:szCs w:val="20"/>
          <w:color w:val="auto"/>
        </w:rPr>
      </w:pPr>
      <w:r>
        <w:rPr>
          <w:rFonts w:ascii="Arial" w:cs="Arial" w:eastAsia="Arial" w:hAnsi="Arial"/>
          <w:sz w:val="22"/>
          <w:szCs w:val="22"/>
          <w:color w:val="auto"/>
        </w:rPr>
        <w:t xml:space="preserve">In accordance with section 12 of the </w:t>
      </w:r>
      <w:r>
        <w:rPr>
          <w:rFonts w:ascii="Arial" w:cs="Arial" w:eastAsia="Arial" w:hAnsi="Arial"/>
          <w:sz w:val="22"/>
          <w:szCs w:val="22"/>
          <w:i w:val="1"/>
          <w:iCs w:val="1"/>
          <w:color w:val="auto"/>
        </w:rPr>
        <w:t>Public Records Act 1973</w:t>
      </w:r>
      <w:r>
        <w:rPr>
          <w:rFonts w:ascii="Arial" w:cs="Arial" w:eastAsia="Arial" w:hAnsi="Arial"/>
          <w:sz w:val="22"/>
          <w:szCs w:val="22"/>
          <w:color w:val="auto"/>
        </w:rPr>
        <w:t xml:space="preserve"> (as amended), I hereby vary the Standard applying to the Retention and Disposal Authority for Records of the Port of Melbourne, issued as Public Record Office Standard (PROS) 08/06 on 28 July 2008, as follows:</w:t>
      </w:r>
    </w:p>
    <w:p>
      <w:pPr>
        <w:spacing w:after="0" w:line="325"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008080"/>
        </w:rPr>
        <w:t>Extend the application of this Standard until varied or revoked</w:t>
      </w:r>
    </w:p>
    <w:p>
      <w:pPr>
        <w:spacing w:after="0" w:line="200" w:lineRule="exact"/>
        <w:rPr>
          <w:sz w:val="20"/>
          <w:szCs w:val="20"/>
          <w:color w:val="auto"/>
        </w:rPr>
      </w:pPr>
    </w:p>
    <w:p>
      <w:pPr>
        <w:spacing w:after="0" w:line="208" w:lineRule="exact"/>
        <w:rPr>
          <w:sz w:val="20"/>
          <w:szCs w:val="20"/>
          <w:color w:val="auto"/>
        </w:rPr>
      </w:pPr>
    </w:p>
    <w:p>
      <w:pPr>
        <w:ind w:left="360"/>
        <w:spacing w:after="0"/>
        <w:rPr>
          <w:sz w:val="20"/>
          <w:szCs w:val="20"/>
          <w:color w:val="auto"/>
        </w:rPr>
      </w:pPr>
      <w:r>
        <w:rPr>
          <w:rFonts w:ascii="Arial" w:cs="Arial" w:eastAsia="Arial" w:hAnsi="Arial"/>
          <w:sz w:val="22"/>
          <w:szCs w:val="22"/>
          <w:color w:val="auto"/>
        </w:rPr>
        <w:t>This Variation shall have effect from the date of issue.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360"/>
        <w:spacing w:after="0"/>
        <w:rPr>
          <w:sz w:val="20"/>
          <w:szCs w:val="20"/>
          <w:color w:val="auto"/>
        </w:rPr>
      </w:pPr>
      <w:r>
        <w:rPr>
          <w:rFonts w:ascii="Arial" w:cs="Arial" w:eastAsia="Arial" w:hAnsi="Arial"/>
          <w:sz w:val="22"/>
          <w:szCs w:val="22"/>
          <w:color w:val="auto"/>
        </w:rPr>
        <w:t>[signed]</w:t>
      </w:r>
    </w:p>
    <w:p>
      <w:pPr>
        <w:spacing w:after="0" w:line="200" w:lineRule="exact"/>
        <w:rPr>
          <w:sz w:val="20"/>
          <w:szCs w:val="20"/>
          <w:color w:val="auto"/>
        </w:rPr>
      </w:pPr>
    </w:p>
    <w:p>
      <w:pPr>
        <w:spacing w:after="0" w:line="308" w:lineRule="exact"/>
        <w:rPr>
          <w:sz w:val="20"/>
          <w:szCs w:val="20"/>
          <w:color w:val="auto"/>
        </w:rPr>
      </w:pPr>
    </w:p>
    <w:p>
      <w:pPr>
        <w:ind w:left="360"/>
        <w:spacing w:after="0"/>
        <w:tabs>
          <w:tab w:leader="none" w:pos="5260" w:val="left"/>
        </w:tabs>
        <w:rPr>
          <w:sz w:val="20"/>
          <w:szCs w:val="20"/>
          <w:color w:val="auto"/>
        </w:rPr>
      </w:pPr>
      <w:r>
        <w:rPr>
          <w:rFonts w:ascii="Arial" w:cs="Arial" w:eastAsia="Arial" w:hAnsi="Arial"/>
          <w:sz w:val="22"/>
          <w:szCs w:val="22"/>
          <w:color w:val="auto"/>
        </w:rPr>
        <w:t>Justine Heazlewood</w:t>
      </w:r>
      <w:r>
        <w:rPr>
          <w:sz w:val="20"/>
          <w:szCs w:val="20"/>
          <w:color w:val="auto"/>
        </w:rPr>
        <w:tab/>
      </w:r>
      <w:r>
        <w:rPr>
          <w:rFonts w:ascii="Arial" w:cs="Arial" w:eastAsia="Arial" w:hAnsi="Arial"/>
          <w:sz w:val="21"/>
          <w:szCs w:val="21"/>
          <w:color w:val="auto"/>
        </w:rPr>
        <w:t>Date: 19/11/2018</w:t>
      </w:r>
    </w:p>
    <w:p>
      <w:pPr>
        <w:spacing w:after="0" w:line="141"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Director and Keeper of Public Records</w:t>
      </w:r>
    </w:p>
    <w:p>
      <w:pPr>
        <w:sectPr>
          <w:pgSz w:w="11900" w:h="16841" w:orient="portrait"/>
          <w:cols w:equalWidth="0" w:num="1">
            <w:col w:w="9280"/>
          </w:cols>
          <w:pgMar w:left="1440" w:top="704" w:right="1186" w:bottom="1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36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36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41" w:orient="portrait"/>
          <w:cols w:equalWidth="0" w:num="1">
            <w:col w:w="9280"/>
          </w:cols>
          <w:pgMar w:left="1440" w:top="704" w:right="1186" w:bottom="172" w:gutter="0" w:footer="0" w:header="0"/>
          <w:type w:val="continuous"/>
        </w:sectPr>
      </w:pPr>
    </w:p>
    <w:bookmarkStart w:id="3" w:name="page4"/>
    <w:bookmarkEnd w:id="3"/>
    <w:tbl>
      <w:tblPr>
        <w:tblLayout w:type="fixed"/>
        <w:tblInd w:w="360" w:type="dxa"/>
        <w:tblCellMar>
          <w:top w:w="0" w:type="dxa"/>
          <w:left w:w="0" w:type="dxa"/>
          <w:bottom w:w="0" w:type="dxa"/>
          <w:right w:w="0" w:type="dxa"/>
        </w:tblCellMar>
      </w:tblPr>
      <w:tr>
        <w:trPr>
          <w:trHeight w:val="214"/>
        </w:trPr>
        <w:tc>
          <w:tcPr>
            <w:tcW w:w="730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640" w:type="dxa"/>
            <w:vAlign w:val="bottom"/>
          </w:tcPr>
          <w:p>
            <w:pPr>
              <w:jc w:val="right"/>
              <w:spacing w:after="0"/>
              <w:rPr>
                <w:sz w:val="20"/>
                <w:szCs w:val="20"/>
                <w:color w:val="auto"/>
              </w:rPr>
            </w:pPr>
            <w:r>
              <w:rPr>
                <w:rFonts w:ascii="Arial" w:cs="Arial" w:eastAsia="Arial" w:hAnsi="Arial"/>
                <w:sz w:val="16"/>
                <w:szCs w:val="16"/>
                <w:color w:val="008080"/>
              </w:rPr>
              <w:t>4</w:t>
            </w:r>
          </w:p>
        </w:tc>
      </w:tr>
    </w:tbl>
    <w:p>
      <w:pPr>
        <w:spacing w:after="0" w:line="200" w:lineRule="exact"/>
        <w:rPr>
          <w:sz w:val="20"/>
          <w:szCs w:val="20"/>
          <w:color w:val="auto"/>
        </w:rPr>
      </w:pPr>
    </w:p>
    <w:p>
      <w:pPr>
        <w:spacing w:after="0" w:line="293" w:lineRule="exact"/>
        <w:rPr>
          <w:sz w:val="20"/>
          <w:szCs w:val="20"/>
          <w:color w:val="auto"/>
        </w:rPr>
      </w:pPr>
    </w:p>
    <w:p>
      <w:pPr>
        <w:ind w:left="360"/>
        <w:spacing w:after="0"/>
        <w:rPr>
          <w:sz w:val="20"/>
          <w:szCs w:val="20"/>
          <w:color w:val="auto"/>
        </w:rPr>
      </w:pPr>
      <w:r>
        <w:rPr>
          <w:rFonts w:ascii="Arial" w:cs="Arial" w:eastAsia="Arial" w:hAnsi="Arial"/>
          <w:sz w:val="36"/>
          <w:szCs w:val="36"/>
          <w:color w:val="008080"/>
        </w:rPr>
        <w:t>Table of Contents</w:t>
      </w:r>
    </w:p>
    <w:p>
      <w:pPr>
        <w:spacing w:after="0" w:line="244" w:lineRule="exact"/>
        <w:rPr>
          <w:sz w:val="20"/>
          <w:szCs w:val="20"/>
          <w:color w:val="auto"/>
        </w:rPr>
      </w:pPr>
    </w:p>
    <w:tbl>
      <w:tblPr>
        <w:tblLayout w:type="fixed"/>
        <w:tblInd w:w="360" w:type="dxa"/>
        <w:tblCellMar>
          <w:top w:w="0" w:type="dxa"/>
          <w:left w:w="0" w:type="dxa"/>
          <w:bottom w:w="0" w:type="dxa"/>
          <w:right w:w="0" w:type="dxa"/>
        </w:tblCellMar>
      </w:tblPr>
      <w:tr>
        <w:trPr>
          <w:trHeight w:val="307"/>
        </w:trPr>
        <w:tc>
          <w:tcPr>
            <w:tcW w:w="340" w:type="dxa"/>
            <w:vAlign w:val="bottom"/>
          </w:tcPr>
          <w:p>
            <w:pPr>
              <w:spacing w:after="0"/>
              <w:rPr>
                <w:sz w:val="20"/>
                <w:szCs w:val="20"/>
                <w:color w:val="auto"/>
              </w:rPr>
            </w:pPr>
            <w:r>
              <w:rPr>
                <w:rFonts w:ascii="Arial" w:cs="Arial" w:eastAsia="Arial" w:hAnsi="Arial"/>
                <w:sz w:val="22"/>
                <w:szCs w:val="22"/>
                <w:b w:val="1"/>
                <w:bCs w:val="1"/>
                <w:color w:val="auto"/>
              </w:rPr>
              <w:t>1</w:t>
            </w:r>
          </w:p>
        </w:tc>
        <w:tc>
          <w:tcPr>
            <w:tcW w:w="7640" w:type="dxa"/>
            <w:vAlign w:val="bottom"/>
            <w:gridSpan w:val="2"/>
          </w:tcPr>
          <w:p>
            <w:pPr>
              <w:ind w:left="220"/>
              <w:spacing w:after="0"/>
              <w:rPr>
                <w:sz w:val="20"/>
                <w:szCs w:val="20"/>
                <w:color w:val="auto"/>
              </w:rPr>
            </w:pPr>
            <w:r>
              <w:rPr>
                <w:rFonts w:ascii="Arial" w:cs="Arial" w:eastAsia="Arial" w:hAnsi="Arial"/>
                <w:sz w:val="22"/>
                <w:szCs w:val="22"/>
                <w:b w:val="1"/>
                <w:bCs w:val="1"/>
                <w:color w:val="auto"/>
                <w:w w:val="99"/>
              </w:rPr>
              <w:t>Introduction ...................................................................................................</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rPr>
              <w:t>5</w:t>
            </w:r>
          </w:p>
        </w:tc>
      </w:tr>
      <w:tr>
        <w:trPr>
          <w:trHeight w:val="372"/>
        </w:trPr>
        <w:tc>
          <w:tcPr>
            <w:tcW w:w="7980" w:type="dxa"/>
            <w:vAlign w:val="bottom"/>
            <w:gridSpan w:val="3"/>
          </w:tcPr>
          <w:p>
            <w:pPr>
              <w:spacing w:after="0"/>
              <w:rPr>
                <w:sz w:val="20"/>
                <w:szCs w:val="20"/>
                <w:color w:val="auto"/>
              </w:rPr>
            </w:pPr>
            <w:r>
              <w:rPr>
                <w:rFonts w:ascii="Arial" w:cs="Arial" w:eastAsia="Arial" w:hAnsi="Arial"/>
                <w:sz w:val="22"/>
                <w:szCs w:val="22"/>
                <w:color w:val="auto"/>
              </w:rPr>
              <w:t>1.1  Purpose of this Authority .................................................................................</w:t>
            </w:r>
          </w:p>
        </w:tc>
        <w:tc>
          <w:tcPr>
            <w:tcW w:w="260" w:type="dxa"/>
            <w:vAlign w:val="bottom"/>
          </w:tcPr>
          <w:p>
            <w:pPr>
              <w:jc w:val="right"/>
              <w:spacing w:after="0"/>
              <w:rPr>
                <w:sz w:val="20"/>
                <w:szCs w:val="20"/>
                <w:color w:val="auto"/>
              </w:rPr>
            </w:pPr>
            <w:r>
              <w:rPr>
                <w:rFonts w:ascii="Arial" w:cs="Arial" w:eastAsia="Arial" w:hAnsi="Arial"/>
                <w:sz w:val="22"/>
                <w:szCs w:val="22"/>
                <w:color w:val="auto"/>
              </w:rPr>
              <w:t>5</w:t>
            </w:r>
          </w:p>
        </w:tc>
      </w:tr>
      <w:tr>
        <w:trPr>
          <w:trHeight w:val="379"/>
        </w:trPr>
        <w:tc>
          <w:tcPr>
            <w:tcW w:w="7980" w:type="dxa"/>
            <w:vAlign w:val="bottom"/>
            <w:gridSpan w:val="3"/>
          </w:tcPr>
          <w:p>
            <w:pPr>
              <w:spacing w:after="0"/>
              <w:rPr>
                <w:sz w:val="20"/>
                <w:szCs w:val="20"/>
                <w:color w:val="auto"/>
              </w:rPr>
            </w:pPr>
            <w:r>
              <w:rPr>
                <w:rFonts w:ascii="Arial" w:cs="Arial" w:eastAsia="Arial" w:hAnsi="Arial"/>
                <w:sz w:val="22"/>
                <w:szCs w:val="22"/>
                <w:color w:val="auto"/>
              </w:rPr>
              <w:t>1.2  Context of this Authority ..................................................................................</w:t>
            </w:r>
          </w:p>
        </w:tc>
        <w:tc>
          <w:tcPr>
            <w:tcW w:w="260" w:type="dxa"/>
            <w:vAlign w:val="bottom"/>
          </w:tcPr>
          <w:p>
            <w:pPr>
              <w:jc w:val="right"/>
              <w:spacing w:after="0"/>
              <w:rPr>
                <w:sz w:val="20"/>
                <w:szCs w:val="20"/>
                <w:color w:val="auto"/>
              </w:rPr>
            </w:pPr>
            <w:r>
              <w:rPr>
                <w:rFonts w:ascii="Arial" w:cs="Arial" w:eastAsia="Arial" w:hAnsi="Arial"/>
                <w:sz w:val="22"/>
                <w:szCs w:val="22"/>
                <w:color w:val="auto"/>
              </w:rPr>
              <w:t>5</w:t>
            </w:r>
          </w:p>
        </w:tc>
      </w:tr>
      <w:tr>
        <w:trPr>
          <w:trHeight w:val="379"/>
        </w:trPr>
        <w:tc>
          <w:tcPr>
            <w:tcW w:w="340" w:type="dxa"/>
            <w:vAlign w:val="bottom"/>
          </w:tcPr>
          <w:p>
            <w:pPr>
              <w:spacing w:after="0"/>
              <w:rPr>
                <w:sz w:val="24"/>
                <w:szCs w:val="24"/>
                <w:color w:val="auto"/>
              </w:rPr>
            </w:pPr>
          </w:p>
        </w:tc>
        <w:tc>
          <w:tcPr>
            <w:tcW w:w="820" w:type="dxa"/>
            <w:vAlign w:val="bottom"/>
          </w:tcPr>
          <w:p>
            <w:pPr>
              <w:ind w:left="220"/>
              <w:spacing w:after="0"/>
              <w:rPr>
                <w:sz w:val="20"/>
                <w:szCs w:val="20"/>
                <w:color w:val="auto"/>
              </w:rPr>
            </w:pPr>
            <w:r>
              <w:rPr>
                <w:rFonts w:ascii="Arial" w:cs="Arial" w:eastAsia="Arial" w:hAnsi="Arial"/>
                <w:sz w:val="22"/>
                <w:szCs w:val="22"/>
                <w:color w:val="auto"/>
              </w:rPr>
              <w:t>1.2.1</w:t>
            </w:r>
          </w:p>
        </w:tc>
        <w:tc>
          <w:tcPr>
            <w:tcW w:w="6820" w:type="dxa"/>
            <w:vAlign w:val="bottom"/>
          </w:tcPr>
          <w:p>
            <w:pPr>
              <w:ind w:left="120"/>
              <w:spacing w:after="0"/>
              <w:rPr>
                <w:sz w:val="20"/>
                <w:szCs w:val="20"/>
                <w:color w:val="auto"/>
              </w:rPr>
            </w:pPr>
            <w:r>
              <w:rPr>
                <w:rFonts w:ascii="Arial" w:cs="Arial" w:eastAsia="Arial" w:hAnsi="Arial"/>
                <w:sz w:val="22"/>
                <w:szCs w:val="22"/>
                <w:color w:val="auto"/>
                <w:w w:val="99"/>
              </w:rPr>
              <w:t>Public Record Office Victoria Standards ..............................................</w:t>
            </w:r>
          </w:p>
        </w:tc>
        <w:tc>
          <w:tcPr>
            <w:tcW w:w="260" w:type="dxa"/>
            <w:vAlign w:val="bottom"/>
          </w:tcPr>
          <w:p>
            <w:pPr>
              <w:jc w:val="right"/>
              <w:spacing w:after="0"/>
              <w:rPr>
                <w:sz w:val="20"/>
                <w:szCs w:val="20"/>
                <w:color w:val="auto"/>
              </w:rPr>
            </w:pPr>
            <w:r>
              <w:rPr>
                <w:rFonts w:ascii="Arial" w:cs="Arial" w:eastAsia="Arial" w:hAnsi="Arial"/>
                <w:sz w:val="22"/>
                <w:szCs w:val="22"/>
                <w:color w:val="auto"/>
              </w:rPr>
              <w:t>5</w:t>
            </w:r>
          </w:p>
        </w:tc>
      </w:tr>
      <w:tr>
        <w:trPr>
          <w:trHeight w:val="379"/>
        </w:trPr>
        <w:tc>
          <w:tcPr>
            <w:tcW w:w="340" w:type="dxa"/>
            <w:vAlign w:val="bottom"/>
          </w:tcPr>
          <w:p>
            <w:pPr>
              <w:spacing w:after="0"/>
              <w:rPr>
                <w:sz w:val="24"/>
                <w:szCs w:val="24"/>
                <w:color w:val="auto"/>
              </w:rPr>
            </w:pPr>
          </w:p>
        </w:tc>
        <w:tc>
          <w:tcPr>
            <w:tcW w:w="820" w:type="dxa"/>
            <w:vAlign w:val="bottom"/>
          </w:tcPr>
          <w:p>
            <w:pPr>
              <w:ind w:left="220"/>
              <w:spacing w:after="0"/>
              <w:rPr>
                <w:sz w:val="20"/>
                <w:szCs w:val="20"/>
                <w:color w:val="auto"/>
              </w:rPr>
            </w:pPr>
            <w:r>
              <w:rPr>
                <w:rFonts w:ascii="Arial" w:cs="Arial" w:eastAsia="Arial" w:hAnsi="Arial"/>
                <w:sz w:val="22"/>
                <w:szCs w:val="22"/>
                <w:color w:val="auto"/>
              </w:rPr>
              <w:t>1.2.2</w:t>
            </w:r>
          </w:p>
        </w:tc>
        <w:tc>
          <w:tcPr>
            <w:tcW w:w="6820" w:type="dxa"/>
            <w:vAlign w:val="bottom"/>
          </w:tcPr>
          <w:p>
            <w:pPr>
              <w:ind w:left="120"/>
              <w:spacing w:after="0"/>
              <w:rPr>
                <w:sz w:val="20"/>
                <w:szCs w:val="20"/>
                <w:color w:val="auto"/>
              </w:rPr>
            </w:pPr>
            <w:r>
              <w:rPr>
                <w:rFonts w:ascii="Arial" w:cs="Arial" w:eastAsia="Arial" w:hAnsi="Arial"/>
                <w:sz w:val="22"/>
                <w:szCs w:val="22"/>
                <w:color w:val="auto"/>
                <w:w w:val="99"/>
              </w:rPr>
              <w:t>Disposal of records identified in the Authority ......................................</w:t>
            </w:r>
          </w:p>
        </w:tc>
        <w:tc>
          <w:tcPr>
            <w:tcW w:w="260" w:type="dxa"/>
            <w:vAlign w:val="bottom"/>
          </w:tcPr>
          <w:p>
            <w:pPr>
              <w:jc w:val="right"/>
              <w:spacing w:after="0"/>
              <w:rPr>
                <w:sz w:val="20"/>
                <w:szCs w:val="20"/>
                <w:color w:val="auto"/>
              </w:rPr>
            </w:pPr>
            <w:r>
              <w:rPr>
                <w:rFonts w:ascii="Arial" w:cs="Arial" w:eastAsia="Arial" w:hAnsi="Arial"/>
                <w:sz w:val="22"/>
                <w:szCs w:val="22"/>
                <w:color w:val="auto"/>
              </w:rPr>
              <w:t>5</w:t>
            </w:r>
          </w:p>
        </w:tc>
      </w:tr>
      <w:tr>
        <w:trPr>
          <w:trHeight w:val="379"/>
        </w:trPr>
        <w:tc>
          <w:tcPr>
            <w:tcW w:w="340" w:type="dxa"/>
            <w:vAlign w:val="bottom"/>
          </w:tcPr>
          <w:p>
            <w:pPr>
              <w:spacing w:after="0"/>
              <w:rPr>
                <w:sz w:val="24"/>
                <w:szCs w:val="24"/>
                <w:color w:val="auto"/>
              </w:rPr>
            </w:pPr>
          </w:p>
        </w:tc>
        <w:tc>
          <w:tcPr>
            <w:tcW w:w="820" w:type="dxa"/>
            <w:vAlign w:val="bottom"/>
          </w:tcPr>
          <w:p>
            <w:pPr>
              <w:ind w:left="220"/>
              <w:spacing w:after="0"/>
              <w:rPr>
                <w:sz w:val="20"/>
                <w:szCs w:val="20"/>
                <w:color w:val="auto"/>
              </w:rPr>
            </w:pPr>
            <w:r>
              <w:rPr>
                <w:rFonts w:ascii="Arial" w:cs="Arial" w:eastAsia="Arial" w:hAnsi="Arial"/>
                <w:sz w:val="22"/>
                <w:szCs w:val="22"/>
                <w:color w:val="auto"/>
              </w:rPr>
              <w:t>1.2.3</w:t>
            </w:r>
          </w:p>
        </w:tc>
        <w:tc>
          <w:tcPr>
            <w:tcW w:w="6820" w:type="dxa"/>
            <w:vAlign w:val="bottom"/>
          </w:tcPr>
          <w:p>
            <w:pPr>
              <w:ind w:left="120"/>
              <w:spacing w:after="0"/>
              <w:rPr>
                <w:sz w:val="20"/>
                <w:szCs w:val="20"/>
                <w:color w:val="auto"/>
              </w:rPr>
            </w:pPr>
            <w:r>
              <w:rPr>
                <w:rFonts w:ascii="Arial" w:cs="Arial" w:eastAsia="Arial" w:hAnsi="Arial"/>
                <w:sz w:val="22"/>
                <w:szCs w:val="22"/>
                <w:color w:val="auto"/>
                <w:w w:val="98"/>
              </w:rPr>
              <w:t>Transfer of records to Public Record Office Victoria .............................</w:t>
            </w:r>
          </w:p>
        </w:tc>
        <w:tc>
          <w:tcPr>
            <w:tcW w:w="260" w:type="dxa"/>
            <w:vAlign w:val="bottom"/>
          </w:tcPr>
          <w:p>
            <w:pPr>
              <w:jc w:val="right"/>
              <w:spacing w:after="0"/>
              <w:rPr>
                <w:sz w:val="20"/>
                <w:szCs w:val="20"/>
                <w:color w:val="auto"/>
              </w:rPr>
            </w:pPr>
            <w:r>
              <w:rPr>
                <w:rFonts w:ascii="Arial" w:cs="Arial" w:eastAsia="Arial" w:hAnsi="Arial"/>
                <w:sz w:val="22"/>
                <w:szCs w:val="22"/>
                <w:color w:val="auto"/>
              </w:rPr>
              <w:t>5</w:t>
            </w:r>
          </w:p>
        </w:tc>
      </w:tr>
      <w:tr>
        <w:trPr>
          <w:trHeight w:val="379"/>
        </w:trPr>
        <w:tc>
          <w:tcPr>
            <w:tcW w:w="340" w:type="dxa"/>
            <w:vAlign w:val="bottom"/>
          </w:tcPr>
          <w:p>
            <w:pPr>
              <w:spacing w:after="0"/>
              <w:rPr>
                <w:sz w:val="24"/>
                <w:szCs w:val="24"/>
                <w:color w:val="auto"/>
              </w:rPr>
            </w:pPr>
          </w:p>
        </w:tc>
        <w:tc>
          <w:tcPr>
            <w:tcW w:w="820" w:type="dxa"/>
            <w:vAlign w:val="bottom"/>
          </w:tcPr>
          <w:p>
            <w:pPr>
              <w:ind w:left="220"/>
              <w:spacing w:after="0"/>
              <w:rPr>
                <w:sz w:val="20"/>
                <w:szCs w:val="20"/>
                <w:color w:val="auto"/>
              </w:rPr>
            </w:pPr>
            <w:r>
              <w:rPr>
                <w:rFonts w:ascii="Arial" w:cs="Arial" w:eastAsia="Arial" w:hAnsi="Arial"/>
                <w:sz w:val="22"/>
                <w:szCs w:val="22"/>
                <w:color w:val="auto"/>
              </w:rPr>
              <w:t>1.2.4</w:t>
            </w:r>
          </w:p>
        </w:tc>
        <w:tc>
          <w:tcPr>
            <w:tcW w:w="6820" w:type="dxa"/>
            <w:vAlign w:val="bottom"/>
          </w:tcPr>
          <w:p>
            <w:pPr>
              <w:ind w:left="120"/>
              <w:spacing w:after="0"/>
              <w:rPr>
                <w:sz w:val="20"/>
                <w:szCs w:val="20"/>
                <w:color w:val="auto"/>
              </w:rPr>
            </w:pPr>
            <w:r>
              <w:rPr>
                <w:rFonts w:ascii="Arial" w:cs="Arial" w:eastAsia="Arial" w:hAnsi="Arial"/>
                <w:sz w:val="22"/>
                <w:szCs w:val="22"/>
                <w:color w:val="auto"/>
                <w:w w:val="98"/>
              </w:rPr>
              <w:t xml:space="preserve">The </w:t>
            </w:r>
            <w:r>
              <w:rPr>
                <w:rFonts w:ascii="Arial" w:cs="Arial" w:eastAsia="Arial" w:hAnsi="Arial"/>
                <w:sz w:val="22"/>
                <w:szCs w:val="22"/>
                <w:i w:val="1"/>
                <w:iCs w:val="1"/>
                <w:color w:val="auto"/>
                <w:w w:val="98"/>
              </w:rPr>
              <w:t>Crimes (Document Destruction) Act</w:t>
            </w:r>
            <w:r>
              <w:rPr>
                <w:rFonts w:ascii="Arial" w:cs="Arial" w:eastAsia="Arial" w:hAnsi="Arial"/>
                <w:sz w:val="22"/>
                <w:szCs w:val="22"/>
                <w:color w:val="auto"/>
                <w:w w:val="98"/>
              </w:rPr>
              <w:t xml:space="preserve"> 2006 .....................................</w:t>
            </w:r>
          </w:p>
        </w:tc>
        <w:tc>
          <w:tcPr>
            <w:tcW w:w="260" w:type="dxa"/>
            <w:vAlign w:val="bottom"/>
          </w:tcPr>
          <w:p>
            <w:pPr>
              <w:jc w:val="right"/>
              <w:spacing w:after="0"/>
              <w:rPr>
                <w:sz w:val="20"/>
                <w:szCs w:val="20"/>
                <w:color w:val="auto"/>
              </w:rPr>
            </w:pPr>
            <w:r>
              <w:rPr>
                <w:rFonts w:ascii="Arial" w:cs="Arial" w:eastAsia="Arial" w:hAnsi="Arial"/>
                <w:sz w:val="22"/>
                <w:szCs w:val="22"/>
                <w:color w:val="auto"/>
              </w:rPr>
              <w:t>6</w:t>
            </w:r>
          </w:p>
        </w:tc>
      </w:tr>
      <w:tr>
        <w:trPr>
          <w:trHeight w:val="379"/>
        </w:trPr>
        <w:tc>
          <w:tcPr>
            <w:tcW w:w="340" w:type="dxa"/>
            <w:vAlign w:val="bottom"/>
          </w:tcPr>
          <w:p>
            <w:pPr>
              <w:spacing w:after="0"/>
              <w:rPr>
                <w:sz w:val="24"/>
                <w:szCs w:val="24"/>
                <w:color w:val="auto"/>
              </w:rPr>
            </w:pPr>
          </w:p>
        </w:tc>
        <w:tc>
          <w:tcPr>
            <w:tcW w:w="820" w:type="dxa"/>
            <w:vAlign w:val="bottom"/>
          </w:tcPr>
          <w:p>
            <w:pPr>
              <w:ind w:left="220"/>
              <w:spacing w:after="0"/>
              <w:rPr>
                <w:sz w:val="20"/>
                <w:szCs w:val="20"/>
                <w:color w:val="auto"/>
              </w:rPr>
            </w:pPr>
            <w:r>
              <w:rPr>
                <w:rFonts w:ascii="Arial" w:cs="Arial" w:eastAsia="Arial" w:hAnsi="Arial"/>
                <w:sz w:val="22"/>
                <w:szCs w:val="22"/>
                <w:color w:val="auto"/>
              </w:rPr>
              <w:t>1.2.5</w:t>
            </w:r>
          </w:p>
        </w:tc>
        <w:tc>
          <w:tcPr>
            <w:tcW w:w="6820" w:type="dxa"/>
            <w:vAlign w:val="bottom"/>
          </w:tcPr>
          <w:p>
            <w:pPr>
              <w:ind w:left="120"/>
              <w:spacing w:after="0"/>
              <w:rPr>
                <w:sz w:val="20"/>
                <w:szCs w:val="20"/>
                <w:color w:val="auto"/>
              </w:rPr>
            </w:pPr>
            <w:r>
              <w:rPr>
                <w:rFonts w:ascii="Arial" w:cs="Arial" w:eastAsia="Arial" w:hAnsi="Arial"/>
                <w:sz w:val="22"/>
                <w:szCs w:val="22"/>
                <w:color w:val="auto"/>
                <w:w w:val="99"/>
              </w:rPr>
              <w:t>Normal Administrative Practice ............................................................</w:t>
            </w:r>
          </w:p>
        </w:tc>
        <w:tc>
          <w:tcPr>
            <w:tcW w:w="260" w:type="dxa"/>
            <w:vAlign w:val="bottom"/>
          </w:tcPr>
          <w:p>
            <w:pPr>
              <w:jc w:val="right"/>
              <w:spacing w:after="0"/>
              <w:rPr>
                <w:sz w:val="20"/>
                <w:szCs w:val="20"/>
                <w:color w:val="auto"/>
              </w:rPr>
            </w:pPr>
            <w:r>
              <w:rPr>
                <w:rFonts w:ascii="Arial" w:cs="Arial" w:eastAsia="Arial" w:hAnsi="Arial"/>
                <w:sz w:val="22"/>
                <w:szCs w:val="22"/>
                <w:color w:val="auto"/>
              </w:rPr>
              <w:t>6</w:t>
            </w:r>
          </w:p>
        </w:tc>
      </w:tr>
      <w:tr>
        <w:trPr>
          <w:trHeight w:val="379"/>
        </w:trPr>
        <w:tc>
          <w:tcPr>
            <w:tcW w:w="7980" w:type="dxa"/>
            <w:vAlign w:val="bottom"/>
            <w:gridSpan w:val="3"/>
          </w:tcPr>
          <w:p>
            <w:pPr>
              <w:spacing w:after="0"/>
              <w:rPr>
                <w:sz w:val="20"/>
                <w:szCs w:val="20"/>
                <w:color w:val="auto"/>
              </w:rPr>
            </w:pPr>
            <w:r>
              <w:rPr>
                <w:rFonts w:ascii="Arial" w:cs="Arial" w:eastAsia="Arial" w:hAnsi="Arial"/>
                <w:sz w:val="22"/>
                <w:szCs w:val="22"/>
                <w:color w:val="auto"/>
              </w:rPr>
              <w:t>1.3  Use of Other Authorities ..................................................................................</w:t>
            </w:r>
          </w:p>
        </w:tc>
        <w:tc>
          <w:tcPr>
            <w:tcW w:w="260" w:type="dxa"/>
            <w:vAlign w:val="bottom"/>
          </w:tcPr>
          <w:p>
            <w:pPr>
              <w:jc w:val="right"/>
              <w:spacing w:after="0"/>
              <w:rPr>
                <w:sz w:val="20"/>
                <w:szCs w:val="20"/>
                <w:color w:val="auto"/>
              </w:rPr>
            </w:pPr>
            <w:r>
              <w:rPr>
                <w:rFonts w:ascii="Arial" w:cs="Arial" w:eastAsia="Arial" w:hAnsi="Arial"/>
                <w:sz w:val="22"/>
                <w:szCs w:val="22"/>
                <w:color w:val="auto"/>
              </w:rPr>
              <w:t>6</w:t>
            </w:r>
          </w:p>
        </w:tc>
      </w:tr>
      <w:tr>
        <w:trPr>
          <w:trHeight w:val="379"/>
        </w:trPr>
        <w:tc>
          <w:tcPr>
            <w:tcW w:w="7980" w:type="dxa"/>
            <w:vAlign w:val="bottom"/>
            <w:gridSpan w:val="3"/>
          </w:tcPr>
          <w:p>
            <w:pPr>
              <w:spacing w:after="0"/>
              <w:rPr>
                <w:sz w:val="20"/>
                <w:szCs w:val="20"/>
                <w:color w:val="auto"/>
              </w:rPr>
            </w:pPr>
            <w:r>
              <w:rPr>
                <w:rFonts w:ascii="Arial" w:cs="Arial" w:eastAsia="Arial" w:hAnsi="Arial"/>
                <w:sz w:val="22"/>
                <w:szCs w:val="22"/>
                <w:color w:val="auto"/>
              </w:rPr>
              <w:t>1.4  Explanation of Authority Headings...................................................................</w:t>
            </w:r>
          </w:p>
        </w:tc>
        <w:tc>
          <w:tcPr>
            <w:tcW w:w="260" w:type="dxa"/>
            <w:vAlign w:val="bottom"/>
          </w:tcPr>
          <w:p>
            <w:pPr>
              <w:jc w:val="right"/>
              <w:spacing w:after="0"/>
              <w:rPr>
                <w:sz w:val="20"/>
                <w:szCs w:val="20"/>
                <w:color w:val="auto"/>
              </w:rPr>
            </w:pPr>
            <w:r>
              <w:rPr>
                <w:rFonts w:ascii="Arial" w:cs="Arial" w:eastAsia="Arial" w:hAnsi="Arial"/>
                <w:sz w:val="22"/>
                <w:szCs w:val="22"/>
                <w:color w:val="auto"/>
              </w:rPr>
              <w:t>7</w:t>
            </w:r>
          </w:p>
        </w:tc>
      </w:tr>
      <w:tr>
        <w:trPr>
          <w:trHeight w:val="631"/>
        </w:trPr>
        <w:tc>
          <w:tcPr>
            <w:tcW w:w="340" w:type="dxa"/>
            <w:vAlign w:val="bottom"/>
          </w:tcPr>
          <w:p>
            <w:pPr>
              <w:spacing w:after="0"/>
              <w:rPr>
                <w:sz w:val="20"/>
                <w:szCs w:val="20"/>
                <w:color w:val="auto"/>
              </w:rPr>
            </w:pPr>
            <w:r>
              <w:rPr>
                <w:rFonts w:ascii="Arial" w:cs="Arial" w:eastAsia="Arial" w:hAnsi="Arial"/>
                <w:sz w:val="22"/>
                <w:szCs w:val="22"/>
                <w:b w:val="1"/>
                <w:bCs w:val="1"/>
                <w:color w:val="auto"/>
              </w:rPr>
              <w:t>2</w:t>
            </w:r>
          </w:p>
        </w:tc>
        <w:tc>
          <w:tcPr>
            <w:tcW w:w="7640" w:type="dxa"/>
            <w:vAlign w:val="bottom"/>
            <w:gridSpan w:val="2"/>
          </w:tcPr>
          <w:p>
            <w:pPr>
              <w:ind w:left="220"/>
              <w:spacing w:after="0"/>
              <w:rPr>
                <w:sz w:val="20"/>
                <w:szCs w:val="20"/>
                <w:color w:val="auto"/>
              </w:rPr>
            </w:pPr>
            <w:r>
              <w:rPr>
                <w:rFonts w:ascii="Arial" w:cs="Arial" w:eastAsia="Arial" w:hAnsi="Arial"/>
                <w:sz w:val="22"/>
                <w:szCs w:val="22"/>
                <w:b w:val="1"/>
                <w:bCs w:val="1"/>
                <w:color w:val="auto"/>
              </w:rPr>
              <w:t>Concurrence of Public Office ......................................................................</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rPr>
              <w:t>8</w:t>
            </w:r>
          </w:p>
        </w:tc>
      </w:tr>
      <w:tr>
        <w:trPr>
          <w:trHeight w:val="619"/>
        </w:trPr>
        <w:tc>
          <w:tcPr>
            <w:tcW w:w="340" w:type="dxa"/>
            <w:vAlign w:val="bottom"/>
          </w:tcPr>
          <w:p>
            <w:pPr>
              <w:spacing w:after="0"/>
              <w:rPr>
                <w:sz w:val="20"/>
                <w:szCs w:val="20"/>
                <w:color w:val="auto"/>
              </w:rPr>
            </w:pPr>
            <w:r>
              <w:rPr>
                <w:rFonts w:ascii="Arial" w:cs="Arial" w:eastAsia="Arial" w:hAnsi="Arial"/>
                <w:sz w:val="22"/>
                <w:szCs w:val="22"/>
                <w:b w:val="1"/>
                <w:bCs w:val="1"/>
                <w:color w:val="auto"/>
              </w:rPr>
              <w:t>3</w:t>
            </w:r>
          </w:p>
        </w:tc>
        <w:tc>
          <w:tcPr>
            <w:tcW w:w="7640" w:type="dxa"/>
            <w:vAlign w:val="bottom"/>
            <w:gridSpan w:val="2"/>
          </w:tcPr>
          <w:p>
            <w:pPr>
              <w:ind w:left="220"/>
              <w:spacing w:after="0"/>
              <w:rPr>
                <w:sz w:val="20"/>
                <w:szCs w:val="20"/>
                <w:color w:val="auto"/>
              </w:rPr>
            </w:pPr>
            <w:r>
              <w:rPr>
                <w:rFonts w:ascii="Arial" w:cs="Arial" w:eastAsia="Arial" w:hAnsi="Arial"/>
                <w:sz w:val="22"/>
                <w:szCs w:val="22"/>
                <w:b w:val="1"/>
                <w:bCs w:val="1"/>
                <w:color w:val="auto"/>
              </w:rPr>
              <w:t>Establishment of Standard ..........................................................................</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rPr>
              <w:t>8</w:t>
            </w:r>
          </w:p>
        </w:tc>
      </w:tr>
      <w:tr>
        <w:trPr>
          <w:trHeight w:val="619"/>
        </w:trPr>
        <w:tc>
          <w:tcPr>
            <w:tcW w:w="340" w:type="dxa"/>
            <w:vAlign w:val="bottom"/>
          </w:tcPr>
          <w:p>
            <w:pPr>
              <w:spacing w:after="0"/>
              <w:rPr>
                <w:sz w:val="20"/>
                <w:szCs w:val="20"/>
                <w:color w:val="auto"/>
              </w:rPr>
            </w:pPr>
            <w:r>
              <w:rPr>
                <w:rFonts w:ascii="Arial" w:cs="Arial" w:eastAsia="Arial" w:hAnsi="Arial"/>
                <w:sz w:val="22"/>
                <w:szCs w:val="22"/>
                <w:b w:val="1"/>
                <w:bCs w:val="1"/>
                <w:color w:val="auto"/>
              </w:rPr>
              <w:t>4</w:t>
            </w:r>
          </w:p>
        </w:tc>
        <w:tc>
          <w:tcPr>
            <w:tcW w:w="7640" w:type="dxa"/>
            <w:vAlign w:val="bottom"/>
            <w:gridSpan w:val="2"/>
          </w:tcPr>
          <w:p>
            <w:pPr>
              <w:ind w:left="220"/>
              <w:spacing w:after="0"/>
              <w:rPr>
                <w:sz w:val="20"/>
                <w:szCs w:val="20"/>
                <w:color w:val="auto"/>
              </w:rPr>
            </w:pPr>
            <w:r>
              <w:rPr>
                <w:rFonts w:ascii="Arial" w:cs="Arial" w:eastAsia="Arial" w:hAnsi="Arial"/>
                <w:sz w:val="22"/>
                <w:szCs w:val="22"/>
                <w:b w:val="1"/>
                <w:bCs w:val="1"/>
                <w:color w:val="auto"/>
              </w:rPr>
              <w:t>Acknowledgments ........................................................................................</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rPr>
              <w:t>8</w:t>
            </w:r>
          </w:p>
        </w:tc>
      </w:tr>
      <w:tr>
        <w:trPr>
          <w:trHeight w:val="619"/>
        </w:trPr>
        <w:tc>
          <w:tcPr>
            <w:tcW w:w="340" w:type="dxa"/>
            <w:vAlign w:val="bottom"/>
          </w:tcPr>
          <w:p>
            <w:pPr>
              <w:spacing w:after="0"/>
              <w:rPr>
                <w:sz w:val="20"/>
                <w:szCs w:val="20"/>
                <w:color w:val="auto"/>
              </w:rPr>
            </w:pPr>
            <w:r>
              <w:rPr>
                <w:rFonts w:ascii="Arial" w:cs="Arial" w:eastAsia="Arial" w:hAnsi="Arial"/>
                <w:sz w:val="22"/>
                <w:szCs w:val="22"/>
                <w:b w:val="1"/>
                <w:bCs w:val="1"/>
                <w:color w:val="auto"/>
              </w:rPr>
              <w:t>5</w:t>
            </w:r>
          </w:p>
        </w:tc>
        <w:tc>
          <w:tcPr>
            <w:tcW w:w="7640" w:type="dxa"/>
            <w:vAlign w:val="bottom"/>
            <w:gridSpan w:val="2"/>
          </w:tcPr>
          <w:p>
            <w:pPr>
              <w:ind w:left="220"/>
              <w:spacing w:after="0"/>
              <w:rPr>
                <w:sz w:val="20"/>
                <w:szCs w:val="20"/>
                <w:color w:val="auto"/>
              </w:rPr>
            </w:pPr>
            <w:r>
              <w:rPr>
                <w:rFonts w:ascii="Arial" w:cs="Arial" w:eastAsia="Arial" w:hAnsi="Arial"/>
                <w:sz w:val="22"/>
                <w:szCs w:val="22"/>
                <w:b w:val="1"/>
                <w:bCs w:val="1"/>
                <w:color w:val="auto"/>
              </w:rPr>
              <w:t>Further Information ......................................................................................</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rPr>
              <w:t>8</w:t>
            </w:r>
          </w:p>
        </w:tc>
      </w:tr>
      <w:tr>
        <w:trPr>
          <w:trHeight w:val="619"/>
        </w:trPr>
        <w:tc>
          <w:tcPr>
            <w:tcW w:w="340" w:type="dxa"/>
            <w:vAlign w:val="bottom"/>
          </w:tcPr>
          <w:p>
            <w:pPr>
              <w:spacing w:after="0"/>
              <w:rPr>
                <w:sz w:val="20"/>
                <w:szCs w:val="20"/>
                <w:color w:val="auto"/>
              </w:rPr>
            </w:pPr>
            <w:r>
              <w:rPr>
                <w:rFonts w:ascii="Arial" w:cs="Arial" w:eastAsia="Arial" w:hAnsi="Arial"/>
                <w:sz w:val="22"/>
                <w:szCs w:val="22"/>
                <w:b w:val="1"/>
                <w:bCs w:val="1"/>
                <w:color w:val="auto"/>
              </w:rPr>
              <w:t>6</w:t>
            </w:r>
          </w:p>
        </w:tc>
        <w:tc>
          <w:tcPr>
            <w:tcW w:w="7640" w:type="dxa"/>
            <w:vAlign w:val="bottom"/>
            <w:gridSpan w:val="2"/>
          </w:tcPr>
          <w:p>
            <w:pPr>
              <w:ind w:left="220"/>
              <w:spacing w:after="0"/>
              <w:rPr>
                <w:sz w:val="20"/>
                <w:szCs w:val="20"/>
                <w:color w:val="auto"/>
              </w:rPr>
            </w:pPr>
            <w:r>
              <w:rPr>
                <w:rFonts w:ascii="Arial" w:cs="Arial" w:eastAsia="Arial" w:hAnsi="Arial"/>
                <w:sz w:val="22"/>
                <w:szCs w:val="22"/>
                <w:b w:val="1"/>
                <w:bCs w:val="1"/>
                <w:color w:val="auto"/>
                <w:w w:val="99"/>
              </w:rPr>
              <w:t>Table of Functions &amp; Activities ....................................................................</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rPr>
              <w:t>9</w:t>
            </w:r>
          </w:p>
        </w:tc>
      </w:tr>
      <w:tr>
        <w:trPr>
          <w:trHeight w:val="619"/>
        </w:trPr>
        <w:tc>
          <w:tcPr>
            <w:tcW w:w="340" w:type="dxa"/>
            <w:vAlign w:val="bottom"/>
          </w:tcPr>
          <w:p>
            <w:pPr>
              <w:spacing w:after="0"/>
              <w:rPr>
                <w:sz w:val="20"/>
                <w:szCs w:val="20"/>
                <w:color w:val="auto"/>
              </w:rPr>
            </w:pPr>
            <w:r>
              <w:rPr>
                <w:rFonts w:ascii="Arial" w:cs="Arial" w:eastAsia="Arial" w:hAnsi="Arial"/>
                <w:sz w:val="22"/>
                <w:szCs w:val="22"/>
                <w:b w:val="1"/>
                <w:bCs w:val="1"/>
                <w:color w:val="auto"/>
              </w:rPr>
              <w:t>7</w:t>
            </w:r>
          </w:p>
        </w:tc>
        <w:tc>
          <w:tcPr>
            <w:tcW w:w="7640" w:type="dxa"/>
            <w:vAlign w:val="bottom"/>
            <w:gridSpan w:val="2"/>
          </w:tcPr>
          <w:p>
            <w:pPr>
              <w:ind w:left="220"/>
              <w:spacing w:after="0"/>
              <w:rPr>
                <w:sz w:val="20"/>
                <w:szCs w:val="20"/>
                <w:color w:val="auto"/>
              </w:rPr>
            </w:pPr>
            <w:r>
              <w:rPr>
                <w:rFonts w:ascii="Arial" w:cs="Arial" w:eastAsia="Arial" w:hAnsi="Arial"/>
                <w:sz w:val="22"/>
                <w:szCs w:val="22"/>
                <w:b w:val="1"/>
                <w:bCs w:val="1"/>
                <w:color w:val="auto"/>
              </w:rPr>
              <w:t>Retention &amp; Disposal Authority..................................................................</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w w:val="89"/>
              </w:rPr>
              <w:t>11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154940</wp:posOffset>
                </wp:positionH>
                <wp:positionV relativeFrom="paragraph">
                  <wp:posOffset>1911350</wp:posOffset>
                </wp:positionV>
                <wp:extent cx="538607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86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2pt,150.5pt" to="436.3pt,150.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158115</wp:posOffset>
                </wp:positionH>
                <wp:positionV relativeFrom="paragraph">
                  <wp:posOffset>1908175</wp:posOffset>
                </wp:positionV>
                <wp:extent cx="0" cy="118554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8554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5pt,150.25pt" to="12.45pt,243.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5537835</wp:posOffset>
                </wp:positionH>
                <wp:positionV relativeFrom="paragraph">
                  <wp:posOffset>1908175</wp:posOffset>
                </wp:positionV>
                <wp:extent cx="0" cy="118554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8554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6.05pt,150.25pt" to="436.05pt,243.6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360" w:right="720"/>
        <w:spacing w:after="0" w:line="247" w:lineRule="auto"/>
        <w:rPr>
          <w:sz w:val="20"/>
          <w:szCs w:val="20"/>
          <w:color w:val="auto"/>
        </w:rPr>
      </w:pPr>
      <w:r>
        <w:rPr>
          <w:rFonts w:ascii="Arial" w:cs="Arial" w:eastAsia="Arial" w:hAnsi="Arial"/>
          <w:sz w:val="20"/>
          <w:szCs w:val="20"/>
          <w:color w:val="auto"/>
        </w:rPr>
        <w:t xml:space="preserve">Under section 12 of the </w:t>
      </w:r>
      <w:r>
        <w:rPr>
          <w:rFonts w:ascii="Arial" w:cs="Arial" w:eastAsia="Arial" w:hAnsi="Arial"/>
          <w:sz w:val="20"/>
          <w:szCs w:val="20"/>
          <w:i w:val="1"/>
          <w:iCs w:val="1"/>
          <w:color w:val="auto"/>
        </w:rPr>
        <w:t>Public Records Act</w:t>
      </w:r>
      <w:r>
        <w:rPr>
          <w:rFonts w:ascii="Arial" w:cs="Arial" w:eastAsia="Arial" w:hAnsi="Arial"/>
          <w:sz w:val="20"/>
          <w:szCs w:val="20"/>
          <w:color w:val="auto"/>
        </w:rPr>
        <w:t xml:space="preserve"> 1973, the Keeper of Public Records is responsible for the establishment of standards for the efficient management of public records and for assisting public offices to apply those standards to records under their control. Officers in charge of public offices are responsible under section 13 of the Act for carrying out, with the advice and assistance of the Keeper, a program of records management in accordance with the standards established under section 12 of the Act.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154940</wp:posOffset>
                </wp:positionH>
                <wp:positionV relativeFrom="paragraph">
                  <wp:posOffset>136525</wp:posOffset>
                </wp:positionV>
                <wp:extent cx="538607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860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2pt,10.75pt" to="436.3pt,10.75pt" o:allowincell="f" strokecolor="#000000" strokeweight="0.48pt"/>
            </w:pict>
          </mc:Fallback>
        </mc:AlternateContent>
      </w:r>
    </w:p>
    <w:p>
      <w:pPr>
        <w:sectPr>
          <w:pgSz w:w="11900" w:h="16841" w:orient="portrait"/>
          <w:cols w:equalWidth="0" w:num="1">
            <w:col w:w="9280"/>
          </w:cols>
          <w:pgMar w:left="1440" w:top="704" w:right="1186" w:bottom="1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36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36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41" w:orient="portrait"/>
          <w:cols w:equalWidth="0" w:num="1">
            <w:col w:w="9280"/>
          </w:cols>
          <w:pgMar w:left="1440" w:top="704" w:right="1186" w:bottom="172" w:gutter="0" w:footer="0" w:header="0"/>
          <w:type w:val="continuous"/>
        </w:sectPr>
      </w:pPr>
    </w:p>
    <w:bookmarkStart w:id="4" w:name="page5"/>
    <w:bookmarkEnd w:id="4"/>
    <w:tbl>
      <w:tblPr>
        <w:tblLayout w:type="fixed"/>
        <w:tblInd w:w="360" w:type="dxa"/>
        <w:tblCellMar>
          <w:top w:w="0" w:type="dxa"/>
          <w:left w:w="0" w:type="dxa"/>
          <w:bottom w:w="0" w:type="dxa"/>
          <w:right w:w="0" w:type="dxa"/>
        </w:tblCellMar>
      </w:tblPr>
      <w:tr>
        <w:trPr>
          <w:trHeight w:val="214"/>
        </w:trPr>
        <w:tc>
          <w:tcPr>
            <w:tcW w:w="730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640" w:type="dxa"/>
            <w:vAlign w:val="bottom"/>
          </w:tcPr>
          <w:p>
            <w:pPr>
              <w:jc w:val="right"/>
              <w:spacing w:after="0"/>
              <w:rPr>
                <w:sz w:val="20"/>
                <w:szCs w:val="20"/>
                <w:color w:val="auto"/>
              </w:rPr>
            </w:pPr>
            <w:r>
              <w:rPr>
                <w:rFonts w:ascii="Arial" w:cs="Arial" w:eastAsia="Arial" w:hAnsi="Arial"/>
                <w:sz w:val="16"/>
                <w:szCs w:val="16"/>
                <w:color w:val="008080"/>
              </w:rPr>
              <w:t>5</w:t>
            </w:r>
          </w:p>
        </w:tc>
      </w:tr>
    </w:tbl>
    <w:p>
      <w:pPr>
        <w:spacing w:after="0" w:line="200" w:lineRule="exact"/>
        <w:rPr>
          <w:sz w:val="20"/>
          <w:szCs w:val="20"/>
          <w:color w:val="auto"/>
        </w:rPr>
      </w:pPr>
    </w:p>
    <w:p>
      <w:pPr>
        <w:spacing w:after="0" w:line="293" w:lineRule="exact"/>
        <w:rPr>
          <w:sz w:val="20"/>
          <w:szCs w:val="20"/>
          <w:color w:val="auto"/>
        </w:rPr>
      </w:pPr>
    </w:p>
    <w:p>
      <w:pPr>
        <w:ind w:left="360"/>
        <w:spacing w:after="0"/>
        <w:tabs>
          <w:tab w:leader="none" w:pos="1060" w:val="left"/>
        </w:tabs>
        <w:rPr>
          <w:sz w:val="20"/>
          <w:szCs w:val="20"/>
          <w:color w:val="auto"/>
        </w:rPr>
      </w:pPr>
      <w:r>
        <w:rPr>
          <w:rFonts w:ascii="Arial" w:cs="Arial" w:eastAsia="Arial" w:hAnsi="Arial"/>
          <w:sz w:val="36"/>
          <w:szCs w:val="36"/>
          <w:color w:val="008080"/>
        </w:rPr>
        <w:t>1</w:t>
        <w:tab/>
        <w:t>Introduction</w:t>
      </w:r>
    </w:p>
    <w:p>
      <w:pPr>
        <w:spacing w:after="0" w:line="241" w:lineRule="exact"/>
        <w:rPr>
          <w:sz w:val="20"/>
          <w:szCs w:val="20"/>
          <w:color w:val="auto"/>
        </w:rPr>
      </w:pPr>
    </w:p>
    <w:p>
      <w:pPr>
        <w:ind w:left="360"/>
        <w:spacing w:after="0"/>
        <w:tabs>
          <w:tab w:leader="none" w:pos="1060" w:val="left"/>
        </w:tabs>
        <w:rPr>
          <w:sz w:val="20"/>
          <w:szCs w:val="20"/>
          <w:color w:val="auto"/>
        </w:rPr>
      </w:pPr>
      <w:r>
        <w:rPr>
          <w:rFonts w:ascii="Arial" w:cs="Arial" w:eastAsia="Arial" w:hAnsi="Arial"/>
          <w:sz w:val="28"/>
          <w:szCs w:val="28"/>
          <w:b w:val="1"/>
          <w:bCs w:val="1"/>
          <w:color w:val="008080"/>
        </w:rPr>
        <w:t>1.1</w:t>
      </w:r>
      <w:r>
        <w:rPr>
          <w:sz w:val="20"/>
          <w:szCs w:val="20"/>
          <w:color w:val="auto"/>
        </w:rPr>
        <w:tab/>
      </w:r>
      <w:r>
        <w:rPr>
          <w:rFonts w:ascii="Arial" w:cs="Arial" w:eastAsia="Arial" w:hAnsi="Arial"/>
          <w:sz w:val="27"/>
          <w:szCs w:val="27"/>
          <w:b w:val="1"/>
          <w:bCs w:val="1"/>
          <w:color w:val="008080"/>
        </w:rPr>
        <w:t>Purpose of this Authority</w:t>
      </w:r>
    </w:p>
    <w:p>
      <w:pPr>
        <w:spacing w:after="0" w:line="217" w:lineRule="exact"/>
        <w:rPr>
          <w:sz w:val="20"/>
          <w:szCs w:val="20"/>
          <w:color w:val="auto"/>
        </w:rPr>
      </w:pPr>
    </w:p>
    <w:p>
      <w:pPr>
        <w:ind w:left="360" w:right="600"/>
        <w:spacing w:after="0" w:line="350" w:lineRule="auto"/>
        <w:rPr>
          <w:sz w:val="20"/>
          <w:szCs w:val="20"/>
          <w:color w:val="auto"/>
        </w:rPr>
      </w:pPr>
      <w:r>
        <w:rPr>
          <w:rFonts w:ascii="Arial" w:cs="Arial" w:eastAsia="Arial" w:hAnsi="Arial"/>
          <w:sz w:val="22"/>
          <w:szCs w:val="22"/>
          <w:color w:val="auto"/>
        </w:rPr>
        <w:t xml:space="preserve">The purpose of this Authority is to provide a mechanism for the disposal of public records in accordance with the </w:t>
      </w:r>
      <w:r>
        <w:rPr>
          <w:rFonts w:ascii="Arial" w:cs="Arial" w:eastAsia="Arial" w:hAnsi="Arial"/>
          <w:sz w:val="22"/>
          <w:szCs w:val="22"/>
          <w:i w:val="1"/>
          <w:iCs w:val="1"/>
          <w:color w:val="auto"/>
        </w:rPr>
        <w:t>Public Records Act</w:t>
      </w:r>
      <w:r>
        <w:rPr>
          <w:rFonts w:ascii="Arial" w:cs="Arial" w:eastAsia="Arial" w:hAnsi="Arial"/>
          <w:sz w:val="22"/>
          <w:szCs w:val="22"/>
          <w:color w:val="auto"/>
        </w:rPr>
        <w:t xml:space="preserve"> 1973. The Authority:</w:t>
      </w:r>
    </w:p>
    <w:p>
      <w:pPr>
        <w:spacing w:after="0" w:line="222" w:lineRule="exact"/>
        <w:rPr>
          <w:sz w:val="20"/>
          <w:szCs w:val="20"/>
          <w:color w:val="auto"/>
        </w:rPr>
      </w:pPr>
    </w:p>
    <w:p>
      <w:pPr>
        <w:ind w:left="640" w:right="600" w:hanging="282"/>
        <w:spacing w:after="0" w:line="304" w:lineRule="auto"/>
        <w:tabs>
          <w:tab w:leader="none" w:pos="640" w:val="left"/>
        </w:tabs>
        <w:numPr>
          <w:ilvl w:val="0"/>
          <w:numId w:val="1"/>
        </w:numPr>
        <w:rPr>
          <w:rFonts w:ascii="Arial" w:cs="Arial" w:eastAsia="Arial" w:hAnsi="Arial"/>
          <w:sz w:val="22"/>
          <w:szCs w:val="22"/>
          <w:color w:val="auto"/>
        </w:rPr>
      </w:pPr>
      <w:r>
        <w:rPr>
          <w:rFonts w:ascii="Arial" w:cs="Arial" w:eastAsia="Arial" w:hAnsi="Arial"/>
          <w:sz w:val="22"/>
          <w:szCs w:val="22"/>
          <w:color w:val="auto"/>
        </w:rPr>
        <w:t>identifies records which are worth preserving permanently as part of Victoria’s archival heritage</w:t>
      </w:r>
    </w:p>
    <w:p>
      <w:pPr>
        <w:jc w:val="both"/>
        <w:ind w:left="640" w:right="600" w:hanging="282"/>
        <w:spacing w:after="0" w:line="303" w:lineRule="auto"/>
        <w:tabs>
          <w:tab w:leader="none" w:pos="640" w:val="left"/>
        </w:tabs>
        <w:numPr>
          <w:ilvl w:val="0"/>
          <w:numId w:val="1"/>
        </w:numPr>
        <w:rPr>
          <w:rFonts w:ascii="Arial" w:cs="Arial" w:eastAsia="Arial" w:hAnsi="Arial"/>
          <w:sz w:val="22"/>
          <w:szCs w:val="22"/>
          <w:color w:val="auto"/>
        </w:rPr>
      </w:pPr>
      <w:r>
        <w:rPr>
          <w:rFonts w:ascii="Arial" w:cs="Arial" w:eastAsia="Arial" w:hAnsi="Arial"/>
          <w:sz w:val="22"/>
          <w:szCs w:val="22"/>
          <w:color w:val="auto"/>
        </w:rPr>
        <w:t>prevents the premature destruction of records which need to be retained for a specified period to satisfy legal, financial and other requirements of public administration, and</w:t>
      </w:r>
    </w:p>
    <w:p>
      <w:pPr>
        <w:spacing w:after="0" w:line="2" w:lineRule="exact"/>
        <w:rPr>
          <w:rFonts w:ascii="Arial" w:cs="Arial" w:eastAsia="Arial" w:hAnsi="Arial"/>
          <w:sz w:val="22"/>
          <w:szCs w:val="22"/>
          <w:color w:val="auto"/>
        </w:rPr>
      </w:pPr>
    </w:p>
    <w:p>
      <w:pPr>
        <w:ind w:left="640" w:hanging="282"/>
        <w:spacing w:after="0"/>
        <w:tabs>
          <w:tab w:leader="none" w:pos="640" w:val="left"/>
        </w:tabs>
        <w:numPr>
          <w:ilvl w:val="0"/>
          <w:numId w:val="1"/>
        </w:numPr>
        <w:rPr>
          <w:rFonts w:ascii="Arial" w:cs="Arial" w:eastAsia="Arial" w:hAnsi="Arial"/>
          <w:sz w:val="22"/>
          <w:szCs w:val="22"/>
          <w:color w:val="auto"/>
        </w:rPr>
      </w:pPr>
      <w:r>
        <w:rPr>
          <w:rFonts w:ascii="Arial" w:cs="Arial" w:eastAsia="Arial" w:hAnsi="Arial"/>
          <w:sz w:val="22"/>
          <w:szCs w:val="22"/>
          <w:color w:val="auto"/>
        </w:rPr>
        <w:t>authorises the destruction of those records not required permanently.</w:t>
      </w:r>
    </w:p>
    <w:p>
      <w:pPr>
        <w:spacing w:after="0" w:line="200" w:lineRule="exact"/>
        <w:rPr>
          <w:sz w:val="20"/>
          <w:szCs w:val="20"/>
          <w:color w:val="auto"/>
        </w:rPr>
      </w:pPr>
    </w:p>
    <w:p>
      <w:pPr>
        <w:spacing w:after="0" w:line="349" w:lineRule="exact"/>
        <w:rPr>
          <w:sz w:val="20"/>
          <w:szCs w:val="20"/>
          <w:color w:val="auto"/>
        </w:rPr>
      </w:pPr>
    </w:p>
    <w:p>
      <w:pPr>
        <w:ind w:left="360"/>
        <w:spacing w:after="0"/>
        <w:tabs>
          <w:tab w:leader="none" w:pos="1060" w:val="left"/>
        </w:tabs>
        <w:rPr>
          <w:sz w:val="20"/>
          <w:szCs w:val="20"/>
          <w:color w:val="auto"/>
        </w:rPr>
      </w:pPr>
      <w:r>
        <w:rPr>
          <w:rFonts w:ascii="Arial" w:cs="Arial" w:eastAsia="Arial" w:hAnsi="Arial"/>
          <w:sz w:val="28"/>
          <w:szCs w:val="28"/>
          <w:b w:val="1"/>
          <w:bCs w:val="1"/>
          <w:color w:val="008080"/>
        </w:rPr>
        <w:t>1.2</w:t>
      </w:r>
      <w:r>
        <w:rPr>
          <w:sz w:val="20"/>
          <w:szCs w:val="20"/>
          <w:color w:val="auto"/>
        </w:rPr>
        <w:tab/>
      </w:r>
      <w:r>
        <w:rPr>
          <w:rFonts w:ascii="Arial" w:cs="Arial" w:eastAsia="Arial" w:hAnsi="Arial"/>
          <w:sz w:val="27"/>
          <w:szCs w:val="27"/>
          <w:b w:val="1"/>
          <w:bCs w:val="1"/>
          <w:color w:val="008080"/>
        </w:rPr>
        <w:t>Context of this Authority</w:t>
      </w:r>
    </w:p>
    <w:p>
      <w:pPr>
        <w:spacing w:after="0" w:line="200" w:lineRule="exact"/>
        <w:rPr>
          <w:sz w:val="20"/>
          <w:szCs w:val="20"/>
          <w:color w:val="auto"/>
        </w:rPr>
      </w:pPr>
    </w:p>
    <w:p>
      <w:pPr>
        <w:spacing w:after="0" w:line="211" w:lineRule="exact"/>
        <w:rPr>
          <w:sz w:val="20"/>
          <w:szCs w:val="20"/>
          <w:color w:val="auto"/>
        </w:rPr>
      </w:pPr>
    </w:p>
    <w:p>
      <w:pPr>
        <w:ind w:left="360"/>
        <w:spacing w:after="0"/>
        <w:tabs>
          <w:tab w:leader="none" w:pos="1060" w:val="left"/>
        </w:tabs>
        <w:rPr>
          <w:sz w:val="20"/>
          <w:szCs w:val="20"/>
          <w:color w:val="auto"/>
        </w:rPr>
      </w:pPr>
      <w:r>
        <w:rPr>
          <w:rFonts w:ascii="Arial" w:cs="Arial" w:eastAsia="Arial" w:hAnsi="Arial"/>
          <w:sz w:val="22"/>
          <w:szCs w:val="22"/>
          <w:b w:val="1"/>
          <w:bCs w:val="1"/>
          <w:color w:val="008080"/>
        </w:rPr>
        <w:t>1.2.1</w:t>
      </w:r>
      <w:r>
        <w:rPr>
          <w:sz w:val="20"/>
          <w:szCs w:val="20"/>
          <w:color w:val="auto"/>
        </w:rPr>
        <w:tab/>
      </w:r>
      <w:r>
        <w:rPr>
          <w:rFonts w:ascii="Arial" w:cs="Arial" w:eastAsia="Arial" w:hAnsi="Arial"/>
          <w:sz w:val="21"/>
          <w:szCs w:val="21"/>
          <w:b w:val="1"/>
          <w:bCs w:val="1"/>
          <w:color w:val="008080"/>
        </w:rPr>
        <w:t>Public Record Office Victoria Standards</w:t>
      </w:r>
    </w:p>
    <w:p>
      <w:pPr>
        <w:spacing w:after="0" w:line="191" w:lineRule="exact"/>
        <w:rPr>
          <w:sz w:val="20"/>
          <w:szCs w:val="20"/>
          <w:color w:val="auto"/>
        </w:rPr>
      </w:pPr>
    </w:p>
    <w:p>
      <w:pPr>
        <w:jc w:val="both"/>
        <w:ind w:left="360" w:right="600"/>
        <w:spacing w:after="0" w:line="313" w:lineRule="auto"/>
        <w:rPr>
          <w:rFonts w:ascii="Arial" w:cs="Arial" w:eastAsia="Arial" w:hAnsi="Arial"/>
          <w:sz w:val="22"/>
          <w:szCs w:val="22"/>
          <w:u w:val="single" w:color="auto"/>
          <w:color w:val="0000FF"/>
        </w:rPr>
      </w:pPr>
      <w:r>
        <w:rPr>
          <w:rFonts w:ascii="Arial" w:cs="Arial" w:eastAsia="Arial" w:hAnsi="Arial"/>
          <w:sz w:val="22"/>
          <w:szCs w:val="22"/>
          <w:color w:val="auto"/>
        </w:rPr>
        <w:t xml:space="preserve">This Authority should be used in conjunction with the standards issued by the Keeper of Public Records under section 12 of the </w:t>
      </w:r>
      <w:r>
        <w:rPr>
          <w:rFonts w:ascii="Arial" w:cs="Arial" w:eastAsia="Arial" w:hAnsi="Arial"/>
          <w:sz w:val="22"/>
          <w:szCs w:val="22"/>
          <w:i w:val="1"/>
          <w:iCs w:val="1"/>
          <w:color w:val="auto"/>
        </w:rPr>
        <w:t>Public Records Act</w:t>
      </w:r>
      <w:r>
        <w:rPr>
          <w:rFonts w:ascii="Arial" w:cs="Arial" w:eastAsia="Arial" w:hAnsi="Arial"/>
          <w:sz w:val="22"/>
          <w:szCs w:val="22"/>
          <w:color w:val="auto"/>
        </w:rPr>
        <w:t xml:space="preserve"> 1973. Copies of all relevant PROV standards, specifications and regulatory advice can be downloaded from </w:t>
      </w:r>
      <w:hyperlink r:id="rId16">
        <w:r>
          <w:rPr>
            <w:rFonts w:ascii="Arial" w:cs="Arial" w:eastAsia="Arial" w:hAnsi="Arial"/>
            <w:sz w:val="22"/>
            <w:szCs w:val="22"/>
            <w:u w:val="single" w:color="auto"/>
            <w:color w:val="0000FF"/>
          </w:rPr>
          <w:t>www.prov.vic.gov.au</w:t>
        </w:r>
        <w:r>
          <w:rPr>
            <w:rFonts w:ascii="Arial" w:cs="Arial" w:eastAsia="Arial" w:hAnsi="Arial"/>
            <w:sz w:val="22"/>
            <w:szCs w:val="22"/>
            <w:color w:val="000000"/>
          </w:rPr>
          <w:t xml:space="preserve">. </w:t>
        </w:r>
      </w:hyperlink>
      <w:r>
        <w:rPr>
          <w:rFonts w:ascii="Arial" w:cs="Arial" w:eastAsia="Arial" w:hAnsi="Arial"/>
          <w:sz w:val="22"/>
          <w:szCs w:val="22"/>
          <w:u w:val="single" w:color="auto"/>
          <w:color w:val="0000FF"/>
        </w:rPr>
        <w:t>These</w:t>
      </w:r>
      <w:r>
        <w:rPr>
          <w:rFonts w:ascii="Arial" w:cs="Arial" w:eastAsia="Arial" w:hAnsi="Arial"/>
          <w:sz w:val="22"/>
          <w:szCs w:val="22"/>
          <w:color w:val="000000"/>
        </w:rPr>
        <w:t xml:space="preserve"> documents set out the procedures that must be followed</w:t>
      </w:r>
      <w:r>
        <w:rPr>
          <w:rFonts w:ascii="Arial" w:cs="Arial" w:eastAsia="Arial" w:hAnsi="Arial"/>
          <w:sz w:val="22"/>
          <w:szCs w:val="22"/>
          <w:u w:val="single" w:color="auto"/>
          <w:color w:val="0000FF"/>
        </w:rPr>
        <w:t xml:space="preserve"> </w:t>
      </w:r>
      <w:r>
        <w:rPr>
          <w:rFonts w:ascii="Arial" w:cs="Arial" w:eastAsia="Arial" w:hAnsi="Arial"/>
          <w:sz w:val="22"/>
          <w:szCs w:val="22"/>
          <w:color w:val="000000"/>
        </w:rPr>
        <w:t>by Victorian public offices.</w:t>
      </w:r>
    </w:p>
    <w:p>
      <w:pPr>
        <w:spacing w:after="0" w:line="200" w:lineRule="exact"/>
        <w:rPr>
          <w:sz w:val="20"/>
          <w:szCs w:val="20"/>
          <w:color w:val="auto"/>
        </w:rPr>
      </w:pPr>
    </w:p>
    <w:p>
      <w:pPr>
        <w:spacing w:after="0" w:line="385" w:lineRule="exact"/>
        <w:rPr>
          <w:sz w:val="20"/>
          <w:szCs w:val="20"/>
          <w:color w:val="auto"/>
        </w:rPr>
      </w:pPr>
    </w:p>
    <w:p>
      <w:pPr>
        <w:ind w:left="360"/>
        <w:spacing w:after="0"/>
        <w:tabs>
          <w:tab w:leader="none" w:pos="1060" w:val="left"/>
        </w:tabs>
        <w:rPr>
          <w:sz w:val="20"/>
          <w:szCs w:val="20"/>
          <w:color w:val="auto"/>
        </w:rPr>
      </w:pPr>
      <w:r>
        <w:rPr>
          <w:rFonts w:ascii="Arial" w:cs="Arial" w:eastAsia="Arial" w:hAnsi="Arial"/>
          <w:sz w:val="22"/>
          <w:szCs w:val="22"/>
          <w:b w:val="1"/>
          <w:bCs w:val="1"/>
          <w:color w:val="008080"/>
        </w:rPr>
        <w:t>1.2.2</w:t>
      </w:r>
      <w:r>
        <w:rPr>
          <w:sz w:val="20"/>
          <w:szCs w:val="20"/>
          <w:color w:val="auto"/>
        </w:rPr>
        <w:tab/>
      </w:r>
      <w:r>
        <w:rPr>
          <w:rFonts w:ascii="Arial" w:cs="Arial" w:eastAsia="Arial" w:hAnsi="Arial"/>
          <w:sz w:val="21"/>
          <w:szCs w:val="21"/>
          <w:b w:val="1"/>
          <w:bCs w:val="1"/>
          <w:color w:val="008080"/>
        </w:rPr>
        <w:t>Disposal of records identified in the Authority</w:t>
      </w:r>
    </w:p>
    <w:p>
      <w:pPr>
        <w:spacing w:after="0" w:line="194" w:lineRule="exact"/>
        <w:rPr>
          <w:sz w:val="20"/>
          <w:szCs w:val="20"/>
          <w:color w:val="auto"/>
        </w:rPr>
      </w:pPr>
    </w:p>
    <w:p>
      <w:pPr>
        <w:jc w:val="both"/>
        <w:ind w:left="360" w:right="600"/>
        <w:spacing w:after="0" w:line="340" w:lineRule="auto"/>
        <w:rPr>
          <w:sz w:val="20"/>
          <w:szCs w:val="20"/>
          <w:color w:val="auto"/>
        </w:rPr>
      </w:pPr>
      <w:r>
        <w:rPr>
          <w:rFonts w:ascii="Arial" w:cs="Arial" w:eastAsia="Arial" w:hAnsi="Arial"/>
          <w:sz w:val="22"/>
          <w:szCs w:val="22"/>
          <w:color w:val="auto"/>
        </w:rPr>
        <w:t xml:space="preserve">Disposal of public records identified in this Authority must also be in accordance with the requirements of Public Record Office Standard PROS 10/13 </w:t>
      </w:r>
      <w:r>
        <w:rPr>
          <w:rFonts w:ascii="Arial" w:cs="Arial" w:eastAsia="Arial" w:hAnsi="Arial"/>
          <w:sz w:val="22"/>
          <w:szCs w:val="22"/>
          <w:i w:val="1"/>
          <w:iCs w:val="1"/>
          <w:color w:val="auto"/>
        </w:rPr>
        <w:t>Disposal</w:t>
      </w:r>
      <w:r>
        <w:rPr>
          <w:rFonts w:ascii="Arial" w:cs="Arial" w:eastAsia="Arial" w:hAnsi="Arial"/>
          <w:sz w:val="22"/>
          <w:szCs w:val="22"/>
          <w:color w:val="auto"/>
        </w:rPr>
        <w:t>.</w:t>
      </w:r>
    </w:p>
    <w:p>
      <w:pPr>
        <w:spacing w:after="0" w:line="200" w:lineRule="exact"/>
        <w:rPr>
          <w:sz w:val="20"/>
          <w:szCs w:val="20"/>
          <w:color w:val="auto"/>
        </w:rPr>
      </w:pPr>
    </w:p>
    <w:p>
      <w:pPr>
        <w:spacing w:after="0" w:line="358" w:lineRule="exact"/>
        <w:rPr>
          <w:sz w:val="20"/>
          <w:szCs w:val="20"/>
          <w:color w:val="auto"/>
        </w:rPr>
      </w:pPr>
    </w:p>
    <w:p>
      <w:pPr>
        <w:ind w:left="360"/>
        <w:spacing w:after="0"/>
        <w:tabs>
          <w:tab w:leader="none" w:pos="1060" w:val="left"/>
        </w:tabs>
        <w:rPr>
          <w:sz w:val="20"/>
          <w:szCs w:val="20"/>
          <w:color w:val="auto"/>
        </w:rPr>
      </w:pPr>
      <w:r>
        <w:rPr>
          <w:rFonts w:ascii="Arial" w:cs="Arial" w:eastAsia="Arial" w:hAnsi="Arial"/>
          <w:sz w:val="22"/>
          <w:szCs w:val="22"/>
          <w:b w:val="1"/>
          <w:bCs w:val="1"/>
          <w:color w:val="008080"/>
        </w:rPr>
        <w:t>1.2.3</w:t>
        <w:tab/>
        <w:t>Transfer of records to Public Record Office Victoria</w:t>
      </w:r>
    </w:p>
    <w:p>
      <w:pPr>
        <w:spacing w:after="0" w:line="194" w:lineRule="exact"/>
        <w:rPr>
          <w:sz w:val="20"/>
          <w:szCs w:val="20"/>
          <w:color w:val="auto"/>
        </w:rPr>
      </w:pPr>
    </w:p>
    <w:p>
      <w:pPr>
        <w:jc w:val="both"/>
        <w:ind w:left="360" w:right="600"/>
        <w:spacing w:after="0" w:line="340" w:lineRule="auto"/>
        <w:rPr>
          <w:sz w:val="20"/>
          <w:szCs w:val="20"/>
          <w:color w:val="auto"/>
        </w:rPr>
      </w:pPr>
      <w:r>
        <w:rPr>
          <w:rFonts w:ascii="Arial" w:cs="Arial" w:eastAsia="Arial" w:hAnsi="Arial"/>
          <w:sz w:val="22"/>
          <w:szCs w:val="22"/>
          <w:color w:val="auto"/>
        </w:rPr>
        <w:t>Contact Public Record Office Victoria for further information on procedures for transferring permanent records to archival custody.</w:t>
      </w:r>
    </w:p>
    <w:p>
      <w:pPr>
        <w:sectPr>
          <w:pgSz w:w="11900" w:h="16841" w:orient="portrait"/>
          <w:cols w:equalWidth="0" w:num="1">
            <w:col w:w="9280"/>
          </w:cols>
          <w:pgMar w:left="1440" w:top="704" w:right="1186" w:bottom="1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36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36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41" w:orient="portrait"/>
          <w:cols w:equalWidth="0" w:num="1">
            <w:col w:w="9280"/>
          </w:cols>
          <w:pgMar w:left="1440" w:top="704" w:right="1186" w:bottom="172" w:gutter="0" w:footer="0" w:header="0"/>
          <w:type w:val="continuous"/>
        </w:sectPr>
      </w:pPr>
    </w:p>
    <w:bookmarkStart w:id="5" w:name="page6"/>
    <w:bookmarkEnd w:id="5"/>
    <w:tbl>
      <w:tblPr>
        <w:tblLayout w:type="fixed"/>
        <w:tblInd w:w="360" w:type="dxa"/>
        <w:tblCellMar>
          <w:top w:w="0" w:type="dxa"/>
          <w:left w:w="0" w:type="dxa"/>
          <w:bottom w:w="0" w:type="dxa"/>
          <w:right w:w="0" w:type="dxa"/>
        </w:tblCellMar>
      </w:tblPr>
      <w:tr>
        <w:trPr>
          <w:trHeight w:val="214"/>
        </w:trPr>
        <w:tc>
          <w:tcPr>
            <w:tcW w:w="730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640" w:type="dxa"/>
            <w:vAlign w:val="bottom"/>
          </w:tcPr>
          <w:p>
            <w:pPr>
              <w:jc w:val="right"/>
              <w:spacing w:after="0"/>
              <w:rPr>
                <w:sz w:val="20"/>
                <w:szCs w:val="20"/>
                <w:color w:val="auto"/>
              </w:rPr>
            </w:pPr>
            <w:r>
              <w:rPr>
                <w:rFonts w:ascii="Arial" w:cs="Arial" w:eastAsia="Arial" w:hAnsi="Arial"/>
                <w:sz w:val="16"/>
                <w:szCs w:val="16"/>
                <w:color w:val="008080"/>
              </w:rPr>
              <w:t>6</w:t>
            </w:r>
          </w:p>
        </w:tc>
      </w:tr>
    </w:tbl>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360"/>
        <w:spacing w:after="0"/>
        <w:tabs>
          <w:tab w:leader="none" w:pos="1060" w:val="left"/>
        </w:tabs>
        <w:rPr>
          <w:sz w:val="20"/>
          <w:szCs w:val="20"/>
          <w:color w:val="auto"/>
        </w:rPr>
      </w:pPr>
      <w:r>
        <w:rPr>
          <w:rFonts w:ascii="Arial" w:cs="Arial" w:eastAsia="Arial" w:hAnsi="Arial"/>
          <w:sz w:val="22"/>
          <w:szCs w:val="22"/>
          <w:b w:val="1"/>
          <w:bCs w:val="1"/>
          <w:color w:val="008080"/>
        </w:rPr>
        <w:t>1.2.4</w:t>
        <w:tab/>
        <w:t xml:space="preserve">The </w:t>
      </w:r>
      <w:r>
        <w:rPr>
          <w:rFonts w:ascii="Arial" w:cs="Arial" w:eastAsia="Arial" w:hAnsi="Arial"/>
          <w:sz w:val="22"/>
          <w:szCs w:val="22"/>
          <w:b w:val="1"/>
          <w:bCs w:val="1"/>
          <w:i w:val="1"/>
          <w:iCs w:val="1"/>
          <w:color w:val="008080"/>
        </w:rPr>
        <w:t>Crimes (Document Destruction) Act</w:t>
      </w:r>
      <w:r>
        <w:rPr>
          <w:rFonts w:ascii="Arial" w:cs="Arial" w:eastAsia="Arial" w:hAnsi="Arial"/>
          <w:sz w:val="22"/>
          <w:szCs w:val="22"/>
          <w:b w:val="1"/>
          <w:bCs w:val="1"/>
          <w:color w:val="008080"/>
        </w:rPr>
        <w:t xml:space="preserve"> 2006</w:t>
      </w:r>
    </w:p>
    <w:p>
      <w:pPr>
        <w:spacing w:after="0" w:line="194" w:lineRule="exact"/>
        <w:rPr>
          <w:sz w:val="20"/>
          <w:szCs w:val="20"/>
          <w:color w:val="auto"/>
        </w:rPr>
      </w:pPr>
    </w:p>
    <w:p>
      <w:pPr>
        <w:jc w:val="both"/>
        <w:ind w:left="360" w:right="600"/>
        <w:spacing w:after="0" w:line="330" w:lineRule="auto"/>
        <w:rPr>
          <w:sz w:val="20"/>
          <w:szCs w:val="20"/>
          <w:color w:val="auto"/>
        </w:rPr>
      </w:pPr>
      <w:r>
        <w:rPr>
          <w:rFonts w:ascii="Arial" w:cs="Arial" w:eastAsia="Arial" w:hAnsi="Arial"/>
          <w:sz w:val="21"/>
          <w:szCs w:val="21"/>
          <w:color w:val="auto"/>
        </w:rPr>
        <w:t xml:space="preserve">It is an offence under the </w:t>
      </w:r>
      <w:r>
        <w:rPr>
          <w:rFonts w:ascii="Arial" w:cs="Arial" w:eastAsia="Arial" w:hAnsi="Arial"/>
          <w:sz w:val="21"/>
          <w:szCs w:val="21"/>
          <w:i w:val="1"/>
          <w:iCs w:val="1"/>
          <w:color w:val="auto"/>
        </w:rPr>
        <w:t>Crimes (Document Destruction) Act</w:t>
      </w:r>
      <w:r>
        <w:rPr>
          <w:rFonts w:ascii="Arial" w:cs="Arial" w:eastAsia="Arial" w:hAnsi="Arial"/>
          <w:sz w:val="21"/>
          <w:szCs w:val="21"/>
          <w:color w:val="auto"/>
        </w:rPr>
        <w:t xml:space="preserve"> 2006 for individuals or organisations to destroy documents that they know are reasonably likely to be required in a future legal proceeding, with the intention of keeping the documents out of evidence. Destroying records however in accordance with a valid Authority is lawful as long as the requirements under the </w:t>
      </w:r>
      <w:r>
        <w:rPr>
          <w:rFonts w:ascii="Arial" w:cs="Arial" w:eastAsia="Arial" w:hAnsi="Arial"/>
          <w:sz w:val="21"/>
          <w:szCs w:val="21"/>
          <w:i w:val="1"/>
          <w:iCs w:val="1"/>
          <w:color w:val="auto"/>
        </w:rPr>
        <w:t>Crimes (Document Destruction) Act</w:t>
      </w:r>
      <w:r>
        <w:rPr>
          <w:rFonts w:ascii="Arial" w:cs="Arial" w:eastAsia="Arial" w:hAnsi="Arial"/>
          <w:sz w:val="21"/>
          <w:szCs w:val="21"/>
          <w:color w:val="auto"/>
        </w:rPr>
        <w:t xml:space="preserve"> 2006 are met.</w:t>
      </w:r>
    </w:p>
    <w:p>
      <w:pPr>
        <w:spacing w:after="0" w:line="59" w:lineRule="exact"/>
        <w:rPr>
          <w:sz w:val="20"/>
          <w:szCs w:val="20"/>
          <w:color w:val="auto"/>
        </w:rPr>
      </w:pPr>
    </w:p>
    <w:p>
      <w:pPr>
        <w:jc w:val="both"/>
        <w:ind w:left="360" w:right="600"/>
        <w:spacing w:after="0" w:line="316" w:lineRule="auto"/>
        <w:rPr>
          <w:sz w:val="20"/>
          <w:szCs w:val="20"/>
          <w:color w:val="auto"/>
        </w:rPr>
      </w:pPr>
      <w:r>
        <w:rPr>
          <w:rFonts w:ascii="Arial" w:cs="Arial" w:eastAsia="Arial" w:hAnsi="Arial"/>
          <w:sz w:val="22"/>
          <w:szCs w:val="22"/>
          <w:color w:val="auto"/>
        </w:rPr>
        <w:t xml:space="preserve">PROV strongly advises that all agencies familiarise themselves with the requirements under the </w:t>
      </w:r>
      <w:r>
        <w:rPr>
          <w:rFonts w:ascii="Arial" w:cs="Arial" w:eastAsia="Arial" w:hAnsi="Arial"/>
          <w:sz w:val="22"/>
          <w:szCs w:val="22"/>
          <w:i w:val="1"/>
          <w:iCs w:val="1"/>
          <w:color w:val="auto"/>
        </w:rPr>
        <w:t>Crimes (Document Destruction) Act</w:t>
      </w:r>
      <w:r>
        <w:rPr>
          <w:rFonts w:ascii="Arial" w:cs="Arial" w:eastAsia="Arial" w:hAnsi="Arial"/>
          <w:sz w:val="22"/>
          <w:szCs w:val="22"/>
          <w:color w:val="auto"/>
        </w:rPr>
        <w:t xml:space="preserve"> 2006 and </w:t>
      </w:r>
      <w:r>
        <w:rPr>
          <w:rFonts w:ascii="Arial" w:cs="Arial" w:eastAsia="Arial" w:hAnsi="Arial"/>
          <w:sz w:val="22"/>
          <w:szCs w:val="22"/>
          <w:i w:val="1"/>
          <w:iCs w:val="1"/>
          <w:color w:val="auto"/>
        </w:rPr>
        <w:t>Evidence (Document Unavailability) Act</w:t>
      </w:r>
      <w:r>
        <w:rPr>
          <w:rFonts w:ascii="Arial" w:cs="Arial" w:eastAsia="Arial" w:hAnsi="Arial"/>
          <w:sz w:val="22"/>
          <w:szCs w:val="22"/>
          <w:color w:val="auto"/>
        </w:rPr>
        <w:t xml:space="preserve"> 2006, and PROV Advice to Agencies 18</w:t>
      </w:r>
      <w:r>
        <w:rPr>
          <w:rFonts w:ascii="Arial" w:cs="Arial" w:eastAsia="Arial" w:hAnsi="Arial"/>
          <w:sz w:val="22"/>
          <w:szCs w:val="22"/>
          <w:i w:val="1"/>
          <w:iCs w:val="1"/>
          <w:color w:val="auto"/>
        </w:rPr>
        <w:t>: Crimes (Document Destruction) Act 2006: Implications for government recordkeeping</w:t>
      </w:r>
      <w:r>
        <w:rPr>
          <w:rFonts w:ascii="Arial" w:cs="Arial" w:eastAsia="Arial" w:hAnsi="Arial"/>
          <w:sz w:val="22"/>
          <w:szCs w:val="22"/>
          <w:color w:val="auto"/>
        </w:rPr>
        <w:t>.</w:t>
      </w:r>
    </w:p>
    <w:p>
      <w:pPr>
        <w:spacing w:after="0" w:line="200" w:lineRule="exact"/>
        <w:rPr>
          <w:sz w:val="20"/>
          <w:szCs w:val="20"/>
          <w:color w:val="auto"/>
        </w:rPr>
      </w:pPr>
    </w:p>
    <w:p>
      <w:pPr>
        <w:spacing w:after="0" w:line="383" w:lineRule="exact"/>
        <w:rPr>
          <w:sz w:val="20"/>
          <w:szCs w:val="20"/>
          <w:color w:val="auto"/>
        </w:rPr>
      </w:pPr>
    </w:p>
    <w:p>
      <w:pPr>
        <w:ind w:left="360"/>
        <w:spacing w:after="0"/>
        <w:tabs>
          <w:tab w:leader="none" w:pos="1060" w:val="left"/>
        </w:tabs>
        <w:rPr>
          <w:sz w:val="20"/>
          <w:szCs w:val="20"/>
          <w:color w:val="auto"/>
        </w:rPr>
      </w:pPr>
      <w:r>
        <w:rPr>
          <w:rFonts w:ascii="Arial" w:cs="Arial" w:eastAsia="Arial" w:hAnsi="Arial"/>
          <w:sz w:val="22"/>
          <w:szCs w:val="22"/>
          <w:b w:val="1"/>
          <w:bCs w:val="1"/>
          <w:color w:val="008080"/>
        </w:rPr>
        <w:t>1.2.5</w:t>
      </w:r>
      <w:r>
        <w:rPr>
          <w:sz w:val="20"/>
          <w:szCs w:val="20"/>
          <w:color w:val="auto"/>
        </w:rPr>
        <w:tab/>
      </w:r>
      <w:r>
        <w:rPr>
          <w:rFonts w:ascii="Arial" w:cs="Arial" w:eastAsia="Arial" w:hAnsi="Arial"/>
          <w:sz w:val="21"/>
          <w:szCs w:val="21"/>
          <w:b w:val="1"/>
          <w:bCs w:val="1"/>
          <w:color w:val="008080"/>
        </w:rPr>
        <w:t>Normal Administrative Practice</w:t>
      </w:r>
    </w:p>
    <w:p>
      <w:pPr>
        <w:spacing w:after="0" w:line="194" w:lineRule="exact"/>
        <w:rPr>
          <w:sz w:val="20"/>
          <w:szCs w:val="20"/>
          <w:color w:val="auto"/>
        </w:rPr>
      </w:pPr>
    </w:p>
    <w:p>
      <w:pPr>
        <w:jc w:val="both"/>
        <w:ind w:left="360" w:right="600"/>
        <w:spacing w:after="0" w:line="316" w:lineRule="auto"/>
        <w:rPr>
          <w:sz w:val="20"/>
          <w:szCs w:val="20"/>
          <w:color w:val="auto"/>
        </w:rPr>
      </w:pPr>
      <w:r>
        <w:rPr>
          <w:rFonts w:ascii="Arial" w:cs="Arial" w:eastAsia="Arial" w:hAnsi="Arial"/>
          <w:sz w:val="22"/>
          <w:szCs w:val="22"/>
          <w:color w:val="auto"/>
        </w:rPr>
        <w:t>The destruction of some public records is permitted without final authorisation under normal administrative practice (NAP). NAP covers the destruction of ephemeral material of a facilitative nature created, acquired or collected by public officers during the course of their duties.</w:t>
      </w:r>
    </w:p>
    <w:p>
      <w:pPr>
        <w:spacing w:after="0" w:line="67" w:lineRule="exact"/>
        <w:rPr>
          <w:sz w:val="20"/>
          <w:szCs w:val="20"/>
          <w:color w:val="auto"/>
        </w:rPr>
      </w:pPr>
    </w:p>
    <w:p>
      <w:pPr>
        <w:ind w:left="360"/>
        <w:spacing w:after="0"/>
        <w:rPr>
          <w:sz w:val="20"/>
          <w:szCs w:val="20"/>
          <w:color w:val="auto"/>
        </w:rPr>
      </w:pPr>
      <w:r>
        <w:rPr>
          <w:rFonts w:ascii="Arial" w:cs="Arial" w:eastAsia="Arial" w:hAnsi="Arial"/>
          <w:sz w:val="22"/>
          <w:szCs w:val="22"/>
          <w:color w:val="auto"/>
        </w:rPr>
        <w:t>The following material may be destroyed under NAP:</w:t>
      </w:r>
    </w:p>
    <w:p>
      <w:pPr>
        <w:spacing w:after="0" w:line="66" w:lineRule="exact"/>
        <w:rPr>
          <w:sz w:val="20"/>
          <w:szCs w:val="20"/>
          <w:color w:val="auto"/>
        </w:rPr>
      </w:pPr>
    </w:p>
    <w:p>
      <w:pPr>
        <w:jc w:val="both"/>
        <w:ind w:left="640" w:right="600" w:hanging="283"/>
        <w:spacing w:after="0" w:line="334" w:lineRule="auto"/>
        <w:tabs>
          <w:tab w:leader="none" w:pos="640" w:val="left"/>
        </w:tabs>
        <w:numPr>
          <w:ilvl w:val="0"/>
          <w:numId w:val="2"/>
        </w:numPr>
        <w:rPr>
          <w:rFonts w:ascii="Arial" w:cs="Arial" w:eastAsia="Arial" w:hAnsi="Arial"/>
          <w:sz w:val="20"/>
          <w:szCs w:val="20"/>
          <w:color w:val="auto"/>
        </w:rPr>
      </w:pPr>
      <w:r>
        <w:rPr>
          <w:rFonts w:ascii="Arial" w:cs="Arial" w:eastAsia="Arial" w:hAnsi="Arial"/>
          <w:sz w:val="20"/>
          <w:szCs w:val="20"/>
          <w:color w:val="auto"/>
        </w:rPr>
        <w:t>working papers consisting of rough notes and calculations used solely to assist in the preparation of other records such as correspondence, reports and statistical tabulations</w:t>
      </w:r>
    </w:p>
    <w:p>
      <w:pPr>
        <w:ind w:left="640" w:right="600" w:hanging="283"/>
        <w:spacing w:after="0" w:line="304" w:lineRule="auto"/>
        <w:tabs>
          <w:tab w:leader="none" w:pos="640" w:val="left"/>
        </w:tabs>
        <w:numPr>
          <w:ilvl w:val="0"/>
          <w:numId w:val="2"/>
        </w:numPr>
        <w:rPr>
          <w:rFonts w:ascii="Arial" w:cs="Arial" w:eastAsia="Arial" w:hAnsi="Arial"/>
          <w:sz w:val="22"/>
          <w:szCs w:val="22"/>
          <w:color w:val="auto"/>
        </w:rPr>
      </w:pPr>
      <w:r>
        <w:rPr>
          <w:rFonts w:ascii="Arial" w:cs="Arial" w:eastAsia="Arial" w:hAnsi="Arial"/>
          <w:sz w:val="22"/>
          <w:szCs w:val="22"/>
          <w:color w:val="auto"/>
        </w:rPr>
        <w:t>drafts not intended for retention as part of the office’s records, the content of which has been reproduced and incorporated in the public office's record keeping system</w:t>
      </w:r>
    </w:p>
    <w:p>
      <w:pPr>
        <w:ind w:left="640" w:hanging="283"/>
        <w:spacing w:after="0"/>
        <w:tabs>
          <w:tab w:leader="none" w:pos="640" w:val="left"/>
        </w:tabs>
        <w:numPr>
          <w:ilvl w:val="0"/>
          <w:numId w:val="2"/>
        </w:numPr>
        <w:rPr>
          <w:rFonts w:ascii="Arial" w:cs="Arial" w:eastAsia="Arial" w:hAnsi="Arial"/>
          <w:sz w:val="22"/>
          <w:szCs w:val="22"/>
          <w:color w:val="auto"/>
        </w:rPr>
      </w:pPr>
      <w:r>
        <w:rPr>
          <w:rFonts w:ascii="Arial" w:cs="Arial" w:eastAsia="Arial" w:hAnsi="Arial"/>
          <w:sz w:val="22"/>
          <w:szCs w:val="22"/>
          <w:color w:val="auto"/>
        </w:rPr>
        <w:t>extra copies of documents and published material preserved solely for reference.</w:t>
      </w:r>
    </w:p>
    <w:p>
      <w:pPr>
        <w:spacing w:after="0" w:line="200" w:lineRule="exact"/>
        <w:rPr>
          <w:sz w:val="20"/>
          <w:szCs w:val="20"/>
          <w:color w:val="auto"/>
        </w:rPr>
      </w:pPr>
    </w:p>
    <w:p>
      <w:pPr>
        <w:spacing w:after="0" w:line="348" w:lineRule="exact"/>
        <w:rPr>
          <w:sz w:val="20"/>
          <w:szCs w:val="20"/>
          <w:color w:val="auto"/>
        </w:rPr>
      </w:pPr>
    </w:p>
    <w:p>
      <w:pPr>
        <w:ind w:left="360"/>
        <w:spacing w:after="0"/>
        <w:tabs>
          <w:tab w:leader="none" w:pos="1060" w:val="left"/>
        </w:tabs>
        <w:rPr>
          <w:sz w:val="20"/>
          <w:szCs w:val="20"/>
          <w:color w:val="auto"/>
        </w:rPr>
      </w:pPr>
      <w:r>
        <w:rPr>
          <w:rFonts w:ascii="Arial" w:cs="Arial" w:eastAsia="Arial" w:hAnsi="Arial"/>
          <w:sz w:val="28"/>
          <w:szCs w:val="28"/>
          <w:b w:val="1"/>
          <w:bCs w:val="1"/>
          <w:color w:val="008080"/>
        </w:rPr>
        <w:t>1.3</w:t>
        <w:tab/>
        <w:t>Use of Other Authorities</w:t>
      </w:r>
    </w:p>
    <w:p>
      <w:pPr>
        <w:spacing w:after="0" w:line="217" w:lineRule="exact"/>
        <w:rPr>
          <w:sz w:val="20"/>
          <w:szCs w:val="20"/>
          <w:color w:val="auto"/>
        </w:rPr>
      </w:pPr>
    </w:p>
    <w:p>
      <w:pPr>
        <w:jc w:val="both"/>
        <w:ind w:left="360" w:right="600"/>
        <w:spacing w:after="0" w:line="312" w:lineRule="auto"/>
        <w:rPr>
          <w:sz w:val="20"/>
          <w:szCs w:val="20"/>
          <w:color w:val="auto"/>
        </w:rPr>
      </w:pPr>
      <w:r>
        <w:rPr>
          <w:rFonts w:ascii="Arial" w:cs="Arial" w:eastAsia="Arial" w:hAnsi="Arial"/>
          <w:sz w:val="22"/>
          <w:szCs w:val="22"/>
          <w:color w:val="auto"/>
        </w:rPr>
        <w:t>In applying the disposal sentences set out in this Authority, reference should be made to other current Authorities where applicable. Where there is a conflict between two Authorities (for instance this Authority and the General Retention and Disposal Authority for Records of Common Administrative Functions), consult the Public Record Office Victoria for advice.</w:t>
      </w:r>
    </w:p>
    <w:p>
      <w:pPr>
        <w:sectPr>
          <w:pgSz w:w="11900" w:h="16841" w:orient="portrait"/>
          <w:cols w:equalWidth="0" w:num="1">
            <w:col w:w="9280"/>
          </w:cols>
          <w:pgMar w:left="1440" w:top="704" w:right="1186" w:bottom="1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36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36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41" w:orient="portrait"/>
          <w:cols w:equalWidth="0" w:num="1">
            <w:col w:w="9280"/>
          </w:cols>
          <w:pgMar w:left="1440" w:top="704" w:right="1186" w:bottom="172" w:gutter="0" w:footer="0" w:header="0"/>
          <w:type w:val="continuous"/>
        </w:sectPr>
      </w:pPr>
    </w:p>
    <w:bookmarkStart w:id="6" w:name="page7"/>
    <w:bookmarkEnd w:id="6"/>
    <w:tbl>
      <w:tblPr>
        <w:tblLayout w:type="fixed"/>
        <w:tblInd w:w="360" w:type="dxa"/>
        <w:tblCellMar>
          <w:top w:w="0" w:type="dxa"/>
          <w:left w:w="0" w:type="dxa"/>
          <w:bottom w:w="0" w:type="dxa"/>
          <w:right w:w="0" w:type="dxa"/>
        </w:tblCellMar>
      </w:tblPr>
      <w:tr>
        <w:trPr>
          <w:trHeight w:val="214"/>
        </w:trPr>
        <w:tc>
          <w:tcPr>
            <w:tcW w:w="730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640" w:type="dxa"/>
            <w:vAlign w:val="bottom"/>
          </w:tcPr>
          <w:p>
            <w:pPr>
              <w:jc w:val="right"/>
              <w:spacing w:after="0"/>
              <w:rPr>
                <w:sz w:val="20"/>
                <w:szCs w:val="20"/>
                <w:color w:val="auto"/>
              </w:rPr>
            </w:pPr>
            <w:r>
              <w:rPr>
                <w:rFonts w:ascii="Arial" w:cs="Arial" w:eastAsia="Arial" w:hAnsi="Arial"/>
                <w:sz w:val="16"/>
                <w:szCs w:val="16"/>
                <w:color w:val="008080"/>
              </w:rPr>
              <w:t>7</w:t>
            </w:r>
          </w:p>
        </w:tc>
      </w:tr>
    </w:tbl>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360"/>
        <w:spacing w:after="0"/>
        <w:tabs>
          <w:tab w:leader="none" w:pos="1060" w:val="left"/>
        </w:tabs>
        <w:rPr>
          <w:sz w:val="20"/>
          <w:szCs w:val="20"/>
          <w:color w:val="auto"/>
        </w:rPr>
      </w:pPr>
      <w:r>
        <w:rPr>
          <w:rFonts w:ascii="Arial" w:cs="Arial" w:eastAsia="Arial" w:hAnsi="Arial"/>
          <w:sz w:val="28"/>
          <w:szCs w:val="28"/>
          <w:b w:val="1"/>
          <w:bCs w:val="1"/>
          <w:color w:val="008080"/>
        </w:rPr>
        <w:t>1.4</w:t>
      </w:r>
      <w:r>
        <w:rPr>
          <w:sz w:val="20"/>
          <w:szCs w:val="20"/>
          <w:color w:val="auto"/>
        </w:rPr>
        <w:tab/>
      </w:r>
      <w:r>
        <w:rPr>
          <w:rFonts w:ascii="Arial" w:cs="Arial" w:eastAsia="Arial" w:hAnsi="Arial"/>
          <w:sz w:val="27"/>
          <w:szCs w:val="27"/>
          <w:b w:val="1"/>
          <w:bCs w:val="1"/>
          <w:color w:val="008080"/>
        </w:rPr>
        <w:t>Explanation of Authority Headings</w:t>
      </w:r>
    </w:p>
    <w:p>
      <w:pPr>
        <w:spacing w:after="0" w:line="329"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CLASS NUMBER</w:t>
      </w:r>
    </w:p>
    <w:p>
      <w:pPr>
        <w:spacing w:after="0" w:line="194" w:lineRule="exact"/>
        <w:rPr>
          <w:sz w:val="20"/>
          <w:szCs w:val="20"/>
          <w:color w:val="auto"/>
        </w:rPr>
      </w:pPr>
    </w:p>
    <w:p>
      <w:pPr>
        <w:ind w:left="360"/>
        <w:spacing w:after="0"/>
        <w:rPr>
          <w:sz w:val="20"/>
          <w:szCs w:val="20"/>
          <w:color w:val="auto"/>
        </w:rPr>
      </w:pPr>
      <w:r>
        <w:rPr>
          <w:rFonts w:ascii="Arial" w:cs="Arial" w:eastAsia="Arial" w:hAnsi="Arial"/>
          <w:sz w:val="22"/>
          <w:szCs w:val="22"/>
          <w:color w:val="auto"/>
        </w:rPr>
        <w:t>The class number or entry reference number provides citation and ease of reference.</w:t>
      </w:r>
    </w:p>
    <w:p>
      <w:pPr>
        <w:spacing w:after="0" w:line="181"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DESCRIPTION</w:t>
      </w:r>
    </w:p>
    <w:p>
      <w:pPr>
        <w:spacing w:after="0" w:line="191" w:lineRule="exact"/>
        <w:rPr>
          <w:sz w:val="20"/>
          <w:szCs w:val="20"/>
          <w:color w:val="auto"/>
        </w:rPr>
      </w:pPr>
    </w:p>
    <w:p>
      <w:pPr>
        <w:jc w:val="both"/>
        <w:ind w:left="360" w:right="600"/>
        <w:spacing w:after="0" w:line="322" w:lineRule="auto"/>
        <w:rPr>
          <w:sz w:val="20"/>
          <w:szCs w:val="20"/>
          <w:color w:val="auto"/>
        </w:rPr>
      </w:pPr>
      <w:r>
        <w:rPr>
          <w:rFonts w:ascii="Arial" w:cs="Arial" w:eastAsia="Arial" w:hAnsi="Arial"/>
          <w:sz w:val="22"/>
          <w:szCs w:val="22"/>
          <w:color w:val="auto"/>
        </w:rPr>
        <w:t>The description of each record class is specified in this entry. A record class is a group of records that relate to the same activity, function or subject and require the same disposal action.</w:t>
      </w:r>
    </w:p>
    <w:p>
      <w:pPr>
        <w:spacing w:after="0" w:line="57"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STATUS</w:t>
      </w:r>
    </w:p>
    <w:p>
      <w:pPr>
        <w:spacing w:after="0" w:line="194" w:lineRule="exact"/>
        <w:rPr>
          <w:sz w:val="20"/>
          <w:szCs w:val="20"/>
          <w:color w:val="auto"/>
        </w:rPr>
      </w:pPr>
    </w:p>
    <w:p>
      <w:pPr>
        <w:ind w:left="360"/>
        <w:spacing w:after="0"/>
        <w:rPr>
          <w:sz w:val="20"/>
          <w:szCs w:val="20"/>
          <w:color w:val="auto"/>
        </w:rPr>
      </w:pPr>
      <w:r>
        <w:rPr>
          <w:rFonts w:ascii="Arial" w:cs="Arial" w:eastAsia="Arial" w:hAnsi="Arial"/>
          <w:sz w:val="22"/>
          <w:szCs w:val="22"/>
          <w:color w:val="auto"/>
        </w:rPr>
        <w:t>This entry provides the archival status of each class - either permanent or temporary.</w:t>
      </w:r>
    </w:p>
    <w:p>
      <w:pPr>
        <w:spacing w:after="0" w:line="181"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CUSTODY</w:t>
      </w:r>
    </w:p>
    <w:p>
      <w:pPr>
        <w:spacing w:after="0" w:line="191" w:lineRule="exact"/>
        <w:rPr>
          <w:sz w:val="20"/>
          <w:szCs w:val="20"/>
          <w:color w:val="auto"/>
        </w:rPr>
      </w:pPr>
    </w:p>
    <w:p>
      <w:pPr>
        <w:jc w:val="both"/>
        <w:ind w:left="360" w:right="600"/>
        <w:spacing w:after="0" w:line="342" w:lineRule="auto"/>
        <w:rPr>
          <w:sz w:val="20"/>
          <w:szCs w:val="20"/>
          <w:color w:val="auto"/>
        </w:rPr>
      </w:pPr>
      <w:r>
        <w:rPr>
          <w:rFonts w:ascii="Arial" w:cs="Arial" w:eastAsia="Arial" w:hAnsi="Arial"/>
          <w:sz w:val="22"/>
          <w:szCs w:val="22"/>
          <w:color w:val="auto"/>
        </w:rPr>
        <w:t>This entry specifies whether the records are to be retained by the public office or transferred to the Public Record Office Victoria.</w:t>
      </w:r>
    </w:p>
    <w:p>
      <w:pPr>
        <w:spacing w:after="0" w:line="40" w:lineRule="exact"/>
        <w:rPr>
          <w:sz w:val="20"/>
          <w:szCs w:val="20"/>
          <w:color w:val="auto"/>
        </w:rPr>
      </w:pPr>
    </w:p>
    <w:p>
      <w:pPr>
        <w:jc w:val="both"/>
        <w:ind w:left="360" w:right="600"/>
        <w:spacing w:after="0" w:line="322" w:lineRule="auto"/>
        <w:rPr>
          <w:sz w:val="20"/>
          <w:szCs w:val="20"/>
          <w:color w:val="auto"/>
        </w:rPr>
      </w:pPr>
      <w:r>
        <w:rPr>
          <w:rFonts w:ascii="Arial" w:cs="Arial" w:eastAsia="Arial" w:hAnsi="Arial"/>
          <w:sz w:val="22"/>
          <w:szCs w:val="22"/>
          <w:color w:val="auto"/>
        </w:rPr>
        <w:t xml:space="preserve">Permanent electronic records are to be transferred in VERS Encapsulated Object (VEO) format according to PROS 99/007 </w:t>
      </w:r>
      <w:r>
        <w:rPr>
          <w:rFonts w:ascii="Arial" w:cs="Arial" w:eastAsia="Arial" w:hAnsi="Arial"/>
          <w:sz w:val="22"/>
          <w:szCs w:val="22"/>
          <w:i w:val="1"/>
          <w:iCs w:val="1"/>
          <w:color w:val="auto"/>
        </w:rPr>
        <w:t>Management of Electronic Records</w:t>
      </w:r>
      <w:r>
        <w:rPr>
          <w:rFonts w:ascii="Arial" w:cs="Arial" w:eastAsia="Arial" w:hAnsi="Arial"/>
          <w:sz w:val="22"/>
          <w:szCs w:val="22"/>
          <w:color w:val="auto"/>
        </w:rPr>
        <w:t xml:space="preserve"> (Version 2).</w:t>
      </w:r>
    </w:p>
    <w:p>
      <w:pPr>
        <w:spacing w:after="0" w:line="62" w:lineRule="exact"/>
        <w:rPr>
          <w:sz w:val="20"/>
          <w:szCs w:val="20"/>
          <w:color w:val="auto"/>
        </w:rPr>
      </w:pPr>
    </w:p>
    <w:p>
      <w:pPr>
        <w:jc w:val="both"/>
        <w:ind w:left="360" w:right="600"/>
        <w:spacing w:after="0" w:line="340" w:lineRule="auto"/>
        <w:rPr>
          <w:sz w:val="20"/>
          <w:szCs w:val="20"/>
          <w:color w:val="auto"/>
        </w:rPr>
      </w:pPr>
      <w:r>
        <w:rPr>
          <w:rFonts w:ascii="Arial" w:cs="Arial" w:eastAsia="Arial" w:hAnsi="Arial"/>
          <w:sz w:val="22"/>
          <w:szCs w:val="22"/>
          <w:color w:val="auto"/>
        </w:rPr>
        <w:t xml:space="preserve">The storage of public records identified in this Authority must also be in accordance with the requirements of Public Record Office Standard PROS 11/01 </w:t>
      </w:r>
      <w:r>
        <w:rPr>
          <w:rFonts w:ascii="Arial" w:cs="Arial" w:eastAsia="Arial" w:hAnsi="Arial"/>
          <w:sz w:val="22"/>
          <w:szCs w:val="22"/>
          <w:i w:val="1"/>
          <w:iCs w:val="1"/>
          <w:color w:val="auto"/>
        </w:rPr>
        <w:t>Storage</w:t>
      </w:r>
      <w:r>
        <w:rPr>
          <w:rFonts w:ascii="Arial" w:cs="Arial" w:eastAsia="Arial" w:hAnsi="Arial"/>
          <w:sz w:val="22"/>
          <w:szCs w:val="22"/>
          <w:color w:val="auto"/>
        </w:rPr>
        <w:t>.</w:t>
      </w:r>
    </w:p>
    <w:p>
      <w:pPr>
        <w:sectPr>
          <w:pgSz w:w="11900" w:h="16841" w:orient="portrait"/>
          <w:cols w:equalWidth="0" w:num="1">
            <w:col w:w="9280"/>
          </w:cols>
          <w:pgMar w:left="1440" w:top="704" w:right="1186" w:bottom="1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36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36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41" w:orient="portrait"/>
          <w:cols w:equalWidth="0" w:num="1">
            <w:col w:w="9280"/>
          </w:cols>
          <w:pgMar w:left="1440" w:top="704" w:right="1186" w:bottom="172" w:gutter="0" w:footer="0" w:header="0"/>
          <w:type w:val="continuous"/>
        </w:sectPr>
      </w:pPr>
    </w:p>
    <w:bookmarkStart w:id="7" w:name="page8"/>
    <w:bookmarkEnd w:id="7"/>
    <w:tbl>
      <w:tblPr>
        <w:tblLayout w:type="fixed"/>
        <w:tblInd w:w="360" w:type="dxa"/>
        <w:tblCellMar>
          <w:top w:w="0" w:type="dxa"/>
          <w:left w:w="0" w:type="dxa"/>
          <w:bottom w:w="0" w:type="dxa"/>
          <w:right w:w="0" w:type="dxa"/>
        </w:tblCellMar>
      </w:tblPr>
      <w:tr>
        <w:trPr>
          <w:trHeight w:val="214"/>
        </w:trPr>
        <w:tc>
          <w:tcPr>
            <w:tcW w:w="730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640" w:type="dxa"/>
            <w:vAlign w:val="bottom"/>
          </w:tcPr>
          <w:p>
            <w:pPr>
              <w:jc w:val="right"/>
              <w:spacing w:after="0"/>
              <w:rPr>
                <w:sz w:val="20"/>
                <w:szCs w:val="20"/>
                <w:color w:val="auto"/>
              </w:rPr>
            </w:pPr>
            <w:r>
              <w:rPr>
                <w:rFonts w:ascii="Arial" w:cs="Arial" w:eastAsia="Arial" w:hAnsi="Arial"/>
                <w:sz w:val="16"/>
                <w:szCs w:val="16"/>
                <w:color w:val="008080"/>
              </w:rPr>
              <w:t>8</w:t>
            </w:r>
          </w:p>
        </w:tc>
      </w:tr>
    </w:tbl>
    <w:p>
      <w:pPr>
        <w:spacing w:after="0" w:line="200" w:lineRule="exact"/>
        <w:rPr>
          <w:sz w:val="20"/>
          <w:szCs w:val="20"/>
          <w:color w:val="auto"/>
        </w:rPr>
      </w:pPr>
    </w:p>
    <w:p>
      <w:pPr>
        <w:spacing w:after="0" w:line="293" w:lineRule="exact"/>
        <w:rPr>
          <w:sz w:val="20"/>
          <w:szCs w:val="20"/>
          <w:color w:val="auto"/>
        </w:rPr>
      </w:pPr>
    </w:p>
    <w:p>
      <w:pPr>
        <w:ind w:left="360"/>
        <w:spacing w:after="0"/>
        <w:tabs>
          <w:tab w:leader="none" w:pos="1060" w:val="left"/>
        </w:tabs>
        <w:rPr>
          <w:sz w:val="20"/>
          <w:szCs w:val="20"/>
          <w:color w:val="auto"/>
        </w:rPr>
      </w:pPr>
      <w:r>
        <w:rPr>
          <w:rFonts w:ascii="Arial" w:cs="Arial" w:eastAsia="Arial" w:hAnsi="Arial"/>
          <w:sz w:val="36"/>
          <w:szCs w:val="36"/>
          <w:color w:val="008080"/>
        </w:rPr>
        <w:t>2</w:t>
        <w:tab/>
        <w:t>Concurrence of Public Office</w:t>
      </w:r>
    </w:p>
    <w:p>
      <w:pPr>
        <w:spacing w:after="0" w:line="76" w:lineRule="exact"/>
        <w:rPr>
          <w:sz w:val="20"/>
          <w:szCs w:val="20"/>
          <w:color w:val="auto"/>
        </w:rPr>
      </w:pPr>
    </w:p>
    <w:p>
      <w:pPr>
        <w:ind w:left="360"/>
        <w:spacing w:after="0"/>
        <w:rPr>
          <w:sz w:val="20"/>
          <w:szCs w:val="20"/>
          <w:color w:val="auto"/>
        </w:rPr>
      </w:pPr>
      <w:r>
        <w:rPr>
          <w:rFonts w:ascii="Arial" w:cs="Arial" w:eastAsia="Arial" w:hAnsi="Arial"/>
          <w:sz w:val="22"/>
          <w:szCs w:val="22"/>
          <w:color w:val="auto"/>
        </w:rPr>
        <w:t>This Authority has the concurrence of:</w:t>
      </w:r>
    </w:p>
    <w:p>
      <w:pPr>
        <w:spacing w:after="0" w:line="200" w:lineRule="exact"/>
        <w:rPr>
          <w:sz w:val="20"/>
          <w:szCs w:val="20"/>
          <w:color w:val="auto"/>
        </w:rPr>
      </w:pPr>
    </w:p>
    <w:p>
      <w:pPr>
        <w:spacing w:after="0" w:line="241" w:lineRule="exact"/>
        <w:rPr>
          <w:sz w:val="20"/>
          <w:szCs w:val="20"/>
          <w:color w:val="auto"/>
        </w:rPr>
      </w:pPr>
    </w:p>
    <w:p>
      <w:pPr>
        <w:ind w:left="1480"/>
        <w:spacing w:after="0"/>
        <w:rPr>
          <w:sz w:val="20"/>
          <w:szCs w:val="20"/>
          <w:color w:val="auto"/>
        </w:rPr>
      </w:pPr>
      <w:r>
        <w:rPr>
          <w:rFonts w:ascii="Arial" w:cs="Arial" w:eastAsia="Arial" w:hAnsi="Arial"/>
          <w:sz w:val="22"/>
          <w:szCs w:val="22"/>
          <w:color w:val="auto"/>
        </w:rPr>
        <w:t>[Signed]</w:t>
      </w:r>
    </w:p>
    <w:p>
      <w:pPr>
        <w:spacing w:after="0" w:line="109" w:lineRule="exact"/>
        <w:rPr>
          <w:sz w:val="20"/>
          <w:szCs w:val="20"/>
          <w:color w:val="auto"/>
        </w:rPr>
      </w:pPr>
    </w:p>
    <w:p>
      <w:pPr>
        <w:ind w:left="5040"/>
        <w:spacing w:after="0"/>
        <w:tabs>
          <w:tab w:leader="none" w:pos="5740" w:val="left"/>
        </w:tabs>
        <w:rPr>
          <w:sz w:val="20"/>
          <w:szCs w:val="20"/>
          <w:color w:val="auto"/>
        </w:rPr>
      </w:pPr>
      <w:r>
        <w:rPr>
          <w:rFonts w:ascii="Arial" w:cs="Arial" w:eastAsia="Arial" w:hAnsi="Arial"/>
          <w:sz w:val="22"/>
          <w:szCs w:val="22"/>
          <w:color w:val="auto"/>
        </w:rPr>
        <w:t>Date:</w:t>
      </w:r>
      <w:r>
        <w:rPr>
          <w:sz w:val="20"/>
          <w:szCs w:val="20"/>
          <w:color w:val="auto"/>
        </w:rPr>
        <w:tab/>
      </w:r>
      <w:r>
        <w:rPr>
          <w:rFonts w:ascii="Arial" w:cs="Arial" w:eastAsia="Arial" w:hAnsi="Arial"/>
          <w:sz w:val="21"/>
          <w:szCs w:val="21"/>
          <w:color w:val="auto"/>
        </w:rPr>
        <w:t>16 July 2008</w:t>
      </w:r>
    </w:p>
    <w:p>
      <w:pPr>
        <w:ind w:left="360"/>
        <w:spacing w:after="0"/>
        <w:tabs>
          <w:tab w:leader="none" w:pos="1460" w:val="left"/>
        </w:tabs>
        <w:rPr>
          <w:sz w:val="20"/>
          <w:szCs w:val="20"/>
          <w:color w:val="auto"/>
        </w:rPr>
      </w:pPr>
      <w:r>
        <w:rPr>
          <w:rFonts w:ascii="Arial" w:cs="Arial" w:eastAsia="Arial" w:hAnsi="Arial"/>
          <w:sz w:val="22"/>
          <w:szCs w:val="22"/>
          <w:color w:val="auto"/>
        </w:rPr>
        <w:t>Name:</w:t>
      </w:r>
      <w:r>
        <w:rPr>
          <w:sz w:val="20"/>
          <w:szCs w:val="20"/>
          <w:color w:val="auto"/>
        </w:rPr>
        <w:tab/>
      </w:r>
      <w:r>
        <w:rPr>
          <w:rFonts w:ascii="Arial" w:cs="Arial" w:eastAsia="Arial" w:hAnsi="Arial"/>
          <w:sz w:val="22"/>
          <w:szCs w:val="22"/>
          <w:color w:val="auto"/>
        </w:rPr>
        <w:t>Stephen Bradford</w:t>
      </w:r>
    </w:p>
    <w:p>
      <w:pPr>
        <w:spacing w:after="0" w:line="119" w:lineRule="exact"/>
        <w:rPr>
          <w:sz w:val="20"/>
          <w:szCs w:val="20"/>
          <w:color w:val="auto"/>
        </w:rPr>
      </w:pPr>
    </w:p>
    <w:p>
      <w:pPr>
        <w:ind w:left="360"/>
        <w:spacing w:after="0"/>
        <w:tabs>
          <w:tab w:leader="none" w:pos="1460" w:val="left"/>
        </w:tabs>
        <w:rPr>
          <w:sz w:val="20"/>
          <w:szCs w:val="20"/>
          <w:color w:val="auto"/>
        </w:rPr>
      </w:pPr>
      <w:r>
        <w:rPr>
          <w:rFonts w:ascii="Arial" w:cs="Arial" w:eastAsia="Arial" w:hAnsi="Arial"/>
          <w:sz w:val="22"/>
          <w:szCs w:val="22"/>
          <w:color w:val="auto"/>
        </w:rPr>
        <w:t>Position:</w:t>
        <w:tab/>
        <w:t>Chief Executive Officer</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360"/>
        <w:spacing w:after="0"/>
        <w:tabs>
          <w:tab w:leader="none" w:pos="1060" w:val="left"/>
        </w:tabs>
        <w:rPr>
          <w:sz w:val="20"/>
          <w:szCs w:val="20"/>
          <w:color w:val="auto"/>
        </w:rPr>
      </w:pPr>
      <w:r>
        <w:rPr>
          <w:rFonts w:ascii="Arial" w:cs="Arial" w:eastAsia="Arial" w:hAnsi="Arial"/>
          <w:sz w:val="36"/>
          <w:szCs w:val="36"/>
          <w:color w:val="008080"/>
        </w:rPr>
        <w:t>3</w:t>
        <w:tab/>
        <w:t>Establishment of Standard</w:t>
      </w:r>
    </w:p>
    <w:p>
      <w:pPr>
        <w:spacing w:after="0" w:line="76" w:lineRule="exact"/>
        <w:rPr>
          <w:sz w:val="20"/>
          <w:szCs w:val="20"/>
          <w:color w:val="auto"/>
        </w:rPr>
      </w:pPr>
    </w:p>
    <w:p>
      <w:pPr>
        <w:jc w:val="both"/>
        <w:ind w:left="360" w:right="600"/>
        <w:spacing w:after="0" w:line="322" w:lineRule="auto"/>
        <w:rPr>
          <w:sz w:val="20"/>
          <w:szCs w:val="20"/>
          <w:color w:val="auto"/>
        </w:rPr>
      </w:pPr>
      <w:r>
        <w:rPr>
          <w:rFonts w:ascii="Arial" w:cs="Arial" w:eastAsia="Arial" w:hAnsi="Arial"/>
          <w:sz w:val="22"/>
          <w:szCs w:val="22"/>
          <w:color w:val="auto"/>
        </w:rPr>
        <w:t xml:space="preserve">Pursuant to Section 12 of the </w:t>
      </w:r>
      <w:r>
        <w:rPr>
          <w:rFonts w:ascii="Arial" w:cs="Arial" w:eastAsia="Arial" w:hAnsi="Arial"/>
          <w:sz w:val="22"/>
          <w:szCs w:val="22"/>
          <w:i w:val="1"/>
          <w:iCs w:val="1"/>
          <w:color w:val="auto"/>
        </w:rPr>
        <w:t>Public Records Act</w:t>
      </w:r>
      <w:r>
        <w:rPr>
          <w:rFonts w:ascii="Arial" w:cs="Arial" w:eastAsia="Arial" w:hAnsi="Arial"/>
          <w:sz w:val="22"/>
          <w:szCs w:val="22"/>
          <w:color w:val="auto"/>
        </w:rPr>
        <w:t xml:space="preserve"> 1973, I hereby establish these provisions as a Standard (also known as a Retention and Disposal Authority) applying to the records of Port of Melbourne Corporation (PoMC).</w:t>
      </w:r>
    </w:p>
    <w:p>
      <w:pPr>
        <w:spacing w:after="0" w:line="62" w:lineRule="exact"/>
        <w:rPr>
          <w:sz w:val="20"/>
          <w:szCs w:val="20"/>
          <w:color w:val="auto"/>
        </w:rPr>
      </w:pPr>
    </w:p>
    <w:p>
      <w:pPr>
        <w:jc w:val="both"/>
        <w:ind w:left="360" w:right="620"/>
        <w:spacing w:after="0" w:line="342" w:lineRule="auto"/>
        <w:rPr>
          <w:sz w:val="20"/>
          <w:szCs w:val="20"/>
          <w:color w:val="auto"/>
        </w:rPr>
      </w:pPr>
      <w:r>
        <w:rPr>
          <w:rFonts w:ascii="Arial" w:cs="Arial" w:eastAsia="Arial" w:hAnsi="Arial"/>
          <w:sz w:val="22"/>
          <w:szCs w:val="22"/>
          <w:color w:val="auto"/>
        </w:rPr>
        <w:t>This standard as varied or amended from time to time shall have effect for a period of ten (10) years from the date of issue unless revoked prior to that date.</w:t>
      </w:r>
    </w:p>
    <w:p>
      <w:pPr>
        <w:spacing w:after="0" w:line="200" w:lineRule="exact"/>
        <w:rPr>
          <w:sz w:val="20"/>
          <w:szCs w:val="20"/>
          <w:color w:val="auto"/>
        </w:rPr>
      </w:pPr>
    </w:p>
    <w:p>
      <w:pPr>
        <w:spacing w:after="0" w:line="361" w:lineRule="exact"/>
        <w:rPr>
          <w:sz w:val="20"/>
          <w:szCs w:val="20"/>
          <w:color w:val="auto"/>
        </w:rPr>
      </w:pPr>
    </w:p>
    <w:p>
      <w:pPr>
        <w:ind w:left="1080"/>
        <w:spacing w:after="0"/>
        <w:rPr>
          <w:sz w:val="20"/>
          <w:szCs w:val="20"/>
          <w:color w:val="auto"/>
        </w:rPr>
      </w:pPr>
      <w:r>
        <w:rPr>
          <w:rFonts w:ascii="Arial" w:cs="Arial" w:eastAsia="Arial" w:hAnsi="Arial"/>
          <w:sz w:val="22"/>
          <w:szCs w:val="22"/>
          <w:color w:val="auto"/>
        </w:rPr>
        <w:t>[Signed]</w:t>
      </w:r>
    </w:p>
    <w:p>
      <w:pPr>
        <w:spacing w:after="0" w:line="301" w:lineRule="exact"/>
        <w:rPr>
          <w:sz w:val="20"/>
          <w:szCs w:val="20"/>
          <w:color w:val="auto"/>
        </w:rPr>
      </w:pPr>
    </w:p>
    <w:p>
      <w:pPr>
        <w:ind w:left="360"/>
        <w:spacing w:after="0"/>
        <w:tabs>
          <w:tab w:leader="none" w:pos="5020" w:val="left"/>
        </w:tabs>
        <w:rPr>
          <w:sz w:val="20"/>
          <w:szCs w:val="20"/>
          <w:color w:val="auto"/>
        </w:rPr>
      </w:pPr>
      <w:r>
        <w:rPr>
          <w:rFonts w:ascii="Arial" w:cs="Arial" w:eastAsia="Arial" w:hAnsi="Arial"/>
          <w:sz w:val="22"/>
          <w:szCs w:val="22"/>
          <w:b w:val="1"/>
          <w:bCs w:val="1"/>
          <w:color w:val="auto"/>
        </w:rPr>
        <w:t>Justine Heazlewood</w:t>
      </w:r>
      <w:r>
        <w:rPr>
          <w:sz w:val="20"/>
          <w:szCs w:val="20"/>
          <w:color w:val="auto"/>
        </w:rPr>
        <w:tab/>
      </w:r>
      <w:r>
        <w:rPr>
          <w:rFonts w:ascii="Arial" w:cs="Arial" w:eastAsia="Arial" w:hAnsi="Arial"/>
          <w:sz w:val="22"/>
          <w:szCs w:val="22"/>
          <w:color w:val="auto"/>
        </w:rPr>
        <w:t>Date of Issue: 28 July 2008</w:t>
      </w:r>
    </w:p>
    <w:p>
      <w:pPr>
        <w:spacing w:after="0" w:line="66"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Director &amp; Keeper of Public Records</w:t>
      </w:r>
    </w:p>
    <w:p>
      <w:pPr>
        <w:spacing w:after="0" w:line="200" w:lineRule="exact"/>
        <w:rPr>
          <w:sz w:val="20"/>
          <w:szCs w:val="20"/>
          <w:color w:val="auto"/>
        </w:rPr>
      </w:pPr>
    </w:p>
    <w:p>
      <w:pPr>
        <w:spacing w:after="0" w:line="355" w:lineRule="exact"/>
        <w:rPr>
          <w:sz w:val="20"/>
          <w:szCs w:val="20"/>
          <w:color w:val="auto"/>
        </w:rPr>
      </w:pPr>
    </w:p>
    <w:p>
      <w:pPr>
        <w:ind w:left="360"/>
        <w:spacing w:after="0"/>
        <w:tabs>
          <w:tab w:leader="none" w:pos="1060" w:val="left"/>
        </w:tabs>
        <w:rPr>
          <w:sz w:val="20"/>
          <w:szCs w:val="20"/>
          <w:color w:val="auto"/>
        </w:rPr>
      </w:pPr>
      <w:r>
        <w:rPr>
          <w:rFonts w:ascii="Arial" w:cs="Arial" w:eastAsia="Arial" w:hAnsi="Arial"/>
          <w:sz w:val="36"/>
          <w:szCs w:val="36"/>
          <w:color w:val="008080"/>
        </w:rPr>
        <w:t>4</w:t>
        <w:tab/>
        <w:t>Acknowledgments</w:t>
      </w:r>
    </w:p>
    <w:p>
      <w:pPr>
        <w:spacing w:after="0" w:line="76" w:lineRule="exact"/>
        <w:rPr>
          <w:sz w:val="20"/>
          <w:szCs w:val="20"/>
          <w:color w:val="auto"/>
        </w:rPr>
      </w:pPr>
    </w:p>
    <w:p>
      <w:pPr>
        <w:jc w:val="both"/>
        <w:ind w:left="360" w:right="600"/>
        <w:spacing w:after="0" w:line="342" w:lineRule="auto"/>
        <w:rPr>
          <w:sz w:val="20"/>
          <w:szCs w:val="20"/>
          <w:color w:val="auto"/>
        </w:rPr>
      </w:pPr>
      <w:r>
        <w:rPr>
          <w:rFonts w:ascii="Arial" w:cs="Arial" w:eastAsia="Arial" w:hAnsi="Arial"/>
          <w:sz w:val="22"/>
          <w:szCs w:val="22"/>
          <w:color w:val="auto"/>
        </w:rPr>
        <w:t>PROV would like to thank the following people for providing their knowledge and expertise and helping to create this Authority:</w:t>
      </w:r>
    </w:p>
    <w:p>
      <w:pPr>
        <w:spacing w:after="0" w:line="239" w:lineRule="exact"/>
        <w:rPr>
          <w:sz w:val="20"/>
          <w:szCs w:val="20"/>
          <w:color w:val="auto"/>
        </w:rPr>
      </w:pPr>
    </w:p>
    <w:p>
      <w:pPr>
        <w:ind w:left="1080"/>
        <w:spacing w:after="0"/>
        <w:rPr>
          <w:sz w:val="20"/>
          <w:szCs w:val="20"/>
          <w:color w:val="auto"/>
        </w:rPr>
      </w:pPr>
      <w:r>
        <w:rPr>
          <w:rFonts w:ascii="Arial" w:cs="Arial" w:eastAsia="Arial" w:hAnsi="Arial"/>
          <w:sz w:val="22"/>
          <w:szCs w:val="22"/>
          <w:color w:val="auto"/>
        </w:rPr>
        <w:t>Vicky Wilson, Port of Melbourne Corporation</w:t>
      </w:r>
    </w:p>
    <w:p>
      <w:pPr>
        <w:spacing w:after="0" w:line="310" w:lineRule="exact"/>
        <w:rPr>
          <w:sz w:val="20"/>
          <w:szCs w:val="20"/>
          <w:color w:val="auto"/>
        </w:rPr>
      </w:pPr>
    </w:p>
    <w:p>
      <w:pPr>
        <w:ind w:left="360"/>
        <w:spacing w:after="0"/>
        <w:tabs>
          <w:tab w:leader="none" w:pos="1060" w:val="left"/>
        </w:tabs>
        <w:rPr>
          <w:sz w:val="20"/>
          <w:szCs w:val="20"/>
          <w:color w:val="auto"/>
        </w:rPr>
      </w:pPr>
      <w:r>
        <w:rPr>
          <w:rFonts w:ascii="Arial" w:cs="Arial" w:eastAsia="Arial" w:hAnsi="Arial"/>
          <w:sz w:val="36"/>
          <w:szCs w:val="36"/>
          <w:color w:val="008080"/>
        </w:rPr>
        <w:t>5</w:t>
        <w:tab/>
        <w:t>Further Information</w:t>
      </w:r>
    </w:p>
    <w:p>
      <w:pPr>
        <w:spacing w:after="0" w:line="79" w:lineRule="exact"/>
        <w:rPr>
          <w:sz w:val="20"/>
          <w:szCs w:val="20"/>
          <w:color w:val="auto"/>
        </w:rPr>
      </w:pPr>
    </w:p>
    <w:p>
      <w:pPr>
        <w:jc w:val="both"/>
        <w:ind w:left="360" w:right="600"/>
        <w:spacing w:after="0" w:line="321" w:lineRule="auto"/>
        <w:rPr>
          <w:sz w:val="20"/>
          <w:szCs w:val="20"/>
          <w:color w:val="auto"/>
        </w:rPr>
      </w:pPr>
      <w:r>
        <w:rPr>
          <w:rFonts w:ascii="Arial" w:cs="Arial" w:eastAsia="Arial" w:hAnsi="Arial"/>
          <w:sz w:val="22"/>
          <w:szCs w:val="22"/>
          <w:color w:val="auto"/>
        </w:rPr>
        <w:t>You can obtain relevant publications, supplies of relevant forms, and answers to any enquiries you may have by first contacting your agency’s records manager or the Public Record Office Victoria:</w:t>
      </w:r>
    </w:p>
    <w:p>
      <w:pPr>
        <w:spacing w:after="0" w:line="265" w:lineRule="exact"/>
        <w:rPr>
          <w:sz w:val="20"/>
          <w:szCs w:val="20"/>
          <w:color w:val="auto"/>
        </w:rPr>
      </w:pPr>
    </w:p>
    <w:p>
      <w:pPr>
        <w:ind w:left="420"/>
        <w:spacing w:after="0"/>
        <w:rPr>
          <w:sz w:val="20"/>
          <w:szCs w:val="20"/>
          <w:color w:val="auto"/>
        </w:rPr>
      </w:pPr>
      <w:r>
        <w:rPr>
          <w:rFonts w:ascii="Arial" w:cs="Arial" w:eastAsia="Arial" w:hAnsi="Arial"/>
          <w:sz w:val="22"/>
          <w:szCs w:val="22"/>
          <w:color w:val="auto"/>
        </w:rPr>
        <w:t>Public Record Office Victoria</w:t>
      </w:r>
    </w:p>
    <w:p>
      <w:pPr>
        <w:spacing w:after="0" w:line="66" w:lineRule="exact"/>
        <w:rPr>
          <w:sz w:val="20"/>
          <w:szCs w:val="20"/>
          <w:color w:val="auto"/>
        </w:rPr>
      </w:pPr>
    </w:p>
    <w:p>
      <w:pPr>
        <w:ind w:left="1320" w:hanging="874"/>
        <w:spacing w:after="0"/>
        <w:tabs>
          <w:tab w:leader="none" w:pos="1320" w:val="left"/>
        </w:tabs>
        <w:numPr>
          <w:ilvl w:val="0"/>
          <w:numId w:val="3"/>
        </w:numPr>
        <w:rPr>
          <w:rFonts w:ascii="Wingdings" w:cs="Wingdings" w:eastAsia="Wingdings" w:hAnsi="Wingdings"/>
          <w:sz w:val="22"/>
          <w:szCs w:val="22"/>
          <w:b w:val="1"/>
          <w:bCs w:val="1"/>
          <w:color w:val="auto"/>
        </w:rPr>
      </w:pPr>
      <w:r>
        <w:rPr>
          <w:rFonts w:ascii="Arial" w:cs="Arial" w:eastAsia="Arial" w:hAnsi="Arial"/>
          <w:sz w:val="22"/>
          <w:szCs w:val="22"/>
          <w:color w:val="auto"/>
        </w:rPr>
        <w:t>(03) 9348 5600</w:t>
      </w:r>
    </w:p>
    <w:p>
      <w:pPr>
        <w:spacing w:after="0" w:line="28" w:lineRule="exact"/>
        <w:rPr>
          <w:sz w:val="20"/>
          <w:szCs w:val="20"/>
          <w:color w:val="auto"/>
        </w:rPr>
      </w:pPr>
    </w:p>
    <w:p>
      <w:pPr>
        <w:ind w:left="420"/>
        <w:spacing w:after="0"/>
        <w:tabs>
          <w:tab w:leader="none" w:pos="1300" w:val="left"/>
        </w:tabs>
        <w:rPr>
          <w:rFonts w:ascii="Arial" w:cs="Arial" w:eastAsia="Arial" w:hAnsi="Arial"/>
          <w:sz w:val="22"/>
          <w:szCs w:val="22"/>
          <w:u w:val="single" w:color="auto"/>
          <w:color w:val="0000FF"/>
        </w:rPr>
      </w:pPr>
      <w:r>
        <w:rPr>
          <w:rFonts w:ascii="Arial" w:cs="Arial" w:eastAsia="Arial" w:hAnsi="Arial"/>
          <w:sz w:val="22"/>
          <w:szCs w:val="22"/>
          <w:color w:val="auto"/>
        </w:rPr>
        <w:t>e-mail:</w:t>
      </w:r>
      <w:r>
        <w:rPr>
          <w:sz w:val="20"/>
          <w:szCs w:val="20"/>
          <w:color w:val="auto"/>
        </w:rPr>
        <w:tab/>
      </w:r>
      <w:hyperlink r:id="rId17">
        <w:r>
          <w:rPr>
            <w:rFonts w:ascii="Arial" w:cs="Arial" w:eastAsia="Arial" w:hAnsi="Arial"/>
            <w:sz w:val="22"/>
            <w:szCs w:val="22"/>
            <w:u w:val="single" w:color="auto"/>
            <w:color w:val="0000FF"/>
          </w:rPr>
          <w:t>agency.queries@prov.vic.gov.au</w:t>
        </w:r>
      </w:hyperlink>
    </w:p>
    <w:p>
      <w:pPr>
        <w:spacing w:after="0" w:line="66" w:lineRule="exact"/>
        <w:rPr>
          <w:sz w:val="20"/>
          <w:szCs w:val="20"/>
          <w:color w:val="auto"/>
        </w:rPr>
      </w:pPr>
    </w:p>
    <w:p>
      <w:pPr>
        <w:ind w:left="360"/>
        <w:spacing w:after="0"/>
        <w:tabs>
          <w:tab w:leader="none" w:pos="1300" w:val="left"/>
        </w:tabs>
        <w:rPr>
          <w:rFonts w:ascii="Arial" w:cs="Arial" w:eastAsia="Arial" w:hAnsi="Arial"/>
          <w:sz w:val="22"/>
          <w:szCs w:val="22"/>
          <w:u w:val="single" w:color="auto"/>
          <w:color w:val="0000FF"/>
        </w:rPr>
      </w:pPr>
      <w:r>
        <w:rPr>
          <w:rFonts w:ascii="Arial" w:cs="Arial" w:eastAsia="Arial" w:hAnsi="Arial"/>
          <w:sz w:val="22"/>
          <w:szCs w:val="22"/>
          <w:color w:val="auto"/>
        </w:rPr>
        <w:t>web:</w:t>
      </w:r>
      <w:r>
        <w:rPr>
          <w:sz w:val="20"/>
          <w:szCs w:val="20"/>
          <w:color w:val="auto"/>
        </w:rPr>
        <w:tab/>
      </w:r>
      <w:hyperlink r:id="rId18">
        <w:r>
          <w:rPr>
            <w:rFonts w:ascii="Arial" w:cs="Arial" w:eastAsia="Arial" w:hAnsi="Arial"/>
            <w:sz w:val="22"/>
            <w:szCs w:val="22"/>
            <w:u w:val="single" w:color="auto"/>
            <w:color w:val="0000FF"/>
          </w:rPr>
          <w:t>www.prov.vic.gov.au</w:t>
        </w:r>
      </w:hyperlink>
    </w:p>
    <w:p>
      <w:pPr>
        <w:sectPr>
          <w:pgSz w:w="11900" w:h="16841" w:orient="portrait"/>
          <w:cols w:equalWidth="0" w:num="1">
            <w:col w:w="9280"/>
          </w:cols>
          <w:pgMar w:left="1440" w:top="704" w:right="1186" w:bottom="1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36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36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41" w:orient="portrait"/>
          <w:cols w:equalWidth="0" w:num="1">
            <w:col w:w="9280"/>
          </w:cols>
          <w:pgMar w:left="1440" w:top="704" w:right="1186" w:bottom="172" w:gutter="0" w:footer="0" w:header="0"/>
          <w:type w:val="continuous"/>
        </w:sectPr>
      </w:pPr>
    </w:p>
    <w:bookmarkStart w:id="8" w:name="page9"/>
    <w:bookmarkEnd w:id="8"/>
    <w:tbl>
      <w:tblPr>
        <w:tblLayout w:type="fixed"/>
        <w:tblInd w:w="20" w:type="dxa"/>
        <w:tblCellMar>
          <w:top w:w="0" w:type="dxa"/>
          <w:left w:w="0" w:type="dxa"/>
          <w:bottom w:w="0" w:type="dxa"/>
          <w:right w:w="0" w:type="dxa"/>
        </w:tblCellMar>
      </w:tblPr>
      <w:tr>
        <w:trPr>
          <w:trHeight w:val="214"/>
        </w:trPr>
        <w:tc>
          <w:tcPr>
            <w:tcW w:w="728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660" w:type="dxa"/>
            <w:vAlign w:val="bottom"/>
          </w:tcPr>
          <w:p>
            <w:pPr>
              <w:jc w:val="right"/>
              <w:spacing w:after="0"/>
              <w:rPr>
                <w:sz w:val="20"/>
                <w:szCs w:val="20"/>
                <w:color w:val="auto"/>
              </w:rPr>
            </w:pPr>
            <w:r>
              <w:rPr>
                <w:rFonts w:ascii="Arial" w:cs="Arial" w:eastAsia="Arial" w:hAnsi="Arial"/>
                <w:sz w:val="16"/>
                <w:szCs w:val="16"/>
                <w:color w:val="008080"/>
              </w:rPr>
              <w:t>9</w:t>
            </w:r>
          </w:p>
        </w:tc>
      </w:tr>
    </w:tbl>
    <w:p>
      <w:pPr>
        <w:spacing w:after="0" w:line="200" w:lineRule="exact"/>
        <w:rPr>
          <w:sz w:val="20"/>
          <w:szCs w:val="20"/>
          <w:color w:val="auto"/>
        </w:rPr>
      </w:pPr>
    </w:p>
    <w:p>
      <w:pPr>
        <w:spacing w:after="0" w:line="305" w:lineRule="exact"/>
        <w:rPr>
          <w:sz w:val="20"/>
          <w:szCs w:val="20"/>
          <w:color w:val="auto"/>
        </w:rPr>
      </w:pPr>
    </w:p>
    <w:tbl>
      <w:tblPr>
        <w:tblLayout w:type="fixed"/>
        <w:tblInd w:w="10" w:type="dxa"/>
        <w:tblCellMar>
          <w:top w:w="0" w:type="dxa"/>
          <w:left w:w="0" w:type="dxa"/>
          <w:bottom w:w="0" w:type="dxa"/>
          <w:right w:w="0" w:type="dxa"/>
        </w:tblCellMar>
      </w:tblPr>
      <w:tr>
        <w:trPr>
          <w:trHeight w:val="478"/>
        </w:trPr>
        <w:tc>
          <w:tcPr>
            <w:tcW w:w="700" w:type="dxa"/>
            <w:vAlign w:val="bottom"/>
          </w:tcPr>
          <w:p>
            <w:pPr>
              <w:ind w:left="20"/>
              <w:spacing w:after="0"/>
              <w:rPr>
                <w:sz w:val="20"/>
                <w:szCs w:val="20"/>
                <w:color w:val="auto"/>
              </w:rPr>
            </w:pPr>
            <w:r>
              <w:rPr>
                <w:rFonts w:ascii="Arial" w:cs="Arial" w:eastAsia="Arial" w:hAnsi="Arial"/>
                <w:sz w:val="36"/>
                <w:szCs w:val="36"/>
                <w:color w:val="008080"/>
              </w:rPr>
              <w:t>6</w:t>
            </w:r>
          </w:p>
        </w:tc>
        <w:tc>
          <w:tcPr>
            <w:tcW w:w="7440" w:type="dxa"/>
            <w:vAlign w:val="bottom"/>
            <w:gridSpan w:val="2"/>
          </w:tcPr>
          <w:p>
            <w:pPr>
              <w:ind w:left="40"/>
              <w:spacing w:after="0"/>
              <w:rPr>
                <w:sz w:val="20"/>
                <w:szCs w:val="20"/>
                <w:color w:val="auto"/>
              </w:rPr>
            </w:pPr>
            <w:r>
              <w:rPr>
                <w:rFonts w:ascii="Arial" w:cs="Arial" w:eastAsia="Arial" w:hAnsi="Arial"/>
                <w:sz w:val="36"/>
                <w:szCs w:val="36"/>
                <w:color w:val="008080"/>
              </w:rPr>
              <w:t>Table of Functions and Activities</w:t>
            </w:r>
          </w:p>
        </w:tc>
        <w:tc>
          <w:tcPr>
            <w:tcW w:w="1800" w:type="dxa"/>
            <w:vAlign w:val="bottom"/>
          </w:tcPr>
          <w:p>
            <w:pPr>
              <w:spacing w:after="0"/>
              <w:rPr>
                <w:sz w:val="24"/>
                <w:szCs w:val="24"/>
                <w:color w:val="auto"/>
              </w:rPr>
            </w:pPr>
          </w:p>
        </w:tc>
      </w:tr>
      <w:tr>
        <w:trPr>
          <w:trHeight w:val="239"/>
        </w:trPr>
        <w:tc>
          <w:tcPr>
            <w:tcW w:w="1280" w:type="dxa"/>
            <w:vAlign w:val="bottom"/>
            <w:tcBorders>
              <w:bottom w:val="single" w:sz="8" w:color="auto"/>
            </w:tcBorders>
            <w:gridSpan w:val="2"/>
          </w:tcPr>
          <w:p>
            <w:pPr>
              <w:spacing w:after="0"/>
              <w:rPr>
                <w:sz w:val="20"/>
                <w:szCs w:val="20"/>
                <w:color w:val="auto"/>
              </w:rPr>
            </w:pPr>
          </w:p>
        </w:tc>
        <w:tc>
          <w:tcPr>
            <w:tcW w:w="6860" w:type="dxa"/>
            <w:vAlign w:val="bottom"/>
            <w:tcBorders>
              <w:bottom w:val="single" w:sz="8" w:color="auto"/>
            </w:tcBorders>
          </w:tcPr>
          <w:p>
            <w:pPr>
              <w:spacing w:after="0"/>
              <w:rPr>
                <w:sz w:val="20"/>
                <w:szCs w:val="20"/>
                <w:color w:val="auto"/>
              </w:rPr>
            </w:pPr>
          </w:p>
        </w:tc>
        <w:tc>
          <w:tcPr>
            <w:tcW w:w="1800" w:type="dxa"/>
            <w:vAlign w:val="bottom"/>
            <w:tcBorders>
              <w:bottom w:val="single" w:sz="8" w:color="auto"/>
            </w:tcBorders>
          </w:tcPr>
          <w:p>
            <w:pPr>
              <w:spacing w:after="0"/>
              <w:rPr>
                <w:sz w:val="20"/>
                <w:szCs w:val="20"/>
                <w:color w:val="auto"/>
              </w:rPr>
            </w:pPr>
          </w:p>
        </w:tc>
      </w:tr>
      <w:tr>
        <w:trPr>
          <w:trHeight w:val="388"/>
        </w:trPr>
        <w:tc>
          <w:tcPr>
            <w:tcW w:w="1280" w:type="dxa"/>
            <w:vAlign w:val="bottom"/>
            <w:tcBorders>
              <w:left w:val="single" w:sz="8" w:color="auto"/>
              <w:bottom w:val="single" w:sz="8" w:color="auto"/>
              <w:right w:val="single" w:sz="8" w:color="auto"/>
            </w:tcBorders>
            <w:gridSpan w:val="2"/>
          </w:tcPr>
          <w:p>
            <w:pPr>
              <w:ind w:left="100"/>
              <w:spacing w:after="0"/>
              <w:rPr>
                <w:sz w:val="20"/>
                <w:szCs w:val="20"/>
                <w:color w:val="auto"/>
              </w:rPr>
            </w:pPr>
            <w:r>
              <w:rPr>
                <w:rFonts w:ascii="Arial" w:cs="Arial" w:eastAsia="Arial" w:hAnsi="Arial"/>
                <w:sz w:val="22"/>
                <w:szCs w:val="22"/>
                <w:b w:val="1"/>
                <w:bCs w:val="1"/>
                <w:color w:val="008080"/>
              </w:rPr>
              <w:t>Class No.</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2"/>
                <w:szCs w:val="22"/>
                <w:b w:val="1"/>
                <w:bCs w:val="1"/>
                <w:color w:val="008080"/>
              </w:rPr>
              <w:t>Function / Activity</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2"/>
                <w:szCs w:val="22"/>
                <w:b w:val="1"/>
                <w:bCs w:val="1"/>
                <w:color w:val="008080"/>
                <w:w w:val="99"/>
              </w:rPr>
              <w:t>Page No.</w:t>
            </w:r>
          </w:p>
        </w:tc>
      </w:tr>
      <w:tr>
        <w:trPr>
          <w:trHeight w:val="393"/>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b w:val="1"/>
                <w:bCs w:val="1"/>
                <w:color w:val="auto"/>
              </w:rPr>
              <w:t>1.0.0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b w:val="1"/>
                <w:bCs w:val="1"/>
                <w:color w:val="auto"/>
              </w:rPr>
              <w:t>ENVIRONMENTAL MANAGEMENT</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b w:val="1"/>
                <w:bCs w:val="1"/>
                <w:color w:val="auto"/>
                <w:w w:val="98"/>
              </w:rPr>
              <w:t>10</w:t>
            </w:r>
          </w:p>
        </w:tc>
      </w:tr>
      <w:tr>
        <w:trPr>
          <w:trHeight w:val="390"/>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1.1.0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Environmental Incidents</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10</w:t>
            </w:r>
          </w:p>
        </w:tc>
      </w:tr>
      <w:tr>
        <w:trPr>
          <w:trHeight w:val="393"/>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1.2.0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Environmental Risk Management</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11</w:t>
            </w:r>
          </w:p>
        </w:tc>
      </w:tr>
      <w:tr>
        <w:trPr>
          <w:trHeight w:val="393"/>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1.3.0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Foreshore Stabilisation</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12</w:t>
            </w:r>
          </w:p>
        </w:tc>
      </w:tr>
      <w:tr>
        <w:trPr>
          <w:trHeight w:val="390"/>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1.4.0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Inspections</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12</w:t>
            </w:r>
          </w:p>
        </w:tc>
      </w:tr>
      <w:tr>
        <w:trPr>
          <w:trHeight w:val="393"/>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1.5.0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Investigations</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13</w:t>
            </w:r>
          </w:p>
        </w:tc>
      </w:tr>
      <w:tr>
        <w:trPr>
          <w:trHeight w:val="393"/>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1.6.0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Quality Systems and Compliance Regulations</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14</w:t>
            </w:r>
          </w:p>
        </w:tc>
      </w:tr>
      <w:tr>
        <w:trPr>
          <w:trHeight w:val="390"/>
        </w:trPr>
        <w:tc>
          <w:tcPr>
            <w:tcW w:w="700" w:type="dxa"/>
            <w:vAlign w:val="bottom"/>
            <w:tcBorders>
              <w:left w:val="single" w:sz="8" w:color="auto"/>
              <w:bottom w:val="single" w:sz="8" w:color="auto"/>
            </w:tcBorders>
          </w:tcPr>
          <w:p>
            <w:pPr>
              <w:spacing w:after="0"/>
              <w:rPr>
                <w:sz w:val="24"/>
                <w:szCs w:val="24"/>
                <w:color w:val="auto"/>
              </w:rPr>
            </w:pP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spacing w:after="0"/>
              <w:rPr>
                <w:sz w:val="24"/>
                <w:szCs w:val="24"/>
                <w:color w:val="auto"/>
              </w:rPr>
            </w:pPr>
          </w:p>
        </w:tc>
        <w:tc>
          <w:tcPr>
            <w:tcW w:w="1800" w:type="dxa"/>
            <w:vAlign w:val="bottom"/>
            <w:tcBorders>
              <w:bottom w:val="single" w:sz="8" w:color="auto"/>
              <w:right w:val="single" w:sz="8" w:color="auto"/>
            </w:tcBorders>
          </w:tcPr>
          <w:p>
            <w:pPr>
              <w:spacing w:after="0"/>
              <w:rPr>
                <w:sz w:val="24"/>
                <w:szCs w:val="24"/>
                <w:color w:val="auto"/>
              </w:rPr>
            </w:pPr>
          </w:p>
        </w:tc>
      </w:tr>
      <w:tr>
        <w:trPr>
          <w:trHeight w:val="393"/>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b w:val="1"/>
                <w:bCs w:val="1"/>
                <w:color w:val="auto"/>
              </w:rPr>
              <w:t>2.0.0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b w:val="1"/>
                <w:bCs w:val="1"/>
                <w:color w:val="auto"/>
              </w:rPr>
              <w:t>INFRASTRUCTURE MANAGEMENT</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b w:val="1"/>
                <w:bCs w:val="1"/>
                <w:color w:val="auto"/>
                <w:w w:val="98"/>
              </w:rPr>
              <w:t>15</w:t>
            </w:r>
          </w:p>
        </w:tc>
      </w:tr>
      <w:tr>
        <w:trPr>
          <w:trHeight w:val="393"/>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2.1.0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Design and Construction</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15</w:t>
            </w:r>
          </w:p>
        </w:tc>
      </w:tr>
      <w:tr>
        <w:trPr>
          <w:trHeight w:val="386"/>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2.2.0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Disposal</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17</w:t>
            </w:r>
          </w:p>
        </w:tc>
      </w:tr>
      <w:tr>
        <w:trPr>
          <w:trHeight w:val="388"/>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2.3.0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Leasing</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18</w:t>
            </w:r>
          </w:p>
        </w:tc>
      </w:tr>
      <w:tr>
        <w:trPr>
          <w:trHeight w:val="386"/>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2.4.0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Renovation</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18</w:t>
            </w:r>
          </w:p>
        </w:tc>
      </w:tr>
      <w:tr>
        <w:trPr>
          <w:trHeight w:val="388"/>
        </w:trPr>
        <w:tc>
          <w:tcPr>
            <w:tcW w:w="700" w:type="dxa"/>
            <w:vAlign w:val="bottom"/>
            <w:tcBorders>
              <w:left w:val="single" w:sz="8" w:color="auto"/>
              <w:bottom w:val="single" w:sz="8" w:color="auto"/>
            </w:tcBorders>
          </w:tcPr>
          <w:p>
            <w:pPr>
              <w:spacing w:after="0"/>
              <w:rPr>
                <w:sz w:val="24"/>
                <w:szCs w:val="24"/>
                <w:color w:val="auto"/>
              </w:rPr>
            </w:pP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spacing w:after="0"/>
              <w:rPr>
                <w:sz w:val="24"/>
                <w:szCs w:val="24"/>
                <w:color w:val="auto"/>
              </w:rPr>
            </w:pPr>
          </w:p>
        </w:tc>
        <w:tc>
          <w:tcPr>
            <w:tcW w:w="1800" w:type="dxa"/>
            <w:vAlign w:val="bottom"/>
            <w:tcBorders>
              <w:bottom w:val="single" w:sz="8" w:color="auto"/>
              <w:right w:val="single" w:sz="8" w:color="auto"/>
            </w:tcBorders>
          </w:tcPr>
          <w:p>
            <w:pPr>
              <w:spacing w:after="0"/>
              <w:rPr>
                <w:sz w:val="24"/>
                <w:szCs w:val="24"/>
                <w:color w:val="auto"/>
              </w:rPr>
            </w:pPr>
          </w:p>
        </w:tc>
      </w:tr>
      <w:tr>
        <w:trPr>
          <w:trHeight w:val="388"/>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b w:val="1"/>
                <w:bCs w:val="1"/>
                <w:color w:val="auto"/>
              </w:rPr>
              <w:t>3.0.0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b w:val="1"/>
                <w:bCs w:val="1"/>
                <w:color w:val="auto"/>
              </w:rPr>
              <w:t>PORT OPERATIONS</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b w:val="1"/>
                <w:bCs w:val="1"/>
                <w:color w:val="auto"/>
                <w:w w:val="98"/>
              </w:rPr>
              <w:t>19</w:t>
            </w:r>
          </w:p>
        </w:tc>
      </w:tr>
      <w:tr>
        <w:trPr>
          <w:trHeight w:val="386"/>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3.1.0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Harbour Master and Assistant Harbour Master Appointment</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19</w:t>
            </w:r>
          </w:p>
        </w:tc>
      </w:tr>
      <w:tr>
        <w:trPr>
          <w:trHeight w:val="388"/>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3.2.0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Licensing and Certification</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20</w:t>
            </w:r>
          </w:p>
        </w:tc>
      </w:tr>
      <w:tr>
        <w:trPr>
          <w:trHeight w:val="386"/>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3.3.0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Maintenance Dredging</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21</w:t>
            </w:r>
          </w:p>
        </w:tc>
      </w:tr>
      <w:tr>
        <w:trPr>
          <w:trHeight w:val="388"/>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3.4.0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Management of Navigation Hazards</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21</w:t>
            </w:r>
          </w:p>
        </w:tc>
      </w:tr>
      <w:tr>
        <w:trPr>
          <w:trHeight w:val="388"/>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3.5.0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Management of Trade, Shipping and Market Information</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22</w:t>
            </w:r>
          </w:p>
        </w:tc>
      </w:tr>
      <w:tr>
        <w:trPr>
          <w:trHeight w:val="386"/>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3.6.0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Road Safety and Traffic Management</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22</w:t>
            </w:r>
          </w:p>
        </w:tc>
      </w:tr>
      <w:tr>
        <w:trPr>
          <w:trHeight w:val="388"/>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3.7.0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Shipping Traffic Management</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23</w:t>
            </w:r>
          </w:p>
        </w:tc>
      </w:tr>
      <w:tr>
        <w:trPr>
          <w:trHeight w:val="386"/>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3.8.0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Spatial Information Management</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24</w:t>
            </w:r>
          </w:p>
        </w:tc>
      </w:tr>
      <w:tr>
        <w:trPr>
          <w:trHeight w:val="388"/>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3.9.0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Tidal Data Collection</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24</w:t>
            </w:r>
          </w:p>
        </w:tc>
      </w:tr>
      <w:tr>
        <w:trPr>
          <w:trHeight w:val="386"/>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3.10.0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Water Measurement</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25</w:t>
            </w:r>
          </w:p>
        </w:tc>
      </w:tr>
      <w:tr>
        <w:trPr>
          <w:trHeight w:val="388"/>
        </w:trPr>
        <w:tc>
          <w:tcPr>
            <w:tcW w:w="700" w:type="dxa"/>
            <w:vAlign w:val="bottom"/>
            <w:tcBorders>
              <w:left w:val="single" w:sz="8" w:color="auto"/>
              <w:bottom w:val="single" w:sz="8" w:color="auto"/>
            </w:tcBorders>
          </w:tcPr>
          <w:p>
            <w:pPr>
              <w:spacing w:after="0"/>
              <w:rPr>
                <w:sz w:val="24"/>
                <w:szCs w:val="24"/>
                <w:color w:val="auto"/>
              </w:rPr>
            </w:pP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spacing w:after="0"/>
              <w:rPr>
                <w:sz w:val="24"/>
                <w:szCs w:val="24"/>
                <w:color w:val="auto"/>
              </w:rPr>
            </w:pPr>
          </w:p>
        </w:tc>
        <w:tc>
          <w:tcPr>
            <w:tcW w:w="1800" w:type="dxa"/>
            <w:vAlign w:val="bottom"/>
            <w:tcBorders>
              <w:bottom w:val="single" w:sz="8" w:color="auto"/>
              <w:right w:val="single" w:sz="8" w:color="auto"/>
            </w:tcBorders>
          </w:tcPr>
          <w:p>
            <w:pPr>
              <w:spacing w:after="0"/>
              <w:rPr>
                <w:sz w:val="24"/>
                <w:szCs w:val="24"/>
                <w:color w:val="auto"/>
              </w:rPr>
            </w:pPr>
          </w:p>
        </w:tc>
      </w:tr>
      <w:tr>
        <w:trPr>
          <w:trHeight w:val="388"/>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b w:val="1"/>
                <w:bCs w:val="1"/>
                <w:color w:val="auto"/>
              </w:rPr>
              <w:t>4.0.0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b w:val="1"/>
                <w:bCs w:val="1"/>
                <w:color w:val="auto"/>
              </w:rPr>
              <w:t>PROPERTY MANAGEMENT</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b w:val="1"/>
                <w:bCs w:val="1"/>
                <w:color w:val="auto"/>
                <w:w w:val="98"/>
              </w:rPr>
              <w:t>26</w:t>
            </w:r>
          </w:p>
        </w:tc>
      </w:tr>
      <w:tr>
        <w:trPr>
          <w:trHeight w:val="386"/>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4.1.0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Land Management</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26</w:t>
            </w:r>
          </w:p>
        </w:tc>
      </w:tr>
      <w:tr>
        <w:trPr>
          <w:trHeight w:val="388"/>
        </w:trPr>
        <w:tc>
          <w:tcPr>
            <w:tcW w:w="700" w:type="dxa"/>
            <w:vAlign w:val="bottom"/>
            <w:tcBorders>
              <w:left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4.2.0</w:t>
            </w: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Land Monitoring</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27</w:t>
            </w:r>
          </w:p>
        </w:tc>
      </w:tr>
      <w:tr>
        <w:trPr>
          <w:trHeight w:val="386"/>
        </w:trPr>
        <w:tc>
          <w:tcPr>
            <w:tcW w:w="700" w:type="dxa"/>
            <w:vAlign w:val="bottom"/>
            <w:tcBorders>
              <w:left w:val="single" w:sz="8" w:color="auto"/>
              <w:bottom w:val="single" w:sz="8" w:color="auto"/>
            </w:tcBorders>
          </w:tcPr>
          <w:p>
            <w:pPr>
              <w:spacing w:after="0"/>
              <w:rPr>
                <w:sz w:val="24"/>
                <w:szCs w:val="24"/>
                <w:color w:val="auto"/>
              </w:rPr>
            </w:pPr>
          </w:p>
        </w:tc>
        <w:tc>
          <w:tcPr>
            <w:tcW w:w="580" w:type="dxa"/>
            <w:vAlign w:val="bottom"/>
            <w:tcBorders>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spacing w:after="0"/>
              <w:rPr>
                <w:sz w:val="24"/>
                <w:szCs w:val="24"/>
                <w:color w:val="auto"/>
              </w:rPr>
            </w:pPr>
          </w:p>
        </w:tc>
        <w:tc>
          <w:tcPr>
            <w:tcW w:w="18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ectPr>
          <w:pgSz w:w="11900" w:h="16838" w:orient="portrait"/>
          <w:cols w:equalWidth="0" w:num="1">
            <w:col w:w="9920"/>
          </w:cols>
          <w:pgMar w:left="11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9920"/>
          </w:cols>
          <w:pgMar w:left="1120" w:top="692" w:right="866" w:bottom="160" w:gutter="0" w:footer="0" w:header="0"/>
          <w:type w:val="continuous"/>
        </w:sectPr>
      </w:pPr>
    </w:p>
    <w:bookmarkStart w:id="9" w:name="page10"/>
    <w:bookmarkEnd w:id="9"/>
    <w:tbl>
      <w:tblPr>
        <w:tblLayout w:type="fixed"/>
        <w:tblInd w:w="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10</w:t>
            </w:r>
          </w:p>
        </w:tc>
      </w:tr>
    </w:tbl>
    <w:p>
      <w:pPr>
        <w:spacing w:after="0" w:line="200" w:lineRule="exact"/>
        <w:rPr>
          <w:sz w:val="20"/>
          <w:szCs w:val="20"/>
          <w:color w:val="auto"/>
        </w:rPr>
      </w:pPr>
    </w:p>
    <w:p>
      <w:pPr>
        <w:spacing w:after="0" w:line="314" w:lineRule="exact"/>
        <w:rPr>
          <w:sz w:val="20"/>
          <w:szCs w:val="20"/>
          <w:color w:val="auto"/>
        </w:rPr>
      </w:pPr>
    </w:p>
    <w:tbl>
      <w:tblPr>
        <w:tblLayout w:type="fixed"/>
        <w:tblInd w:w="10" w:type="dxa"/>
        <w:tblCellMar>
          <w:top w:w="0" w:type="dxa"/>
          <w:left w:w="0" w:type="dxa"/>
          <w:bottom w:w="0" w:type="dxa"/>
          <w:right w:w="0" w:type="dxa"/>
        </w:tblCellMar>
      </w:tblPr>
      <w:tr>
        <w:trPr>
          <w:trHeight w:val="408"/>
        </w:trPr>
        <w:tc>
          <w:tcPr>
            <w:tcW w:w="1280" w:type="dxa"/>
            <w:vAlign w:val="bottom"/>
            <w:tcBorders>
              <w:top w:val="single" w:sz="8" w:color="auto"/>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2"/>
                <w:szCs w:val="22"/>
                <w:b w:val="1"/>
                <w:bCs w:val="1"/>
                <w:color w:val="008080"/>
              </w:rPr>
              <w:t>Class No.</w:t>
            </w:r>
          </w:p>
        </w:tc>
        <w:tc>
          <w:tcPr>
            <w:tcW w:w="686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2"/>
                <w:szCs w:val="22"/>
                <w:b w:val="1"/>
                <w:bCs w:val="1"/>
                <w:color w:val="008080"/>
              </w:rPr>
              <w:t>Function / Activity</w:t>
            </w:r>
          </w:p>
        </w:tc>
        <w:tc>
          <w:tcPr>
            <w:tcW w:w="180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22"/>
                <w:szCs w:val="22"/>
                <w:b w:val="1"/>
                <w:bCs w:val="1"/>
                <w:color w:val="008080"/>
                <w:w w:val="99"/>
              </w:rPr>
              <w:t>Page No.</w:t>
            </w:r>
          </w:p>
        </w:tc>
      </w:tr>
      <w:tr>
        <w:trPr>
          <w:trHeight w:val="390"/>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b w:val="1"/>
                <w:bCs w:val="1"/>
                <w:color w:val="auto"/>
              </w:rPr>
              <w:t>5.0.0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b w:val="1"/>
                <w:bCs w:val="1"/>
                <w:color w:val="auto"/>
              </w:rPr>
              <w:t>SAFETY; SECURITY AND EMERGENCY MANAGEMENT</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b w:val="1"/>
                <w:bCs w:val="1"/>
                <w:color w:val="auto"/>
                <w:w w:val="98"/>
              </w:rPr>
              <w:t>28</w:t>
            </w:r>
          </w:p>
        </w:tc>
      </w:tr>
      <w:tr>
        <w:trPr>
          <w:trHeight w:val="388"/>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5.1.0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Bunker Permitting</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28</w:t>
            </w:r>
          </w:p>
        </w:tc>
      </w:tr>
      <w:tr>
        <w:trPr>
          <w:trHeight w:val="386"/>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5.2.0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External Incident Investigations</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28</w:t>
            </w:r>
          </w:p>
        </w:tc>
      </w:tr>
      <w:tr>
        <w:trPr>
          <w:trHeight w:val="388"/>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5.3.0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Internal Incident Investigations</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29</w:t>
            </w:r>
          </w:p>
        </w:tc>
      </w:tr>
      <w:tr>
        <w:trPr>
          <w:trHeight w:val="388"/>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5.4.0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Monitoring and Auditing</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31</w:t>
            </w:r>
          </w:p>
        </w:tc>
      </w:tr>
      <w:tr>
        <w:trPr>
          <w:trHeight w:val="386"/>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5.5.0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Security Pass Register</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32</w:t>
            </w:r>
          </w:p>
        </w:tc>
      </w:tr>
      <w:tr>
        <w:trPr>
          <w:trHeight w:val="393"/>
        </w:trPr>
        <w:tc>
          <w:tcPr>
            <w:tcW w:w="1280" w:type="dxa"/>
            <w:vAlign w:val="bottom"/>
            <w:tcBorders>
              <w:left w:val="single" w:sz="8" w:color="auto"/>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spacing w:after="0"/>
              <w:rPr>
                <w:sz w:val="24"/>
                <w:szCs w:val="24"/>
                <w:color w:val="auto"/>
              </w:rPr>
            </w:pPr>
          </w:p>
        </w:tc>
        <w:tc>
          <w:tcPr>
            <w:tcW w:w="1800" w:type="dxa"/>
            <w:vAlign w:val="bottom"/>
            <w:tcBorders>
              <w:bottom w:val="single" w:sz="8" w:color="auto"/>
              <w:right w:val="single" w:sz="8" w:color="auto"/>
            </w:tcBorders>
          </w:tcPr>
          <w:p>
            <w:pPr>
              <w:spacing w:after="0"/>
              <w:rPr>
                <w:sz w:val="24"/>
                <w:szCs w:val="24"/>
                <w:color w:val="auto"/>
              </w:rPr>
            </w:pPr>
          </w:p>
        </w:tc>
      </w:tr>
      <w:tr>
        <w:trPr>
          <w:trHeight w:val="393"/>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b w:val="1"/>
                <w:bCs w:val="1"/>
                <w:color w:val="auto"/>
              </w:rPr>
              <w:t>6.0.0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b w:val="1"/>
                <w:bCs w:val="1"/>
                <w:color w:val="auto"/>
              </w:rPr>
              <w:t>STAKEHOLDER MANAGEMENT</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b w:val="1"/>
                <w:bCs w:val="1"/>
                <w:color w:val="auto"/>
                <w:w w:val="98"/>
              </w:rPr>
              <w:t>33</w:t>
            </w:r>
          </w:p>
        </w:tc>
      </w:tr>
      <w:tr>
        <w:trPr>
          <w:trHeight w:val="390"/>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6.1.0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Customs Duties</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33</w:t>
            </w:r>
          </w:p>
        </w:tc>
      </w:tr>
      <w:tr>
        <w:trPr>
          <w:trHeight w:val="388"/>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6.2.0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Education and Awareness</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34</w:t>
            </w:r>
          </w:p>
        </w:tc>
      </w:tr>
      <w:tr>
        <w:trPr>
          <w:trHeight w:val="386"/>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6.3.0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Port Partnerships</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35</w:t>
            </w:r>
          </w:p>
        </w:tc>
      </w:tr>
      <w:tr>
        <w:trPr>
          <w:trHeight w:val="388"/>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6.4.0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Quarantine Compliance</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36</w:t>
            </w:r>
          </w:p>
        </w:tc>
      </w:tr>
      <w:tr>
        <w:trPr>
          <w:trHeight w:val="388"/>
        </w:trPr>
        <w:tc>
          <w:tcPr>
            <w:tcW w:w="1280" w:type="dxa"/>
            <w:vAlign w:val="bottom"/>
            <w:tcBorders>
              <w:left w:val="single" w:sz="8" w:color="auto"/>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spacing w:after="0"/>
              <w:rPr>
                <w:sz w:val="24"/>
                <w:szCs w:val="24"/>
                <w:color w:val="auto"/>
              </w:rPr>
            </w:pPr>
          </w:p>
        </w:tc>
        <w:tc>
          <w:tcPr>
            <w:tcW w:w="1800" w:type="dxa"/>
            <w:vAlign w:val="bottom"/>
            <w:tcBorders>
              <w:bottom w:val="single" w:sz="8" w:color="auto"/>
              <w:right w:val="single" w:sz="8" w:color="auto"/>
            </w:tcBorders>
          </w:tcPr>
          <w:p>
            <w:pPr>
              <w:spacing w:after="0"/>
              <w:rPr>
                <w:sz w:val="24"/>
                <w:szCs w:val="24"/>
                <w:color w:val="auto"/>
              </w:rPr>
            </w:pPr>
          </w:p>
        </w:tc>
      </w:tr>
      <w:tr>
        <w:trPr>
          <w:trHeight w:val="390"/>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b w:val="1"/>
                <w:bCs w:val="1"/>
                <w:color w:val="auto"/>
              </w:rPr>
              <w:t>7.0.0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b w:val="1"/>
                <w:bCs w:val="1"/>
                <w:color w:val="auto"/>
              </w:rPr>
              <w:t>VESSEL MANAGEMENT</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b w:val="1"/>
                <w:bCs w:val="1"/>
                <w:color w:val="auto"/>
                <w:w w:val="98"/>
              </w:rPr>
              <w:t>37</w:t>
            </w:r>
          </w:p>
        </w:tc>
      </w:tr>
      <w:tr>
        <w:trPr>
          <w:trHeight w:val="393"/>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7.1.0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Cargo Management</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37</w:t>
            </w:r>
          </w:p>
        </w:tc>
      </w:tr>
      <w:tr>
        <w:trPr>
          <w:trHeight w:val="393"/>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7.2.0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Cruise Ship Management</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38</w:t>
            </w:r>
          </w:p>
        </w:tc>
      </w:tr>
      <w:tr>
        <w:trPr>
          <w:trHeight w:val="390"/>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7.3.0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Services to Ships</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39</w:t>
            </w:r>
          </w:p>
        </w:tc>
      </w:tr>
      <w:tr>
        <w:trPr>
          <w:trHeight w:val="393"/>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7.4.0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Sewage and Discharge</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40</w:t>
            </w:r>
          </w:p>
        </w:tc>
      </w:tr>
      <w:tr>
        <w:trPr>
          <w:trHeight w:val="393"/>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7.5.0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Wrecks and Dive Sites</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40</w:t>
            </w:r>
          </w:p>
        </w:tc>
      </w:tr>
      <w:tr>
        <w:trPr>
          <w:trHeight w:val="390"/>
        </w:trPr>
        <w:tc>
          <w:tcPr>
            <w:tcW w:w="1280" w:type="dxa"/>
            <w:vAlign w:val="bottom"/>
            <w:tcBorders>
              <w:left w:val="single" w:sz="8" w:color="auto"/>
              <w:bottom w:val="single" w:sz="8" w:color="auto"/>
              <w:right w:val="single" w:sz="8" w:color="auto"/>
            </w:tcBorders>
          </w:tcPr>
          <w:p>
            <w:pPr>
              <w:spacing w:after="0"/>
              <w:rPr>
                <w:sz w:val="24"/>
                <w:szCs w:val="24"/>
                <w:color w:val="auto"/>
              </w:rPr>
            </w:pPr>
          </w:p>
        </w:tc>
        <w:tc>
          <w:tcPr>
            <w:tcW w:w="6860" w:type="dxa"/>
            <w:vAlign w:val="bottom"/>
            <w:tcBorders>
              <w:bottom w:val="single" w:sz="8" w:color="auto"/>
              <w:right w:val="single" w:sz="8" w:color="auto"/>
            </w:tcBorders>
          </w:tcPr>
          <w:p>
            <w:pPr>
              <w:spacing w:after="0"/>
              <w:rPr>
                <w:sz w:val="24"/>
                <w:szCs w:val="24"/>
                <w:color w:val="auto"/>
              </w:rPr>
            </w:pPr>
          </w:p>
        </w:tc>
        <w:tc>
          <w:tcPr>
            <w:tcW w:w="1800" w:type="dxa"/>
            <w:vAlign w:val="bottom"/>
            <w:tcBorders>
              <w:bottom w:val="single" w:sz="8" w:color="auto"/>
              <w:right w:val="single" w:sz="8" w:color="auto"/>
            </w:tcBorders>
          </w:tcPr>
          <w:p>
            <w:pPr>
              <w:spacing w:after="0"/>
              <w:rPr>
                <w:sz w:val="24"/>
                <w:szCs w:val="24"/>
                <w:color w:val="auto"/>
              </w:rPr>
            </w:pPr>
          </w:p>
        </w:tc>
      </w:tr>
      <w:tr>
        <w:trPr>
          <w:trHeight w:val="388"/>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b w:val="1"/>
                <w:bCs w:val="1"/>
                <w:color w:val="auto"/>
              </w:rPr>
              <w:t>8.0.0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b w:val="1"/>
                <w:bCs w:val="1"/>
                <w:color w:val="auto"/>
              </w:rPr>
              <w:t>CHANNEL DEEPENING PROJECT (CDP)</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b w:val="1"/>
                <w:bCs w:val="1"/>
                <w:color w:val="auto"/>
                <w:w w:val="98"/>
              </w:rPr>
              <w:t>41</w:t>
            </w:r>
          </w:p>
        </w:tc>
      </w:tr>
      <w:tr>
        <w:trPr>
          <w:trHeight w:val="386"/>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8.1.0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Channel Design</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41</w:t>
            </w:r>
          </w:p>
        </w:tc>
      </w:tr>
      <w:tr>
        <w:trPr>
          <w:trHeight w:val="388"/>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8.2.0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Environmental Management and Monitoring</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42</w:t>
            </w:r>
          </w:p>
        </w:tc>
      </w:tr>
      <w:tr>
        <w:trPr>
          <w:trHeight w:val="388"/>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8.3.0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Financial Management</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43</w:t>
            </w:r>
          </w:p>
        </w:tc>
      </w:tr>
      <w:tr>
        <w:trPr>
          <w:trHeight w:val="386"/>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8.4.0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Infrastructure Protection</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43</w:t>
            </w:r>
          </w:p>
        </w:tc>
      </w:tr>
      <w:tr>
        <w:trPr>
          <w:trHeight w:val="388"/>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8.5.0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Integrated Management Systems</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44</w:t>
            </w:r>
          </w:p>
        </w:tc>
      </w:tr>
      <w:tr>
        <w:trPr>
          <w:trHeight w:val="386"/>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8.6.0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Partnership Relations</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44</w:t>
            </w:r>
          </w:p>
        </w:tc>
      </w:tr>
      <w:tr>
        <w:trPr>
          <w:trHeight w:val="388"/>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8.7.0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Project Management and Governance</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45</w:t>
            </w:r>
          </w:p>
        </w:tc>
      </w:tr>
      <w:tr>
        <w:trPr>
          <w:trHeight w:val="386"/>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8.8.0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Spatial Information Management</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45</w:t>
            </w:r>
          </w:p>
        </w:tc>
      </w:tr>
      <w:tr>
        <w:trPr>
          <w:trHeight w:val="388"/>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8.9.0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Stakeholder Relations</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45</w:t>
            </w:r>
          </w:p>
        </w:tc>
      </w:tr>
      <w:tr>
        <w:trPr>
          <w:trHeight w:val="388"/>
        </w:trPr>
        <w:tc>
          <w:tcPr>
            <w:tcW w:w="128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8.10.0</w:t>
            </w:r>
          </w:p>
        </w:tc>
        <w:tc>
          <w:tcPr>
            <w:tcW w:w="68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Trial Dredge Program</w:t>
            </w:r>
          </w:p>
        </w:tc>
        <w:tc>
          <w:tcPr>
            <w:tcW w:w="1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8"/>
              </w:rPr>
              <w:t>46</w:t>
            </w:r>
          </w:p>
        </w:tc>
      </w:tr>
    </w:tbl>
    <w:p>
      <w:pPr>
        <w:spacing w:after="0" w:line="200" w:lineRule="exact"/>
        <w:rPr>
          <w:sz w:val="20"/>
          <w:szCs w:val="20"/>
          <w:color w:val="auto"/>
        </w:rPr>
      </w:pPr>
    </w:p>
    <w:p>
      <w:pPr>
        <w:sectPr>
          <w:pgSz w:w="11900" w:h="16838" w:orient="portrait"/>
          <w:cols w:equalWidth="0" w:num="1">
            <w:col w:w="9920"/>
          </w:cols>
          <w:pgMar w:left="11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9920"/>
          </w:cols>
          <w:pgMar w:left="1120" w:top="692" w:right="866" w:bottom="160" w:gutter="0" w:footer="0" w:header="0"/>
          <w:type w:val="continuous"/>
        </w:sectPr>
      </w:pPr>
    </w:p>
    <w:bookmarkStart w:id="10" w:name="page11"/>
    <w:bookmarkEnd w:id="10"/>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11</w:t>
            </w:r>
          </w:p>
        </w:tc>
      </w:tr>
    </w:tbl>
    <w:p>
      <w:pPr>
        <w:spacing w:after="0" w:line="200" w:lineRule="exact"/>
        <w:rPr>
          <w:sz w:val="20"/>
          <w:szCs w:val="20"/>
          <w:color w:val="auto"/>
        </w:rPr>
      </w:pPr>
    </w:p>
    <w:p>
      <w:pPr>
        <w:spacing w:after="0" w:line="305" w:lineRule="exact"/>
        <w:rPr>
          <w:sz w:val="20"/>
          <w:szCs w:val="20"/>
          <w:color w:val="auto"/>
        </w:rPr>
      </w:pPr>
    </w:p>
    <w:p>
      <w:pPr>
        <w:ind w:left="840" w:hanging="727"/>
        <w:spacing w:after="0"/>
        <w:tabs>
          <w:tab w:leader="none" w:pos="840" w:val="left"/>
        </w:tabs>
        <w:numPr>
          <w:ilvl w:val="0"/>
          <w:numId w:val="4"/>
        </w:numPr>
        <w:rPr>
          <w:rFonts w:ascii="Arial" w:cs="Arial" w:eastAsia="Arial" w:hAnsi="Arial"/>
          <w:sz w:val="36"/>
          <w:szCs w:val="36"/>
          <w:color w:val="008080"/>
        </w:rPr>
      </w:pPr>
      <w:r>
        <w:rPr>
          <w:rFonts w:ascii="Arial" w:cs="Arial" w:eastAsia="Arial" w:hAnsi="Arial"/>
          <w:sz w:val="36"/>
          <w:szCs w:val="36"/>
          <w:color w:val="008080"/>
        </w:rPr>
        <w:t>Retention &amp; Disposal Authority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6357620</wp:posOffset>
                </wp:positionH>
                <wp:positionV relativeFrom="paragraph">
                  <wp:posOffset>178435</wp:posOffset>
                </wp:positionV>
                <wp:extent cx="0" cy="750443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5044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14.05pt" to="500.6pt,604.9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181610</wp:posOffset>
                </wp:positionV>
                <wp:extent cx="636079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3pt" to="500.85pt,14.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178435</wp:posOffset>
                </wp:positionV>
                <wp:extent cx="0" cy="750443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5044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4.05pt" to="0.2pt,604.95pt" o:allowincell="f" strokecolor="#000000" strokeweight="0.4799pt"/>
            </w:pict>
          </mc:Fallback>
        </mc:AlternateContent>
      </w:r>
    </w:p>
    <w:p>
      <w:pPr>
        <w:spacing w:after="0" w:line="200" w:lineRule="exact"/>
        <w:rPr>
          <w:sz w:val="20"/>
          <w:szCs w:val="20"/>
          <w:color w:val="auto"/>
        </w:rPr>
      </w:pPr>
    </w:p>
    <w:p>
      <w:pPr>
        <w:spacing w:after="0" w:line="257"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1: ENVIRONMENTAL MANAGEMENT</w:t>
      </w:r>
    </w:p>
    <w:p>
      <w:pPr>
        <w:spacing w:after="0" w:line="107" w:lineRule="exact"/>
        <w:rPr>
          <w:sz w:val="20"/>
          <w:szCs w:val="20"/>
          <w:color w:val="auto"/>
        </w:rPr>
      </w:pPr>
    </w:p>
    <w:tbl>
      <w:tblPr>
        <w:tblLayout w:type="fixed"/>
        <w:tblInd w:w="0" w:type="dxa"/>
        <w:tblCellMar>
          <w:top w:w="0" w:type="dxa"/>
          <w:left w:w="0" w:type="dxa"/>
          <w:bottom w:w="0" w:type="dxa"/>
          <w:right w:w="0" w:type="dxa"/>
        </w:tblCellMar>
      </w:tblPr>
      <w:tr>
        <w:trPr>
          <w:trHeight w:val="478"/>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26"/>
        </w:trPr>
        <w:tc>
          <w:tcPr>
            <w:tcW w:w="1120" w:type="dxa"/>
            <w:vAlign w:val="bottom"/>
            <w:tcBorders>
              <w:right w:val="single" w:sz="8" w:color="auto"/>
            </w:tcBorders>
            <w:vMerge w:val="continue"/>
          </w:tcPr>
          <w:p>
            <w:pPr>
              <w:spacing w:after="0"/>
              <w:rPr>
                <w:sz w:val="2"/>
                <w:szCs w:val="2"/>
                <w:color w:val="auto"/>
              </w:rPr>
            </w:pPr>
          </w:p>
        </w:tc>
        <w:tc>
          <w:tcPr>
            <w:tcW w:w="4960" w:type="dxa"/>
            <w:vAlign w:val="bottom"/>
            <w:tcBorders>
              <w:bottom w:val="single" w:sz="8" w:color="auto"/>
              <w:right w:val="single" w:sz="8" w:color="auto"/>
            </w:tcBorders>
            <w:vMerge w:val="continue"/>
          </w:tcPr>
          <w:p>
            <w:pPr>
              <w:spacing w:after="0"/>
              <w:rPr>
                <w:sz w:val="2"/>
                <w:szCs w:val="2"/>
                <w:color w:val="auto"/>
              </w:rPr>
            </w:pPr>
          </w:p>
        </w:tc>
        <w:tc>
          <w:tcPr>
            <w:tcW w:w="1840" w:type="dxa"/>
            <w:vAlign w:val="bottom"/>
            <w:tcBorders>
              <w:bottom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4"/>
        </w:trPr>
        <w:tc>
          <w:tcPr>
            <w:tcW w:w="1120" w:type="dxa"/>
            <w:vAlign w:val="bottom"/>
            <w:tcBorders>
              <w:right w:val="single" w:sz="8" w:color="auto"/>
            </w:tcBorders>
          </w:tcPr>
          <w:p>
            <w:pPr>
              <w:spacing w:after="0"/>
              <w:rPr>
                <w:sz w:val="8"/>
                <w:szCs w:val="8"/>
                <w:color w:val="auto"/>
              </w:rPr>
            </w:pPr>
          </w:p>
        </w:tc>
        <w:tc>
          <w:tcPr>
            <w:tcW w:w="4960" w:type="dxa"/>
            <w:vAlign w:val="bottom"/>
            <w:tcBorders>
              <w:right w:val="single" w:sz="8" w:color="auto"/>
            </w:tcBorders>
          </w:tcPr>
          <w:p>
            <w:pPr>
              <w:spacing w:after="0"/>
              <w:rPr>
                <w:sz w:val="8"/>
                <w:szCs w:val="8"/>
                <w:color w:val="auto"/>
              </w:rPr>
            </w:pPr>
          </w:p>
        </w:tc>
        <w:tc>
          <w:tcPr>
            <w:tcW w:w="1840" w:type="dxa"/>
            <w:vAlign w:val="bottom"/>
            <w:tcBorders>
              <w:right w:val="single" w:sz="8" w:color="auto"/>
            </w:tcBorders>
            <w:vMerge w:val="continue"/>
          </w:tcPr>
          <w:p>
            <w:pPr>
              <w:spacing w:after="0"/>
              <w:rPr>
                <w:sz w:val="8"/>
                <w:szCs w:val="8"/>
                <w:color w:val="auto"/>
              </w:rPr>
            </w:pPr>
          </w:p>
        </w:tc>
        <w:tc>
          <w:tcPr>
            <w:tcW w:w="21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6"/>
        </w:trPr>
        <w:tc>
          <w:tcPr>
            <w:tcW w:w="1120" w:type="dxa"/>
            <w:vAlign w:val="bottom"/>
            <w:tcBorders>
              <w:bottom w:val="single" w:sz="8" w:color="auto"/>
              <w:right w:val="single" w:sz="8" w:color="auto"/>
            </w:tcBorders>
          </w:tcPr>
          <w:p>
            <w:pPr>
              <w:spacing w:after="0"/>
              <w:rPr>
                <w:sz w:val="2"/>
                <w:szCs w:val="2"/>
                <w:color w:val="auto"/>
              </w:rPr>
            </w:pPr>
          </w:p>
        </w:tc>
        <w:tc>
          <w:tcPr>
            <w:tcW w:w="49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1.0.0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ENVIRONMENTAL MANAGEMENT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2"/>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function of protecting and maintaining the</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marine and land environment. Includes waste</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reduction, management of hazardous materials,</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land remediation and pollution control.</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working parties and</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advisory groups, use the Committees section of</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General Retention &amp; Disposal Authority for</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of Common 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complaints use the</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Community Relations section of the General</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Retention &amp; Disposal Authority for Records of</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Common 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1.1.0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Environmental Incidents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2"/>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management of incidents of chemical</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contamination, oil spills or pollution concerns</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hazards in and surrounding land and</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waters.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1.1.1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clean up operations relating</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to chemical contamination, spills or pollution</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issues affecting land and waters or operations.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24"/>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4" w:lineRule="exact"/>
              <w:rPr>
                <w:sz w:val="20"/>
                <w:szCs w:val="20"/>
                <w:color w:val="auto"/>
              </w:rPr>
            </w:pPr>
            <w:r>
              <w:rPr>
                <w:rFonts w:ascii="Arial" w:cs="Arial" w:eastAsia="Arial" w:hAnsi="Arial"/>
                <w:sz w:val="22"/>
                <w:szCs w:val="22"/>
                <w:color w:val="auto"/>
              </w:rPr>
              <w:t>These operations result in action being taken to</w:t>
            </w: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4" w:lineRule="exact"/>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remediate the situation or a change to policy</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practice. Includes dust suppression</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24"/>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4" w:lineRule="exact"/>
              <w:rPr>
                <w:sz w:val="20"/>
                <w:szCs w:val="20"/>
                <w:color w:val="auto"/>
              </w:rPr>
            </w:pPr>
            <w:r>
              <w:rPr>
                <w:rFonts w:ascii="Arial" w:cs="Arial" w:eastAsia="Arial" w:hAnsi="Arial"/>
                <w:sz w:val="22"/>
                <w:szCs w:val="22"/>
                <w:color w:val="auto"/>
              </w:rPr>
              <w:t>programs, the use of containment and other</w:t>
            </w: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4" w:lineRule="exact"/>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315"/>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technologies and subsequent lobbying</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1.1.2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clean up operations which</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have been cleaned up by non-technical means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7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or where no clean-up was undertaken. Includes</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clean up of garbage and general litter.</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11" w:name="page12"/>
    <w:bookmarkEnd w:id="11"/>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12</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751014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5101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630.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751014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5101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630.6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1: ENVIRONMENTAL MANAGEMENT</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478"/>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26"/>
        </w:trPr>
        <w:tc>
          <w:tcPr>
            <w:tcW w:w="1120" w:type="dxa"/>
            <w:vAlign w:val="bottom"/>
            <w:tcBorders>
              <w:right w:val="single" w:sz="8" w:color="auto"/>
            </w:tcBorders>
            <w:vMerge w:val="continue"/>
          </w:tcPr>
          <w:p>
            <w:pPr>
              <w:spacing w:after="0"/>
              <w:rPr>
                <w:sz w:val="2"/>
                <w:szCs w:val="2"/>
                <w:color w:val="auto"/>
              </w:rPr>
            </w:pPr>
          </w:p>
        </w:tc>
        <w:tc>
          <w:tcPr>
            <w:tcW w:w="4960" w:type="dxa"/>
            <w:vAlign w:val="bottom"/>
            <w:tcBorders>
              <w:bottom w:val="single" w:sz="8" w:color="auto"/>
              <w:right w:val="single" w:sz="8" w:color="auto"/>
            </w:tcBorders>
            <w:vMerge w:val="continue"/>
          </w:tcPr>
          <w:p>
            <w:pPr>
              <w:spacing w:after="0"/>
              <w:rPr>
                <w:sz w:val="2"/>
                <w:szCs w:val="2"/>
                <w:color w:val="auto"/>
              </w:rPr>
            </w:pPr>
          </w:p>
        </w:tc>
        <w:tc>
          <w:tcPr>
            <w:tcW w:w="1840" w:type="dxa"/>
            <w:vAlign w:val="bottom"/>
            <w:tcBorders>
              <w:bottom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61"/>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1"/>
        </w:trPr>
        <w:tc>
          <w:tcPr>
            <w:tcW w:w="1120" w:type="dxa"/>
            <w:vAlign w:val="bottom"/>
            <w:tcBorders>
              <w:right w:val="single" w:sz="8" w:color="auto"/>
            </w:tcBorders>
          </w:tcPr>
          <w:p>
            <w:pPr>
              <w:spacing w:after="0"/>
              <w:rPr>
                <w:sz w:val="7"/>
                <w:szCs w:val="7"/>
                <w:color w:val="auto"/>
              </w:rPr>
            </w:pPr>
          </w:p>
        </w:tc>
        <w:tc>
          <w:tcPr>
            <w:tcW w:w="4960" w:type="dxa"/>
            <w:vAlign w:val="bottom"/>
            <w:tcBorders>
              <w:right w:val="single" w:sz="8" w:color="auto"/>
            </w:tcBorders>
          </w:tcPr>
          <w:p>
            <w:pPr>
              <w:spacing w:after="0"/>
              <w:rPr>
                <w:sz w:val="7"/>
                <w:szCs w:val="7"/>
                <w:color w:val="auto"/>
              </w:rPr>
            </w:pPr>
          </w:p>
        </w:tc>
        <w:tc>
          <w:tcPr>
            <w:tcW w:w="1840" w:type="dxa"/>
            <w:vAlign w:val="bottom"/>
            <w:tcBorders>
              <w:right w:val="single" w:sz="8" w:color="auto"/>
            </w:tcBorders>
            <w:vMerge w:val="continue"/>
          </w:tcPr>
          <w:p>
            <w:pPr>
              <w:spacing w:after="0"/>
              <w:rPr>
                <w:sz w:val="7"/>
                <w:szCs w:val="7"/>
                <w:color w:val="auto"/>
              </w:rPr>
            </w:pPr>
          </w:p>
        </w:tc>
        <w:tc>
          <w:tcPr>
            <w:tcW w:w="21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6"/>
        </w:trPr>
        <w:tc>
          <w:tcPr>
            <w:tcW w:w="1120" w:type="dxa"/>
            <w:vAlign w:val="bottom"/>
            <w:tcBorders>
              <w:bottom w:val="single" w:sz="8" w:color="auto"/>
              <w:right w:val="single" w:sz="8" w:color="auto"/>
            </w:tcBorders>
          </w:tcPr>
          <w:p>
            <w:pPr>
              <w:spacing w:after="0"/>
              <w:rPr>
                <w:sz w:val="2"/>
                <w:szCs w:val="2"/>
                <w:color w:val="auto"/>
              </w:rPr>
            </w:pPr>
          </w:p>
        </w:tc>
        <w:tc>
          <w:tcPr>
            <w:tcW w:w="49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1.2.0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Environmental Risk Management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relating to the reduction of risk to the</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environment. Includes the preservation,</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remediation and maintenance of contaminated</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sites by removing contaminants or pollutants</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from land and restoring it to a more natural</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state.</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2"/>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the registration of</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hazardous substances, use the Occupational</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Health &amp; Safety section of the General</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Retention &amp; Disposal Authority for Records of</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Common 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1.2.1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Major remediation projects or works required to</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avoid potential health risk, which result in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significant changes to policy or where there is</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24"/>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4" w:lineRule="exact"/>
              <w:rPr>
                <w:sz w:val="20"/>
                <w:szCs w:val="20"/>
                <w:color w:val="auto"/>
              </w:rPr>
            </w:pPr>
            <w:r>
              <w:rPr>
                <w:rFonts w:ascii="Arial" w:cs="Arial" w:eastAsia="Arial" w:hAnsi="Arial"/>
                <w:sz w:val="22"/>
                <w:szCs w:val="22"/>
                <w:color w:val="auto"/>
              </w:rPr>
              <w:t>significant potential environmental impact.</w:t>
            </w: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4" w:lineRule="exact"/>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the transport and transfer of hazardous</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chemicals, dust suppression programs,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22"/>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2" w:lineRule="exact"/>
              <w:rPr>
                <w:sz w:val="20"/>
                <w:szCs w:val="20"/>
                <w:color w:val="auto"/>
              </w:rPr>
            </w:pPr>
            <w:r>
              <w:rPr>
                <w:rFonts w:ascii="Arial" w:cs="Arial" w:eastAsia="Arial" w:hAnsi="Arial"/>
                <w:sz w:val="22"/>
                <w:szCs w:val="22"/>
                <w:color w:val="auto"/>
              </w:rPr>
              <w:t>environmental studies and development of</w:t>
            </w: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2" w:lineRule="exact"/>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31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Environmental Impact Statements.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liaison with other agencies,</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environmental assessments and plans, final</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reports, advice, site inspections, remedial action,</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environmental monitoring, soil and water testing,</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statistics and the discharge of water and</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contaminated wastes from port facilities.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1.2.2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Minor remediation projects or work which are not</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of a significant value or impact.</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15</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Types of projects include the removal of</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years after last</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hazardous cargo and materials, the movement</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or removal of stockpiles, rodent control and</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discharge of wastes from vessels and the</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monitoring of chemical usage.</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83"/>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environmental assessments and plans,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final reports and records documenting advice,</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site inspections, remedial action, and</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environmental monitoring.</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12" w:name="page13"/>
    <w:bookmarkEnd w:id="12"/>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13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830262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026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69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830262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026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693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1: ENVIRONMENTAL MANAGEMENT</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478"/>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26"/>
        </w:trPr>
        <w:tc>
          <w:tcPr>
            <w:tcW w:w="1120" w:type="dxa"/>
            <w:vAlign w:val="bottom"/>
            <w:tcBorders>
              <w:right w:val="single" w:sz="8" w:color="auto"/>
            </w:tcBorders>
            <w:vMerge w:val="continue"/>
          </w:tcPr>
          <w:p>
            <w:pPr>
              <w:spacing w:after="0"/>
              <w:rPr>
                <w:sz w:val="2"/>
                <w:szCs w:val="2"/>
                <w:color w:val="auto"/>
              </w:rPr>
            </w:pPr>
          </w:p>
        </w:tc>
        <w:tc>
          <w:tcPr>
            <w:tcW w:w="4960" w:type="dxa"/>
            <w:vAlign w:val="bottom"/>
            <w:tcBorders>
              <w:bottom w:val="single" w:sz="8" w:color="auto"/>
              <w:right w:val="single" w:sz="8" w:color="auto"/>
            </w:tcBorders>
            <w:vMerge w:val="continue"/>
          </w:tcPr>
          <w:p>
            <w:pPr>
              <w:spacing w:after="0"/>
              <w:rPr>
                <w:sz w:val="2"/>
                <w:szCs w:val="2"/>
                <w:color w:val="auto"/>
              </w:rPr>
            </w:pPr>
          </w:p>
        </w:tc>
        <w:tc>
          <w:tcPr>
            <w:tcW w:w="1840" w:type="dxa"/>
            <w:vAlign w:val="bottom"/>
            <w:tcBorders>
              <w:bottom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61"/>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1"/>
        </w:trPr>
        <w:tc>
          <w:tcPr>
            <w:tcW w:w="1120" w:type="dxa"/>
            <w:vAlign w:val="bottom"/>
            <w:tcBorders>
              <w:right w:val="single" w:sz="8" w:color="auto"/>
            </w:tcBorders>
          </w:tcPr>
          <w:p>
            <w:pPr>
              <w:spacing w:after="0"/>
              <w:rPr>
                <w:sz w:val="7"/>
                <w:szCs w:val="7"/>
                <w:color w:val="auto"/>
              </w:rPr>
            </w:pPr>
          </w:p>
        </w:tc>
        <w:tc>
          <w:tcPr>
            <w:tcW w:w="4960" w:type="dxa"/>
            <w:vAlign w:val="bottom"/>
            <w:tcBorders>
              <w:right w:val="single" w:sz="8" w:color="auto"/>
            </w:tcBorders>
          </w:tcPr>
          <w:p>
            <w:pPr>
              <w:spacing w:after="0"/>
              <w:rPr>
                <w:sz w:val="7"/>
                <w:szCs w:val="7"/>
                <w:color w:val="auto"/>
              </w:rPr>
            </w:pPr>
          </w:p>
        </w:tc>
        <w:tc>
          <w:tcPr>
            <w:tcW w:w="1840" w:type="dxa"/>
            <w:vAlign w:val="bottom"/>
            <w:tcBorders>
              <w:right w:val="single" w:sz="8" w:color="auto"/>
            </w:tcBorders>
            <w:vMerge w:val="continue"/>
          </w:tcPr>
          <w:p>
            <w:pPr>
              <w:spacing w:after="0"/>
              <w:rPr>
                <w:sz w:val="7"/>
                <w:szCs w:val="7"/>
                <w:color w:val="auto"/>
              </w:rPr>
            </w:pPr>
          </w:p>
        </w:tc>
        <w:tc>
          <w:tcPr>
            <w:tcW w:w="21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6"/>
        </w:trPr>
        <w:tc>
          <w:tcPr>
            <w:tcW w:w="1120" w:type="dxa"/>
            <w:vAlign w:val="bottom"/>
            <w:tcBorders>
              <w:bottom w:val="single" w:sz="8" w:color="auto"/>
              <w:right w:val="single" w:sz="8" w:color="auto"/>
            </w:tcBorders>
          </w:tcPr>
          <w:p>
            <w:pPr>
              <w:spacing w:after="0"/>
              <w:rPr>
                <w:sz w:val="2"/>
                <w:szCs w:val="2"/>
                <w:color w:val="auto"/>
              </w:rPr>
            </w:pPr>
          </w:p>
        </w:tc>
        <w:tc>
          <w:tcPr>
            <w:tcW w:w="49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1.2.3</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major clean up campaigns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waterways and foreshores.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7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participation lists, sponsorship notices,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brochures and related leaflets.</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1.2.4</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ongoing or minor clean up</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campaigns and rubbish removal which occur on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2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 regular basis or are conducted during part of</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routine port operations.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1.3.0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Foreshore Stabilisation</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Stabilisation of dunes and riverbanks including</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the construction and maintenance of retaining or</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restraining walls, levees, sea walls, and</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embankments.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the construction and</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management of stabilisation measures, use the</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Infrastructure Management section of this RDA].</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1.4.0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Inspections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activity of environmental inspections of sites</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premises to ensure compliance with agreed</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standards and objectives.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1.4.1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Finalised assessments and reports of</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inspections of sites and premises.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10</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records documenting environmental</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years after last</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testing and the monitoring of sites and premises,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checklists, inspection notes, test and monitor</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reports, laboratory results, consultation</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documents, comments, drafts and final reports.</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83"/>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inspections that identify non-compliance,</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use Environmental Management –</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Investigations of this RDA.]</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13" w:name="page14"/>
    <w:bookmarkEnd w:id="13"/>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14</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774509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74509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649.1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774509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74509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649.1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1: ENVIRONMENTAL MANAGEMENT</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1120" w:type="dxa"/>
            <w:vAlign w:val="bottom"/>
            <w:tcBorders>
              <w:bottom w:val="single" w:sz="8" w:color="auto"/>
              <w:right w:val="single" w:sz="8" w:color="auto"/>
            </w:tcBorders>
          </w:tcPr>
          <w:p>
            <w:pPr>
              <w:spacing w:after="0"/>
              <w:rPr>
                <w:sz w:val="6"/>
                <w:szCs w:val="6"/>
                <w:color w:val="auto"/>
              </w:rPr>
            </w:pPr>
          </w:p>
        </w:tc>
        <w:tc>
          <w:tcPr>
            <w:tcW w:w="49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1.5.0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Investigations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activity of undertaking investigations to</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identify actual or potential environmental</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hazards in association with external agencies</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(e.g. the Environment Protection Authority).</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planning and the collection, verification,</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recording and evaluation of all relevant</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information.</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1.5.1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Summary register of all investigations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undertaken.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24"/>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spacing w:after="0"/>
              <w:rPr>
                <w:sz w:val="19"/>
                <w:szCs w:val="19"/>
                <w:color w:val="auto"/>
              </w:rPr>
            </w:pP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4" w:lineRule="exact"/>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1.5.2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documenting major investigations of</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contaminated sites that pose major health risks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or involve major public interest or have a</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24"/>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4" w:lineRule="exact"/>
              <w:rPr>
                <w:sz w:val="20"/>
                <w:szCs w:val="20"/>
                <w:color w:val="auto"/>
              </w:rPr>
            </w:pPr>
            <w:r>
              <w:rPr>
                <w:rFonts w:ascii="Arial" w:cs="Arial" w:eastAsia="Arial" w:hAnsi="Arial"/>
                <w:sz w:val="22"/>
                <w:szCs w:val="22"/>
                <w:color w:val="auto"/>
              </w:rPr>
              <w:t>significant impact on development of policies</w:t>
            </w: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4" w:lineRule="exact"/>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procedures.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investigation plans, consultation notes,</w:t>
            </w:r>
          </w:p>
        </w:tc>
        <w:tc>
          <w:tcPr>
            <w:tcW w:w="1840" w:type="dxa"/>
            <w:vAlign w:val="bottom"/>
            <w:tcBorders>
              <w:right w:val="single" w:sz="8" w:color="auto"/>
            </w:tcBorders>
          </w:tcPr>
          <w:p>
            <w:pPr>
              <w:spacing w:after="0"/>
              <w:rPr>
                <w:sz w:val="23"/>
                <w:szCs w:val="23"/>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records of interviews, scientific and laboratory</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analysis, observation notes, photographs,</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drawings, annotated maps, drafts and final</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reports.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1.5.3</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documenting minor environmental</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investigations of contaminated sites that do not</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15</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pose any health risks and do not have a</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years after last</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1" w:lineRule="exact"/>
              <w:rPr>
                <w:sz w:val="20"/>
                <w:szCs w:val="20"/>
                <w:color w:val="auto"/>
              </w:rPr>
            </w:pPr>
            <w:r>
              <w:rPr>
                <w:rFonts w:ascii="Arial" w:cs="Arial" w:eastAsia="Arial" w:hAnsi="Arial"/>
                <w:sz w:val="22"/>
                <w:szCs w:val="22"/>
                <w:color w:val="auto"/>
              </w:rPr>
              <w:t>significant impact on development of policies</w:t>
            </w:r>
          </w:p>
        </w:tc>
        <w:tc>
          <w:tcPr>
            <w:tcW w:w="1840" w:type="dxa"/>
            <w:vAlign w:val="bottom"/>
            <w:tcBorders>
              <w:right w:val="single" w:sz="8" w:color="auto"/>
            </w:tcBorders>
          </w:tcPr>
          <w:p>
            <w:pPr>
              <w:ind w:left="100"/>
              <w:spacing w:after="0" w:line="251" w:lineRule="exact"/>
              <w:rPr>
                <w:sz w:val="20"/>
                <w:szCs w:val="20"/>
                <w:color w:val="auto"/>
              </w:rPr>
            </w:pPr>
            <w:r>
              <w:rPr>
                <w:rFonts w:ascii="Arial" w:cs="Arial" w:eastAsia="Arial" w:hAnsi="Arial"/>
                <w:sz w:val="22"/>
                <w:szCs w:val="22"/>
                <w:color w:val="auto"/>
              </w:rPr>
              <w:t>action.</w:t>
            </w:r>
          </w:p>
        </w:tc>
        <w:tc>
          <w:tcPr>
            <w:tcW w:w="2120" w:type="dxa"/>
            <w:vAlign w:val="bottom"/>
          </w:tcPr>
          <w:p>
            <w:pPr>
              <w:ind w:left="100"/>
              <w:spacing w:after="0" w:line="251" w:lineRule="exact"/>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procedures.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investigation plans, consultation notes,</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records of interviews, scientific and laboratory</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analysis, observation notes, photographs,</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drawings, annotated maps, drafts and final</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reports.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14" w:name="page15"/>
    <w:bookmarkEnd w:id="14"/>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15</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486473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8647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422.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486473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8647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422.3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1: ENVIRONMENTAL MANAGEMENT</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478"/>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26"/>
        </w:trPr>
        <w:tc>
          <w:tcPr>
            <w:tcW w:w="1120" w:type="dxa"/>
            <w:vAlign w:val="bottom"/>
            <w:tcBorders>
              <w:right w:val="single" w:sz="8" w:color="auto"/>
            </w:tcBorders>
            <w:vMerge w:val="continue"/>
          </w:tcPr>
          <w:p>
            <w:pPr>
              <w:spacing w:after="0"/>
              <w:rPr>
                <w:sz w:val="2"/>
                <w:szCs w:val="2"/>
                <w:color w:val="auto"/>
              </w:rPr>
            </w:pPr>
          </w:p>
        </w:tc>
        <w:tc>
          <w:tcPr>
            <w:tcW w:w="4960" w:type="dxa"/>
            <w:vAlign w:val="bottom"/>
            <w:tcBorders>
              <w:bottom w:val="single" w:sz="8" w:color="auto"/>
              <w:right w:val="single" w:sz="8" w:color="auto"/>
            </w:tcBorders>
            <w:vMerge w:val="continue"/>
          </w:tcPr>
          <w:p>
            <w:pPr>
              <w:spacing w:after="0"/>
              <w:rPr>
                <w:sz w:val="2"/>
                <w:szCs w:val="2"/>
                <w:color w:val="auto"/>
              </w:rPr>
            </w:pPr>
          </w:p>
        </w:tc>
        <w:tc>
          <w:tcPr>
            <w:tcW w:w="1840" w:type="dxa"/>
            <w:vAlign w:val="bottom"/>
            <w:tcBorders>
              <w:bottom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61"/>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1"/>
        </w:trPr>
        <w:tc>
          <w:tcPr>
            <w:tcW w:w="1120" w:type="dxa"/>
            <w:vAlign w:val="bottom"/>
            <w:tcBorders>
              <w:right w:val="single" w:sz="8" w:color="auto"/>
            </w:tcBorders>
          </w:tcPr>
          <w:p>
            <w:pPr>
              <w:spacing w:after="0"/>
              <w:rPr>
                <w:sz w:val="7"/>
                <w:szCs w:val="7"/>
                <w:color w:val="auto"/>
              </w:rPr>
            </w:pPr>
          </w:p>
        </w:tc>
        <w:tc>
          <w:tcPr>
            <w:tcW w:w="4960" w:type="dxa"/>
            <w:vAlign w:val="bottom"/>
            <w:tcBorders>
              <w:right w:val="single" w:sz="8" w:color="auto"/>
            </w:tcBorders>
          </w:tcPr>
          <w:p>
            <w:pPr>
              <w:spacing w:after="0"/>
              <w:rPr>
                <w:sz w:val="7"/>
                <w:szCs w:val="7"/>
                <w:color w:val="auto"/>
              </w:rPr>
            </w:pPr>
          </w:p>
        </w:tc>
        <w:tc>
          <w:tcPr>
            <w:tcW w:w="1840" w:type="dxa"/>
            <w:vAlign w:val="bottom"/>
            <w:tcBorders>
              <w:right w:val="single" w:sz="8" w:color="auto"/>
            </w:tcBorders>
            <w:vMerge w:val="continue"/>
          </w:tcPr>
          <w:p>
            <w:pPr>
              <w:spacing w:after="0"/>
              <w:rPr>
                <w:sz w:val="7"/>
                <w:szCs w:val="7"/>
                <w:color w:val="auto"/>
              </w:rPr>
            </w:pPr>
          </w:p>
        </w:tc>
        <w:tc>
          <w:tcPr>
            <w:tcW w:w="21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6"/>
        </w:trPr>
        <w:tc>
          <w:tcPr>
            <w:tcW w:w="1120" w:type="dxa"/>
            <w:vAlign w:val="bottom"/>
            <w:tcBorders>
              <w:bottom w:val="single" w:sz="8" w:color="auto"/>
              <w:right w:val="single" w:sz="8" w:color="auto"/>
            </w:tcBorders>
          </w:tcPr>
          <w:p>
            <w:pPr>
              <w:spacing w:after="0"/>
              <w:rPr>
                <w:sz w:val="2"/>
                <w:szCs w:val="2"/>
                <w:color w:val="auto"/>
              </w:rPr>
            </w:pPr>
          </w:p>
        </w:tc>
        <w:tc>
          <w:tcPr>
            <w:tcW w:w="49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1.6.0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Quality Systems and Compliance Regulation</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regulation of environmental activities</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undertaken to meet legislative requirements.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1.6.1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documenting the environmental</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management regulatory framework, outlining</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compliance and quality systems.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final reports relating to environmental</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compliance against legislative and regulatory</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frameworks, compliance certificates and</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registration documentation.</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1.6.2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compliance monitoring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assessment against legislative requirements.</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Destroy 7 years</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31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compliance reports.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15" w:name="page16"/>
    <w:bookmarkEnd w:id="15"/>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16</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692531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253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584.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692531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253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584.5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2: INFRASTRUCTURE MANAGEMENT</w:t>
      </w:r>
    </w:p>
    <w:p>
      <w:pPr>
        <w:spacing w:after="0" w:line="128"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3"/>
                <w:szCs w:val="13"/>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61"/>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6"/>
        </w:trPr>
        <w:tc>
          <w:tcPr>
            <w:tcW w:w="1120" w:type="dxa"/>
            <w:vAlign w:val="bottom"/>
            <w:tcBorders>
              <w:bottom w:val="single" w:sz="8" w:color="auto"/>
              <w:right w:val="single" w:sz="8" w:color="auto"/>
            </w:tcBorders>
          </w:tcPr>
          <w:p>
            <w:pPr>
              <w:spacing w:after="0"/>
              <w:rPr>
                <w:sz w:val="2"/>
                <w:szCs w:val="2"/>
                <w:color w:val="auto"/>
              </w:rPr>
            </w:pPr>
          </w:p>
        </w:tc>
        <w:tc>
          <w:tcPr>
            <w:tcW w:w="49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2.0.0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INFRASTRUCTURE MANAGEMENT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function of providing infrastructure for port</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land and waters. Includes planning of the</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overall port network, the design, construction</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maintenance of the land, berths, buildings,</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roads, railways, plant, equipment and</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associated infrastructure.</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accounting records use the Financial</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Management section of the General Retention &amp;</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Disposal Authority for Records of Common</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community relations, use</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the Community Relations section of the General</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Retention &amp; Disposal Authority for Records of</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Common 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2"/>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legal services, use the</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Legal Services section of the General Retention</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&amp; Disposal Authority for Records of Common</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committee records, use the Committees</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section of the General Retention &amp; Disposal</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Authority for Records of Common Administrative</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government relations,</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use the Government Relations section of the</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General Retention &amp; Disposal Authority for</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of Common 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2.1.0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Design and Construction</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2"/>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activities associated with the design and</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construction of port infrastructure.</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the channel design of the</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Channel Deepening Project, use the Channel</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Deepening Project section of this RDA].</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16" w:name="page17"/>
    <w:bookmarkEnd w:id="16"/>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17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838644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864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699.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838644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864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699.6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2: INFRASTRUCTURE MANAGEMENT</w:t>
      </w:r>
    </w:p>
    <w:p>
      <w:pPr>
        <w:spacing w:after="0" w:line="128" w:lineRule="exact"/>
        <w:rPr>
          <w:sz w:val="20"/>
          <w:szCs w:val="20"/>
          <w:color w:val="auto"/>
        </w:rPr>
      </w:pPr>
    </w:p>
    <w:tbl>
      <w:tblPr>
        <w:tblLayout w:type="fixed"/>
        <w:tblInd w:w="0" w:type="dxa"/>
        <w:tblCellMar>
          <w:top w:w="0" w:type="dxa"/>
          <w:left w:w="0" w:type="dxa"/>
          <w:bottom w:w="0" w:type="dxa"/>
          <w:right w:w="0" w:type="dxa"/>
        </w:tblCellMar>
      </w:tblPr>
      <w:tr>
        <w:trPr>
          <w:trHeight w:val="478"/>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26"/>
        </w:trPr>
        <w:tc>
          <w:tcPr>
            <w:tcW w:w="1120" w:type="dxa"/>
            <w:vAlign w:val="bottom"/>
            <w:tcBorders>
              <w:right w:val="single" w:sz="8" w:color="auto"/>
            </w:tcBorders>
            <w:vMerge w:val="continue"/>
          </w:tcPr>
          <w:p>
            <w:pPr>
              <w:spacing w:after="0"/>
              <w:rPr>
                <w:sz w:val="2"/>
                <w:szCs w:val="2"/>
                <w:color w:val="auto"/>
              </w:rPr>
            </w:pPr>
          </w:p>
        </w:tc>
        <w:tc>
          <w:tcPr>
            <w:tcW w:w="4960" w:type="dxa"/>
            <w:vAlign w:val="bottom"/>
            <w:tcBorders>
              <w:bottom w:val="single" w:sz="8" w:color="auto"/>
              <w:right w:val="single" w:sz="8" w:color="auto"/>
            </w:tcBorders>
            <w:vMerge w:val="continue"/>
          </w:tcPr>
          <w:p>
            <w:pPr>
              <w:spacing w:after="0"/>
              <w:rPr>
                <w:sz w:val="2"/>
                <w:szCs w:val="2"/>
                <w:color w:val="auto"/>
              </w:rPr>
            </w:pPr>
          </w:p>
        </w:tc>
        <w:tc>
          <w:tcPr>
            <w:tcW w:w="1840" w:type="dxa"/>
            <w:vAlign w:val="bottom"/>
            <w:tcBorders>
              <w:bottom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61"/>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1"/>
        </w:trPr>
        <w:tc>
          <w:tcPr>
            <w:tcW w:w="1120" w:type="dxa"/>
            <w:vAlign w:val="bottom"/>
            <w:tcBorders>
              <w:right w:val="single" w:sz="8" w:color="auto"/>
            </w:tcBorders>
          </w:tcPr>
          <w:p>
            <w:pPr>
              <w:spacing w:after="0"/>
              <w:rPr>
                <w:sz w:val="7"/>
                <w:szCs w:val="7"/>
                <w:color w:val="auto"/>
              </w:rPr>
            </w:pPr>
          </w:p>
        </w:tc>
        <w:tc>
          <w:tcPr>
            <w:tcW w:w="4960" w:type="dxa"/>
            <w:vAlign w:val="bottom"/>
            <w:tcBorders>
              <w:right w:val="single" w:sz="8" w:color="auto"/>
            </w:tcBorders>
          </w:tcPr>
          <w:p>
            <w:pPr>
              <w:spacing w:after="0"/>
              <w:rPr>
                <w:sz w:val="7"/>
                <w:szCs w:val="7"/>
                <w:color w:val="auto"/>
              </w:rPr>
            </w:pPr>
          </w:p>
        </w:tc>
        <w:tc>
          <w:tcPr>
            <w:tcW w:w="1840" w:type="dxa"/>
            <w:vAlign w:val="bottom"/>
            <w:tcBorders>
              <w:right w:val="single" w:sz="8" w:color="auto"/>
            </w:tcBorders>
            <w:vMerge w:val="continue"/>
          </w:tcPr>
          <w:p>
            <w:pPr>
              <w:spacing w:after="0"/>
              <w:rPr>
                <w:sz w:val="7"/>
                <w:szCs w:val="7"/>
                <w:color w:val="auto"/>
              </w:rPr>
            </w:pPr>
          </w:p>
        </w:tc>
        <w:tc>
          <w:tcPr>
            <w:tcW w:w="21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6"/>
        </w:trPr>
        <w:tc>
          <w:tcPr>
            <w:tcW w:w="1120" w:type="dxa"/>
            <w:vAlign w:val="bottom"/>
            <w:tcBorders>
              <w:bottom w:val="single" w:sz="8" w:color="auto"/>
              <w:right w:val="single" w:sz="8" w:color="auto"/>
            </w:tcBorders>
          </w:tcPr>
          <w:p>
            <w:pPr>
              <w:spacing w:after="0"/>
              <w:rPr>
                <w:sz w:val="2"/>
                <w:szCs w:val="2"/>
                <w:color w:val="auto"/>
              </w:rPr>
            </w:pPr>
          </w:p>
        </w:tc>
        <w:tc>
          <w:tcPr>
            <w:tcW w:w="49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2.1.1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design and construction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of significant or large scale infrastructure that:</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69"/>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460"/>
              <w:spacing w:after="0"/>
              <w:rPr>
                <w:sz w:val="20"/>
                <w:szCs w:val="20"/>
                <w:color w:val="auto"/>
              </w:rPr>
            </w:pPr>
            <w:r>
              <w:rPr>
                <w:rFonts w:ascii="Arial" w:cs="Arial" w:eastAsia="Arial" w:hAnsi="Arial"/>
                <w:sz w:val="22"/>
                <w:szCs w:val="22"/>
                <w:color w:val="auto"/>
              </w:rPr>
              <w:t>•   substantially enhances service levels of</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10"/>
        </w:trPr>
        <w:tc>
          <w:tcPr>
            <w:tcW w:w="1120" w:type="dxa"/>
            <w:vAlign w:val="bottom"/>
            <w:tcBorders>
              <w:right w:val="single" w:sz="8" w:color="auto"/>
            </w:tcBorders>
          </w:tcPr>
          <w:p>
            <w:pPr>
              <w:spacing w:after="0"/>
              <w:rPr>
                <w:sz w:val="18"/>
                <w:szCs w:val="18"/>
                <w:color w:val="auto"/>
              </w:rPr>
            </w:pPr>
          </w:p>
        </w:tc>
        <w:tc>
          <w:tcPr>
            <w:tcW w:w="4960" w:type="dxa"/>
            <w:vAlign w:val="bottom"/>
            <w:tcBorders>
              <w:right w:val="single" w:sz="8" w:color="auto"/>
            </w:tcBorders>
            <w:vMerge w:val="restart"/>
          </w:tcPr>
          <w:p>
            <w:pPr>
              <w:ind w:left="820"/>
              <w:spacing w:after="0"/>
              <w:rPr>
                <w:sz w:val="20"/>
                <w:szCs w:val="20"/>
                <w:color w:val="auto"/>
              </w:rPr>
            </w:pPr>
            <w:r>
              <w:rPr>
                <w:rFonts w:ascii="Arial" w:cs="Arial" w:eastAsia="Arial" w:hAnsi="Arial"/>
                <w:sz w:val="22"/>
                <w:szCs w:val="22"/>
                <w:color w:val="auto"/>
              </w:rPr>
              <w:t>the Port of Melbourne,</w:t>
            </w:r>
          </w:p>
        </w:tc>
        <w:tc>
          <w:tcPr>
            <w:tcW w:w="1840" w:type="dxa"/>
            <w:vAlign w:val="bottom"/>
            <w:tcBorders>
              <w:right w:val="single" w:sz="8" w:color="auto"/>
            </w:tcBorders>
          </w:tcPr>
          <w:p>
            <w:pPr>
              <w:spacing w:after="0"/>
              <w:rPr>
                <w:sz w:val="18"/>
                <w:szCs w:val="18"/>
                <w:color w:val="auto"/>
              </w:rPr>
            </w:pPr>
          </w:p>
        </w:tc>
        <w:tc>
          <w:tcPr>
            <w:tcW w:w="2120" w:type="dxa"/>
            <w:vAlign w:val="bottom"/>
          </w:tcPr>
          <w:p>
            <w:pPr>
              <w:ind w:left="100"/>
              <w:spacing w:after="0" w:line="210" w:lineRule="exact"/>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112"/>
        </w:trPr>
        <w:tc>
          <w:tcPr>
            <w:tcW w:w="1120" w:type="dxa"/>
            <w:vAlign w:val="bottom"/>
            <w:tcBorders>
              <w:right w:val="single" w:sz="8" w:color="auto"/>
            </w:tcBorders>
          </w:tcPr>
          <w:p>
            <w:pPr>
              <w:spacing w:after="0"/>
              <w:rPr>
                <w:sz w:val="9"/>
                <w:szCs w:val="9"/>
                <w:color w:val="auto"/>
              </w:rPr>
            </w:pPr>
          </w:p>
        </w:tc>
        <w:tc>
          <w:tcPr>
            <w:tcW w:w="4960" w:type="dxa"/>
            <w:vAlign w:val="bottom"/>
            <w:tcBorders>
              <w:right w:val="single" w:sz="8" w:color="auto"/>
            </w:tcBorders>
            <w:vMerge w:val="continue"/>
          </w:tcPr>
          <w:p>
            <w:pPr>
              <w:spacing w:after="0"/>
              <w:rPr>
                <w:sz w:val="9"/>
                <w:szCs w:val="9"/>
                <w:color w:val="auto"/>
              </w:rPr>
            </w:pPr>
          </w:p>
        </w:tc>
        <w:tc>
          <w:tcPr>
            <w:tcW w:w="1840" w:type="dxa"/>
            <w:vAlign w:val="bottom"/>
            <w:tcBorders>
              <w:right w:val="single" w:sz="8" w:color="auto"/>
            </w:tcBorders>
          </w:tcPr>
          <w:p>
            <w:pPr>
              <w:spacing w:after="0"/>
              <w:rPr>
                <w:sz w:val="9"/>
                <w:szCs w:val="9"/>
                <w:color w:val="auto"/>
              </w:rPr>
            </w:pP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180"/>
        </w:trPr>
        <w:tc>
          <w:tcPr>
            <w:tcW w:w="1120" w:type="dxa"/>
            <w:vAlign w:val="bottom"/>
            <w:tcBorders>
              <w:right w:val="single" w:sz="8" w:color="auto"/>
            </w:tcBorders>
          </w:tcPr>
          <w:p>
            <w:pPr>
              <w:spacing w:after="0"/>
              <w:rPr>
                <w:sz w:val="15"/>
                <w:szCs w:val="15"/>
                <w:color w:val="auto"/>
              </w:rPr>
            </w:pPr>
          </w:p>
        </w:tc>
        <w:tc>
          <w:tcPr>
            <w:tcW w:w="496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color w:val="auto"/>
              </w:rPr>
              <w:t>•   makes a significant impact on the built or</w:t>
            </w:r>
          </w:p>
        </w:tc>
        <w:tc>
          <w:tcPr>
            <w:tcW w:w="1840" w:type="dxa"/>
            <w:vAlign w:val="bottom"/>
            <w:tcBorders>
              <w:right w:val="single" w:sz="8" w:color="auto"/>
            </w:tcBorders>
          </w:tcPr>
          <w:p>
            <w:pPr>
              <w:spacing w:after="0"/>
              <w:rPr>
                <w:sz w:val="15"/>
                <w:szCs w:val="15"/>
                <w:color w:val="auto"/>
              </w:rPr>
            </w:pPr>
          </w:p>
        </w:tc>
        <w:tc>
          <w:tcPr>
            <w:tcW w:w="21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09"/>
        </w:trPr>
        <w:tc>
          <w:tcPr>
            <w:tcW w:w="1120" w:type="dxa"/>
            <w:vAlign w:val="bottom"/>
            <w:tcBorders>
              <w:right w:val="single" w:sz="8" w:color="auto"/>
            </w:tcBorders>
          </w:tcPr>
          <w:p>
            <w:pPr>
              <w:spacing w:after="0"/>
              <w:rPr>
                <w:sz w:val="9"/>
                <w:szCs w:val="9"/>
                <w:color w:val="auto"/>
              </w:rPr>
            </w:pPr>
          </w:p>
        </w:tc>
        <w:tc>
          <w:tcPr>
            <w:tcW w:w="4960" w:type="dxa"/>
            <w:vAlign w:val="bottom"/>
            <w:tcBorders>
              <w:right w:val="single" w:sz="8" w:color="auto"/>
            </w:tcBorders>
            <w:vMerge w:val="continue"/>
          </w:tcPr>
          <w:p>
            <w:pPr>
              <w:spacing w:after="0"/>
              <w:rPr>
                <w:sz w:val="9"/>
                <w:szCs w:val="9"/>
                <w:color w:val="auto"/>
              </w:rPr>
            </w:pPr>
          </w:p>
        </w:tc>
        <w:tc>
          <w:tcPr>
            <w:tcW w:w="1840" w:type="dxa"/>
            <w:vAlign w:val="bottom"/>
            <w:tcBorders>
              <w:right w:val="single" w:sz="8" w:color="auto"/>
            </w:tcBorders>
          </w:tcPr>
          <w:p>
            <w:pPr>
              <w:spacing w:after="0"/>
              <w:rPr>
                <w:sz w:val="9"/>
                <w:szCs w:val="9"/>
                <w:color w:val="auto"/>
              </w:rPr>
            </w:pP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166"/>
        </w:trPr>
        <w:tc>
          <w:tcPr>
            <w:tcW w:w="1120" w:type="dxa"/>
            <w:vAlign w:val="bottom"/>
            <w:tcBorders>
              <w:right w:val="single" w:sz="8" w:color="auto"/>
            </w:tcBorders>
          </w:tcPr>
          <w:p>
            <w:pPr>
              <w:spacing w:after="0"/>
              <w:rPr>
                <w:sz w:val="14"/>
                <w:szCs w:val="14"/>
                <w:color w:val="auto"/>
              </w:rPr>
            </w:pPr>
          </w:p>
        </w:tc>
        <w:tc>
          <w:tcPr>
            <w:tcW w:w="4960" w:type="dxa"/>
            <w:vAlign w:val="bottom"/>
            <w:tcBorders>
              <w:right w:val="single" w:sz="8" w:color="auto"/>
            </w:tcBorders>
            <w:vMerge w:val="restart"/>
          </w:tcPr>
          <w:p>
            <w:pPr>
              <w:ind w:left="820"/>
              <w:spacing w:after="0"/>
              <w:rPr>
                <w:sz w:val="20"/>
                <w:szCs w:val="20"/>
                <w:color w:val="auto"/>
              </w:rPr>
            </w:pPr>
            <w:r>
              <w:rPr>
                <w:rFonts w:ascii="Arial" w:cs="Arial" w:eastAsia="Arial" w:hAnsi="Arial"/>
                <w:sz w:val="22"/>
                <w:szCs w:val="22"/>
                <w:color w:val="auto"/>
              </w:rPr>
              <w:t>natural environment as landmarks or</w:t>
            </w:r>
          </w:p>
        </w:tc>
        <w:tc>
          <w:tcPr>
            <w:tcW w:w="1840" w:type="dxa"/>
            <w:vAlign w:val="bottom"/>
            <w:tcBorders>
              <w:right w:val="single" w:sz="8" w:color="auto"/>
            </w:tcBorders>
          </w:tcPr>
          <w:p>
            <w:pPr>
              <w:spacing w:after="0"/>
              <w:rPr>
                <w:sz w:val="14"/>
                <w:szCs w:val="14"/>
                <w:color w:val="auto"/>
              </w:rPr>
            </w:pPr>
          </w:p>
        </w:tc>
        <w:tc>
          <w:tcPr>
            <w:tcW w:w="2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89"/>
        </w:trPr>
        <w:tc>
          <w:tcPr>
            <w:tcW w:w="1120" w:type="dxa"/>
            <w:vAlign w:val="bottom"/>
            <w:tcBorders>
              <w:right w:val="single" w:sz="8" w:color="auto"/>
            </w:tcBorders>
          </w:tcPr>
          <w:p>
            <w:pPr>
              <w:spacing w:after="0"/>
              <w:rPr>
                <w:sz w:val="7"/>
                <w:szCs w:val="7"/>
                <w:color w:val="auto"/>
              </w:rPr>
            </w:pPr>
          </w:p>
        </w:tc>
        <w:tc>
          <w:tcPr>
            <w:tcW w:w="4960" w:type="dxa"/>
            <w:vAlign w:val="bottom"/>
            <w:tcBorders>
              <w:right w:val="single" w:sz="8" w:color="auto"/>
            </w:tcBorders>
            <w:vMerge w:val="continue"/>
          </w:tcPr>
          <w:p>
            <w:pPr>
              <w:spacing w:after="0"/>
              <w:rPr>
                <w:sz w:val="7"/>
                <w:szCs w:val="7"/>
                <w:color w:val="auto"/>
              </w:rPr>
            </w:pPr>
          </w:p>
        </w:tc>
        <w:tc>
          <w:tcPr>
            <w:tcW w:w="1840" w:type="dxa"/>
            <w:vAlign w:val="bottom"/>
            <w:tcBorders>
              <w:right w:val="single" w:sz="8" w:color="auto"/>
            </w:tcBorders>
          </w:tcPr>
          <w:p>
            <w:pPr>
              <w:spacing w:after="0"/>
              <w:rPr>
                <w:sz w:val="7"/>
                <w:szCs w:val="7"/>
                <w:color w:val="auto"/>
              </w:rPr>
            </w:pPr>
          </w:p>
        </w:tc>
        <w:tc>
          <w:tcPr>
            <w:tcW w:w="2120" w:type="dxa"/>
            <w:vAlign w:val="bottom"/>
            <w:vMerge w:val="restart"/>
          </w:tcPr>
          <w:p>
            <w:pPr>
              <w:ind w:left="100"/>
              <w:spacing w:after="0" w:line="252" w:lineRule="exact"/>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163"/>
        </w:trPr>
        <w:tc>
          <w:tcPr>
            <w:tcW w:w="1120" w:type="dxa"/>
            <w:vAlign w:val="bottom"/>
            <w:tcBorders>
              <w:right w:val="single" w:sz="8" w:color="auto"/>
            </w:tcBorders>
          </w:tcPr>
          <w:p>
            <w:pPr>
              <w:spacing w:after="0"/>
              <w:rPr>
                <w:sz w:val="14"/>
                <w:szCs w:val="14"/>
                <w:color w:val="auto"/>
              </w:rPr>
            </w:pPr>
          </w:p>
        </w:tc>
        <w:tc>
          <w:tcPr>
            <w:tcW w:w="4960" w:type="dxa"/>
            <w:vAlign w:val="bottom"/>
            <w:tcBorders>
              <w:right w:val="single" w:sz="8" w:color="auto"/>
            </w:tcBorders>
            <w:vMerge w:val="restart"/>
          </w:tcPr>
          <w:p>
            <w:pPr>
              <w:ind w:left="820"/>
              <w:spacing w:after="0"/>
              <w:rPr>
                <w:sz w:val="20"/>
                <w:szCs w:val="20"/>
                <w:color w:val="auto"/>
              </w:rPr>
            </w:pPr>
            <w:r>
              <w:rPr>
                <w:rFonts w:ascii="Arial" w:cs="Arial" w:eastAsia="Arial" w:hAnsi="Arial"/>
                <w:sz w:val="22"/>
                <w:szCs w:val="22"/>
                <w:color w:val="auto"/>
              </w:rPr>
              <w:t>structures,</w:t>
            </w:r>
          </w:p>
        </w:tc>
        <w:tc>
          <w:tcPr>
            <w:tcW w:w="1840" w:type="dxa"/>
            <w:vAlign w:val="bottom"/>
            <w:tcBorders>
              <w:right w:val="single" w:sz="8" w:color="auto"/>
            </w:tcBorders>
          </w:tcPr>
          <w:p>
            <w:pPr>
              <w:spacing w:after="0"/>
              <w:rPr>
                <w:sz w:val="14"/>
                <w:szCs w:val="14"/>
                <w:color w:val="auto"/>
              </w:rPr>
            </w:pPr>
          </w:p>
        </w:tc>
        <w:tc>
          <w:tcPr>
            <w:tcW w:w="2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29"/>
        </w:trPr>
        <w:tc>
          <w:tcPr>
            <w:tcW w:w="1120" w:type="dxa"/>
            <w:vAlign w:val="bottom"/>
            <w:tcBorders>
              <w:right w:val="single" w:sz="8" w:color="auto"/>
            </w:tcBorders>
          </w:tcPr>
          <w:p>
            <w:pPr>
              <w:spacing w:after="0"/>
              <w:rPr>
                <w:sz w:val="11"/>
                <w:szCs w:val="11"/>
                <w:color w:val="auto"/>
              </w:rPr>
            </w:pPr>
          </w:p>
        </w:tc>
        <w:tc>
          <w:tcPr>
            <w:tcW w:w="4960" w:type="dxa"/>
            <w:vAlign w:val="bottom"/>
            <w:tcBorders>
              <w:right w:val="single" w:sz="8" w:color="auto"/>
            </w:tcBorders>
            <w:vMerge w:val="continue"/>
          </w:tcPr>
          <w:p>
            <w:pPr>
              <w:spacing w:after="0"/>
              <w:rPr>
                <w:sz w:val="11"/>
                <w:szCs w:val="11"/>
                <w:color w:val="auto"/>
              </w:rPr>
            </w:pPr>
          </w:p>
        </w:tc>
        <w:tc>
          <w:tcPr>
            <w:tcW w:w="1840" w:type="dxa"/>
            <w:vAlign w:val="bottom"/>
            <w:tcBorders>
              <w:right w:val="single" w:sz="8" w:color="auto"/>
            </w:tcBorders>
          </w:tcPr>
          <w:p>
            <w:pPr>
              <w:spacing w:after="0"/>
              <w:rPr>
                <w:sz w:val="11"/>
                <w:szCs w:val="11"/>
                <w:color w:val="auto"/>
              </w:rPr>
            </w:pPr>
          </w:p>
        </w:tc>
        <w:tc>
          <w:tcPr>
            <w:tcW w:w="2120" w:type="dxa"/>
            <w:vAlign w:val="bottom"/>
            <w:vMerge w:val="restart"/>
          </w:tcPr>
          <w:p>
            <w:pPr>
              <w:ind w:left="100"/>
              <w:spacing w:after="0" w:line="252" w:lineRule="exact"/>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123"/>
        </w:trPr>
        <w:tc>
          <w:tcPr>
            <w:tcW w:w="1120" w:type="dxa"/>
            <w:vAlign w:val="bottom"/>
            <w:tcBorders>
              <w:right w:val="single" w:sz="8" w:color="auto"/>
            </w:tcBorders>
          </w:tcPr>
          <w:p>
            <w:pPr>
              <w:spacing w:after="0"/>
              <w:rPr>
                <w:sz w:val="10"/>
                <w:szCs w:val="10"/>
                <w:color w:val="auto"/>
              </w:rPr>
            </w:pPr>
          </w:p>
        </w:tc>
        <w:tc>
          <w:tcPr>
            <w:tcW w:w="496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color w:val="auto"/>
              </w:rPr>
              <w:t>•   attracts substantial public interest or</w:t>
            </w:r>
          </w:p>
        </w:tc>
        <w:tc>
          <w:tcPr>
            <w:tcW w:w="1840" w:type="dxa"/>
            <w:vAlign w:val="bottom"/>
            <w:tcBorders>
              <w:right w:val="single" w:sz="8" w:color="auto"/>
            </w:tcBorders>
          </w:tcPr>
          <w:p>
            <w:pPr>
              <w:spacing w:after="0"/>
              <w:rPr>
                <w:sz w:val="10"/>
                <w:szCs w:val="10"/>
                <w:color w:val="auto"/>
              </w:rPr>
            </w:pPr>
          </w:p>
        </w:tc>
        <w:tc>
          <w:tcPr>
            <w:tcW w:w="21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66"/>
        </w:trPr>
        <w:tc>
          <w:tcPr>
            <w:tcW w:w="1120" w:type="dxa"/>
            <w:vAlign w:val="bottom"/>
            <w:tcBorders>
              <w:right w:val="single" w:sz="8" w:color="auto"/>
            </w:tcBorders>
          </w:tcPr>
          <w:p>
            <w:pPr>
              <w:spacing w:after="0"/>
              <w:rPr>
                <w:sz w:val="14"/>
                <w:szCs w:val="14"/>
                <w:color w:val="auto"/>
              </w:rPr>
            </w:pPr>
          </w:p>
        </w:tc>
        <w:tc>
          <w:tcPr>
            <w:tcW w:w="4960" w:type="dxa"/>
            <w:vAlign w:val="bottom"/>
            <w:tcBorders>
              <w:right w:val="single" w:sz="8" w:color="auto"/>
            </w:tcBorders>
            <w:vMerge w:val="continue"/>
          </w:tcPr>
          <w:p>
            <w:pPr>
              <w:spacing w:after="0"/>
              <w:rPr>
                <w:sz w:val="14"/>
                <w:szCs w:val="14"/>
                <w:color w:val="auto"/>
              </w:rPr>
            </w:pPr>
          </w:p>
        </w:tc>
        <w:tc>
          <w:tcPr>
            <w:tcW w:w="1840" w:type="dxa"/>
            <w:vAlign w:val="bottom"/>
            <w:tcBorders>
              <w:right w:val="single" w:sz="8" w:color="auto"/>
            </w:tcBorders>
          </w:tcPr>
          <w:p>
            <w:pPr>
              <w:spacing w:after="0"/>
              <w:rPr>
                <w:sz w:val="14"/>
                <w:szCs w:val="14"/>
                <w:color w:val="auto"/>
              </w:rPr>
            </w:pP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127"/>
        </w:trPr>
        <w:tc>
          <w:tcPr>
            <w:tcW w:w="1120" w:type="dxa"/>
            <w:vAlign w:val="bottom"/>
            <w:tcBorders>
              <w:right w:val="single" w:sz="8" w:color="auto"/>
            </w:tcBorders>
          </w:tcPr>
          <w:p>
            <w:pPr>
              <w:spacing w:after="0"/>
              <w:rPr>
                <w:sz w:val="11"/>
                <w:szCs w:val="11"/>
                <w:color w:val="auto"/>
              </w:rPr>
            </w:pPr>
          </w:p>
        </w:tc>
        <w:tc>
          <w:tcPr>
            <w:tcW w:w="4960" w:type="dxa"/>
            <w:vAlign w:val="bottom"/>
            <w:tcBorders>
              <w:right w:val="single" w:sz="8" w:color="auto"/>
            </w:tcBorders>
            <w:vMerge w:val="restart"/>
          </w:tcPr>
          <w:p>
            <w:pPr>
              <w:ind w:left="820"/>
              <w:spacing w:after="0"/>
              <w:rPr>
                <w:sz w:val="20"/>
                <w:szCs w:val="20"/>
                <w:color w:val="auto"/>
              </w:rPr>
            </w:pPr>
            <w:r>
              <w:rPr>
                <w:rFonts w:ascii="Arial" w:cs="Arial" w:eastAsia="Arial" w:hAnsi="Arial"/>
                <w:sz w:val="22"/>
                <w:szCs w:val="22"/>
                <w:color w:val="auto"/>
              </w:rPr>
              <w:t>controversy; or</w:t>
            </w:r>
          </w:p>
        </w:tc>
        <w:tc>
          <w:tcPr>
            <w:tcW w:w="1840" w:type="dxa"/>
            <w:vAlign w:val="bottom"/>
            <w:tcBorders>
              <w:right w:val="single" w:sz="8" w:color="auto"/>
            </w:tcBorders>
          </w:tcPr>
          <w:p>
            <w:pPr>
              <w:spacing w:after="0"/>
              <w:rPr>
                <w:sz w:val="11"/>
                <w:szCs w:val="11"/>
                <w:color w:val="auto"/>
              </w:rPr>
            </w:pPr>
          </w:p>
        </w:tc>
        <w:tc>
          <w:tcPr>
            <w:tcW w:w="21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66"/>
        </w:trPr>
        <w:tc>
          <w:tcPr>
            <w:tcW w:w="1120" w:type="dxa"/>
            <w:vAlign w:val="bottom"/>
            <w:tcBorders>
              <w:right w:val="single" w:sz="8" w:color="auto"/>
            </w:tcBorders>
          </w:tcPr>
          <w:p>
            <w:pPr>
              <w:spacing w:after="0"/>
              <w:rPr>
                <w:sz w:val="14"/>
                <w:szCs w:val="14"/>
                <w:color w:val="auto"/>
              </w:rPr>
            </w:pPr>
          </w:p>
        </w:tc>
        <w:tc>
          <w:tcPr>
            <w:tcW w:w="4960" w:type="dxa"/>
            <w:vAlign w:val="bottom"/>
            <w:tcBorders>
              <w:right w:val="single" w:sz="8" w:color="auto"/>
            </w:tcBorders>
            <w:vMerge w:val="continue"/>
          </w:tcPr>
          <w:p>
            <w:pPr>
              <w:spacing w:after="0"/>
              <w:rPr>
                <w:sz w:val="14"/>
                <w:szCs w:val="14"/>
                <w:color w:val="auto"/>
              </w:rPr>
            </w:pPr>
          </w:p>
        </w:tc>
        <w:tc>
          <w:tcPr>
            <w:tcW w:w="1840" w:type="dxa"/>
            <w:vAlign w:val="bottom"/>
            <w:tcBorders>
              <w:right w:val="single" w:sz="8" w:color="auto"/>
            </w:tcBorders>
          </w:tcPr>
          <w:p>
            <w:pPr>
              <w:spacing w:after="0"/>
              <w:rPr>
                <w:sz w:val="14"/>
                <w:szCs w:val="14"/>
                <w:color w:val="auto"/>
              </w:rPr>
            </w:pPr>
          </w:p>
        </w:tc>
        <w:tc>
          <w:tcPr>
            <w:tcW w:w="2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26"/>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460"/>
              <w:spacing w:after="0"/>
              <w:rPr>
                <w:sz w:val="20"/>
                <w:szCs w:val="20"/>
                <w:color w:val="auto"/>
              </w:rPr>
            </w:pPr>
            <w:r>
              <w:rPr>
                <w:rFonts w:ascii="Arial" w:cs="Arial" w:eastAsia="Arial" w:hAnsi="Arial"/>
                <w:sz w:val="22"/>
                <w:szCs w:val="22"/>
                <w:color w:val="auto"/>
              </w:rPr>
              <w:t>•   has significant local or state wide impact.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infrastructure that has been formally</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identified by a heritage body (eg. Heritage</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Victoria) to be of cultural heritage significance.</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2"/>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Types of infrastructure include wharves, piers,</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slipways, buildings, breakwaters, navigation aids</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(beacons, buoys, channel markers), roads and</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rail lines.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conceptual designs, proposals,</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estimates, preliminary investigation, preliminary</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drawings and sketches, engineering reports,</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specifications, calculations, design decisions,</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technical information, geotechnical advice,</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stakeholder consents and approvals by certified</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authorities, environmental documentation</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(including plans and monitoring), concept design</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and “as built” drawings, project management</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structural reports, ministerial advice,</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submissions to executive board, design</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calculations and drawings, bore logs, tender</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assessment, contract, schedule of works,</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specifications, significant variations to projects,</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photographs and moving images supporting</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project.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2.1.2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design and construction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of minor infrastructure such as demountables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15</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temporary structures.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years after</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preliminary investigations, feasibility</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infrastructure</w:t>
            </w: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study reports, minor variations, defaults and</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asset is</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defects registers and copies of all configuration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disposed of.</w:t>
            </w: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documentation that identifies and defines the</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performance, functional and physical attributes</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of the installation of systems or items.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17" w:name="page18"/>
    <w:bookmarkEnd w:id="17"/>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18</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832739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273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694.9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832739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273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694.9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2: INFRASTRUCTURE MANAGEMENT</w:t>
      </w:r>
    </w:p>
    <w:p>
      <w:pPr>
        <w:spacing w:after="0" w:line="128" w:lineRule="exact"/>
        <w:rPr>
          <w:sz w:val="20"/>
          <w:szCs w:val="20"/>
          <w:color w:val="auto"/>
        </w:rPr>
      </w:pPr>
    </w:p>
    <w:tbl>
      <w:tblPr>
        <w:tblLayout w:type="fixed"/>
        <w:tblInd w:w="0" w:type="dxa"/>
        <w:tblCellMar>
          <w:top w:w="0" w:type="dxa"/>
          <w:left w:w="0" w:type="dxa"/>
          <w:bottom w:w="0" w:type="dxa"/>
          <w:right w:w="0" w:type="dxa"/>
        </w:tblCellMar>
      </w:tblPr>
      <w:tr>
        <w:trPr>
          <w:trHeight w:val="430"/>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39"/>
        </w:trPr>
        <w:tc>
          <w:tcPr>
            <w:tcW w:w="1120" w:type="dxa"/>
            <w:vAlign w:val="bottom"/>
            <w:tcBorders>
              <w:right w:val="single" w:sz="8" w:color="auto"/>
            </w:tcBorders>
            <w:vMerge w:val="continue"/>
          </w:tcPr>
          <w:p>
            <w:pPr>
              <w:spacing w:after="0"/>
              <w:rPr>
                <w:sz w:val="3"/>
                <w:szCs w:val="3"/>
                <w:color w:val="auto"/>
              </w:rPr>
            </w:pPr>
          </w:p>
        </w:tc>
        <w:tc>
          <w:tcPr>
            <w:tcW w:w="4960" w:type="dxa"/>
            <w:vAlign w:val="bottom"/>
            <w:tcBorders>
              <w:bottom w:val="single" w:sz="8" w:color="auto"/>
              <w:right w:val="single" w:sz="8" w:color="auto"/>
            </w:tcBorders>
            <w:vMerge w:val="continue"/>
          </w:tcPr>
          <w:p>
            <w:pPr>
              <w:spacing w:after="0"/>
              <w:rPr>
                <w:sz w:val="3"/>
                <w:szCs w:val="3"/>
                <w:color w:val="auto"/>
              </w:rPr>
            </w:pPr>
          </w:p>
        </w:tc>
        <w:tc>
          <w:tcPr>
            <w:tcW w:w="1840" w:type="dxa"/>
            <w:vAlign w:val="bottom"/>
            <w:tcBorders>
              <w:bottom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60"/>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3"/>
                <w:szCs w:val="13"/>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27"/>
        </w:trPr>
        <w:tc>
          <w:tcPr>
            <w:tcW w:w="1120" w:type="dxa"/>
            <w:vAlign w:val="bottom"/>
            <w:tcBorders>
              <w:right w:val="single" w:sz="8" w:color="auto"/>
            </w:tcBorders>
            <w:vMerge w:val="continue"/>
          </w:tcPr>
          <w:p>
            <w:pPr>
              <w:spacing w:after="0"/>
              <w:rPr>
                <w:sz w:val="11"/>
                <w:szCs w:val="11"/>
                <w:color w:val="auto"/>
              </w:rPr>
            </w:pPr>
          </w:p>
        </w:tc>
        <w:tc>
          <w:tcPr>
            <w:tcW w:w="4960" w:type="dxa"/>
            <w:vAlign w:val="bottom"/>
            <w:tcBorders>
              <w:right w:val="single" w:sz="8" w:color="auto"/>
            </w:tcBorders>
          </w:tcPr>
          <w:p>
            <w:pPr>
              <w:spacing w:after="0"/>
              <w:rPr>
                <w:sz w:val="11"/>
                <w:szCs w:val="11"/>
                <w:color w:val="auto"/>
              </w:rPr>
            </w:pPr>
          </w:p>
        </w:tc>
        <w:tc>
          <w:tcPr>
            <w:tcW w:w="1840" w:type="dxa"/>
            <w:vAlign w:val="bottom"/>
            <w:tcBorders>
              <w:right w:val="single" w:sz="8" w:color="auto"/>
            </w:tcBorders>
            <w:vMerge w:val="continue"/>
          </w:tcPr>
          <w:p>
            <w:pPr>
              <w:spacing w:after="0"/>
              <w:rPr>
                <w:sz w:val="11"/>
                <w:szCs w:val="11"/>
                <w:color w:val="auto"/>
              </w:rPr>
            </w:pPr>
          </w:p>
        </w:tc>
        <w:tc>
          <w:tcPr>
            <w:tcW w:w="21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0"/>
        </w:trPr>
        <w:tc>
          <w:tcPr>
            <w:tcW w:w="1120" w:type="dxa"/>
            <w:vAlign w:val="bottom"/>
            <w:tcBorders>
              <w:right w:val="single" w:sz="8" w:color="auto"/>
            </w:tcBorders>
          </w:tcPr>
          <w:p>
            <w:pPr>
              <w:spacing w:after="0"/>
              <w:rPr>
                <w:sz w:val="9"/>
                <w:szCs w:val="9"/>
                <w:color w:val="auto"/>
              </w:rPr>
            </w:pPr>
          </w:p>
        </w:tc>
        <w:tc>
          <w:tcPr>
            <w:tcW w:w="4960" w:type="dxa"/>
            <w:vAlign w:val="bottom"/>
            <w:tcBorders>
              <w:right w:val="single" w:sz="8" w:color="auto"/>
            </w:tcBorders>
          </w:tcPr>
          <w:p>
            <w:pPr>
              <w:spacing w:after="0"/>
              <w:rPr>
                <w:sz w:val="9"/>
                <w:szCs w:val="9"/>
                <w:color w:val="auto"/>
              </w:rPr>
            </w:pPr>
          </w:p>
        </w:tc>
        <w:tc>
          <w:tcPr>
            <w:tcW w:w="1840" w:type="dxa"/>
            <w:vAlign w:val="bottom"/>
            <w:tcBorders>
              <w:right w:val="single" w:sz="8" w:color="auto"/>
            </w:tcBorders>
            <w:vMerge w:val="continue"/>
          </w:tcPr>
          <w:p>
            <w:pPr>
              <w:spacing w:after="0"/>
              <w:rPr>
                <w:sz w:val="9"/>
                <w:szCs w:val="9"/>
                <w:color w:val="auto"/>
              </w:rPr>
            </w:pPr>
          </w:p>
        </w:tc>
        <w:tc>
          <w:tcPr>
            <w:tcW w:w="21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8"/>
        </w:trPr>
        <w:tc>
          <w:tcPr>
            <w:tcW w:w="1120" w:type="dxa"/>
            <w:vAlign w:val="bottom"/>
            <w:tcBorders>
              <w:bottom w:val="single" w:sz="8" w:color="auto"/>
              <w:right w:val="single" w:sz="8" w:color="auto"/>
            </w:tcBorders>
          </w:tcPr>
          <w:p>
            <w:pPr>
              <w:spacing w:after="0"/>
              <w:rPr>
                <w:sz w:val="2"/>
                <w:szCs w:val="2"/>
                <w:color w:val="auto"/>
              </w:rPr>
            </w:pPr>
          </w:p>
        </w:tc>
        <w:tc>
          <w:tcPr>
            <w:tcW w:w="49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2.1.3</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design plans and reports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of infrastructure works that do not proceed to</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15</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construction or upgrade.</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years after last</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2.1.4</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Working papers and supplementary records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relating to the design and construction process.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5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drafts and records of a routine or</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facilitative nature such as routine requests for</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information, site safety plans and work method</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statements. Also includes duplicate copies of</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records and working documents for internal use</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only which have been formalised and</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32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reproduced elsewhere.</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2.2.0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Disposal</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activities associated with the disposal of</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port infrastructure. Disposal includes sale,</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transfer to another agency, donation, demolition</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destruction.</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2.2.1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disposal of port facilities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or property such as wharves, piers, slipways,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24"/>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4" w:lineRule="exact"/>
              <w:rPr>
                <w:sz w:val="20"/>
                <w:szCs w:val="20"/>
                <w:color w:val="auto"/>
              </w:rPr>
            </w:pPr>
            <w:r>
              <w:rPr>
                <w:rFonts w:ascii="Arial" w:cs="Arial" w:eastAsia="Arial" w:hAnsi="Arial"/>
                <w:sz w:val="22"/>
                <w:szCs w:val="22"/>
                <w:color w:val="auto"/>
              </w:rPr>
              <w:t>buildings, breakwaters, navigation aids</w:t>
            </w:r>
          </w:p>
        </w:tc>
        <w:tc>
          <w:tcPr>
            <w:tcW w:w="1840" w:type="dxa"/>
            <w:vAlign w:val="bottom"/>
            <w:tcBorders>
              <w:right w:val="single" w:sz="8" w:color="auto"/>
            </w:tcBorders>
          </w:tcPr>
          <w:p>
            <w:pPr>
              <w:ind w:left="100"/>
              <w:spacing w:after="0" w:line="224" w:lineRule="exact"/>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line="224" w:lineRule="exact"/>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(beacons, buoys, channel markers), roads and</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rail lines.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2.2.2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disposal of temporary</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structures, demountables, sheds, plant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7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equipment.</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item has</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been disposed</w:t>
            </w: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of.</w:t>
            </w: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18" w:name="page19"/>
    <w:bookmarkEnd w:id="18"/>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19</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642239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23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544.9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642239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23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544.9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2: INFRASTRUCTURE MANAGEMENT</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1120" w:type="dxa"/>
            <w:vAlign w:val="bottom"/>
            <w:tcBorders>
              <w:bottom w:val="single" w:sz="8" w:color="auto"/>
              <w:right w:val="single" w:sz="8" w:color="auto"/>
            </w:tcBorders>
          </w:tcPr>
          <w:p>
            <w:pPr>
              <w:spacing w:after="0"/>
              <w:rPr>
                <w:sz w:val="6"/>
                <w:szCs w:val="6"/>
                <w:color w:val="auto"/>
              </w:rPr>
            </w:pPr>
          </w:p>
        </w:tc>
        <w:tc>
          <w:tcPr>
            <w:tcW w:w="49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2.3.0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Leasing</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leasing of or leasing out</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of facilities, use the Property Management</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section of the General Retention &amp; Disposal</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Authority for Records of Common Administrative</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2.4.0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Maintenance, Renovation &amp; Conservation</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associated with the maintenance,</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renovation and conservation of port</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infrastructure.</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2.4.1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renovation of port</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127"/>
        </w:trPr>
        <w:tc>
          <w:tcPr>
            <w:tcW w:w="1120" w:type="dxa"/>
            <w:vAlign w:val="bottom"/>
            <w:tcBorders>
              <w:right w:val="single" w:sz="8" w:color="auto"/>
            </w:tcBorders>
          </w:tcPr>
          <w:p>
            <w:pPr>
              <w:spacing w:after="0"/>
              <w:rPr>
                <w:sz w:val="11"/>
                <w:szCs w:val="11"/>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infrastructure such as wharves, piers, slipways,</w:t>
            </w:r>
          </w:p>
        </w:tc>
        <w:tc>
          <w:tcPr>
            <w:tcW w:w="184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22"/>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vMerge w:val="continue"/>
          </w:tcPr>
          <w:p>
            <w:pPr>
              <w:spacing w:after="0"/>
              <w:rPr>
                <w:sz w:val="19"/>
                <w:szCs w:val="19"/>
                <w:color w:val="auto"/>
              </w:rPr>
            </w:pPr>
          </w:p>
        </w:tc>
        <w:tc>
          <w:tcPr>
            <w:tcW w:w="1840" w:type="dxa"/>
            <w:vAlign w:val="bottom"/>
            <w:tcBorders>
              <w:right w:val="single" w:sz="8" w:color="auto"/>
            </w:tcBorders>
            <w:vMerge w:val="continue"/>
          </w:tcPr>
          <w:p>
            <w:pPr>
              <w:spacing w:after="0"/>
              <w:rPr>
                <w:sz w:val="19"/>
                <w:szCs w:val="19"/>
                <w:color w:val="auto"/>
              </w:rPr>
            </w:pPr>
          </w:p>
        </w:tc>
        <w:tc>
          <w:tcPr>
            <w:tcW w:w="2120" w:type="dxa"/>
            <w:vAlign w:val="bottom"/>
          </w:tcPr>
          <w:p>
            <w:pPr>
              <w:ind w:left="100"/>
              <w:spacing w:after="0" w:line="222" w:lineRule="exact"/>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185"/>
        </w:trPr>
        <w:tc>
          <w:tcPr>
            <w:tcW w:w="1120" w:type="dxa"/>
            <w:vAlign w:val="bottom"/>
            <w:tcBorders>
              <w:right w:val="single" w:sz="8" w:color="auto"/>
            </w:tcBorders>
          </w:tcPr>
          <w:p>
            <w:pPr>
              <w:spacing w:after="0"/>
              <w:rPr>
                <w:sz w:val="16"/>
                <w:szCs w:val="16"/>
                <w:color w:val="auto"/>
              </w:rPr>
            </w:pPr>
          </w:p>
        </w:tc>
        <w:tc>
          <w:tcPr>
            <w:tcW w:w="4960" w:type="dxa"/>
            <w:vAlign w:val="bottom"/>
            <w:tcBorders>
              <w:right w:val="single" w:sz="8" w:color="auto"/>
            </w:tcBorders>
          </w:tcPr>
          <w:p>
            <w:pPr>
              <w:ind w:left="100"/>
              <w:spacing w:after="0" w:line="185" w:lineRule="exact"/>
              <w:rPr>
                <w:sz w:val="20"/>
                <w:szCs w:val="20"/>
                <w:color w:val="auto"/>
              </w:rPr>
            </w:pPr>
            <w:r>
              <w:rPr>
                <w:rFonts w:ascii="Arial" w:cs="Arial" w:eastAsia="Arial" w:hAnsi="Arial"/>
                <w:sz w:val="21"/>
                <w:szCs w:val="21"/>
                <w:color w:val="auto"/>
              </w:rPr>
              <w:t>buildings, breakwaters, navigation aids</w:t>
            </w:r>
          </w:p>
        </w:tc>
        <w:tc>
          <w:tcPr>
            <w:tcW w:w="1840" w:type="dxa"/>
            <w:vAlign w:val="bottom"/>
            <w:tcBorders>
              <w:right w:val="single" w:sz="8" w:color="auto"/>
            </w:tcBorders>
          </w:tcPr>
          <w:p>
            <w:pPr>
              <w:ind w:left="100"/>
              <w:spacing w:after="0" w:line="185" w:lineRule="exact"/>
              <w:rPr>
                <w:sz w:val="20"/>
                <w:szCs w:val="20"/>
                <w:color w:val="auto"/>
              </w:rPr>
            </w:pPr>
            <w:r>
              <w:rPr>
                <w:rFonts w:ascii="Arial" w:cs="Arial" w:eastAsia="Arial" w:hAnsi="Arial"/>
                <w:sz w:val="21"/>
                <w:szCs w:val="21"/>
                <w:color w:val="auto"/>
              </w:rPr>
              <w:t>Archives.</w:t>
            </w:r>
          </w:p>
        </w:tc>
        <w:tc>
          <w:tcPr>
            <w:tcW w:w="2120" w:type="dxa"/>
            <w:vAlign w:val="bottom"/>
          </w:tcPr>
          <w:p>
            <w:pPr>
              <w:ind w:left="100"/>
              <w:spacing w:after="0" w:line="185" w:lineRule="exact"/>
              <w:rPr>
                <w:sz w:val="20"/>
                <w:szCs w:val="20"/>
                <w:color w:val="auto"/>
              </w:rPr>
            </w:pPr>
            <w:r>
              <w:rPr>
                <w:rFonts w:ascii="Arial" w:cs="Arial" w:eastAsia="Arial" w:hAnsi="Arial"/>
                <w:sz w:val="21"/>
                <w:szCs w:val="21"/>
                <w:color w:val="auto"/>
              </w:rPr>
              <w:t>to PROV when</w:t>
            </w:r>
          </w:p>
        </w:tc>
        <w:tc>
          <w:tcPr>
            <w:tcW w:w="0" w:type="dxa"/>
            <w:vAlign w:val="bottom"/>
          </w:tcPr>
          <w:p>
            <w:pPr>
              <w:spacing w:after="0"/>
              <w:rPr>
                <w:sz w:val="1"/>
                <w:szCs w:val="1"/>
                <w:color w:val="auto"/>
              </w:rPr>
            </w:pPr>
          </w:p>
        </w:tc>
      </w:tr>
      <w:tr>
        <w:trPr>
          <w:trHeight w:val="224"/>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4" w:lineRule="exact"/>
              <w:rPr>
                <w:sz w:val="20"/>
                <w:szCs w:val="20"/>
                <w:color w:val="auto"/>
              </w:rPr>
            </w:pPr>
            <w:r>
              <w:rPr>
                <w:rFonts w:ascii="Arial" w:cs="Arial" w:eastAsia="Arial" w:hAnsi="Arial"/>
                <w:sz w:val="22"/>
                <w:szCs w:val="22"/>
                <w:color w:val="auto"/>
              </w:rPr>
              <w:t>(beacons, buoys, channel markers), roads and</w:t>
            </w:r>
          </w:p>
        </w:tc>
        <w:tc>
          <w:tcPr>
            <w:tcW w:w="1840" w:type="dxa"/>
            <w:vAlign w:val="bottom"/>
            <w:tcBorders>
              <w:right w:val="single" w:sz="8" w:color="auto"/>
            </w:tcBorders>
          </w:tcPr>
          <w:p>
            <w:pPr>
              <w:spacing w:after="0"/>
              <w:rPr>
                <w:sz w:val="19"/>
                <w:szCs w:val="19"/>
                <w:color w:val="auto"/>
              </w:rPr>
            </w:pP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127"/>
        </w:trPr>
        <w:tc>
          <w:tcPr>
            <w:tcW w:w="1120" w:type="dxa"/>
            <w:vAlign w:val="bottom"/>
            <w:tcBorders>
              <w:right w:val="single" w:sz="8" w:color="auto"/>
            </w:tcBorders>
          </w:tcPr>
          <w:p>
            <w:pPr>
              <w:spacing w:after="0"/>
              <w:rPr>
                <w:sz w:val="11"/>
                <w:szCs w:val="11"/>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rail lines. Includes the conservation of heritage</w:t>
            </w:r>
          </w:p>
        </w:tc>
        <w:tc>
          <w:tcPr>
            <w:tcW w:w="1840" w:type="dxa"/>
            <w:vAlign w:val="bottom"/>
            <w:tcBorders>
              <w:right w:val="single" w:sz="8" w:color="auto"/>
            </w:tcBorders>
          </w:tcPr>
          <w:p>
            <w:pPr>
              <w:spacing w:after="0"/>
              <w:rPr>
                <w:sz w:val="11"/>
                <w:szCs w:val="11"/>
                <w:color w:val="auto"/>
              </w:rPr>
            </w:pPr>
          </w:p>
        </w:tc>
        <w:tc>
          <w:tcPr>
            <w:tcW w:w="21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7"/>
        </w:trPr>
        <w:tc>
          <w:tcPr>
            <w:tcW w:w="1120" w:type="dxa"/>
            <w:vAlign w:val="bottom"/>
            <w:tcBorders>
              <w:right w:val="single" w:sz="8" w:color="auto"/>
            </w:tcBorders>
          </w:tcPr>
          <w:p>
            <w:pPr>
              <w:spacing w:after="0"/>
              <w:rPr>
                <w:sz w:val="11"/>
                <w:szCs w:val="11"/>
                <w:color w:val="auto"/>
              </w:rPr>
            </w:pPr>
          </w:p>
        </w:tc>
        <w:tc>
          <w:tcPr>
            <w:tcW w:w="4960" w:type="dxa"/>
            <w:vAlign w:val="bottom"/>
            <w:tcBorders>
              <w:right w:val="single" w:sz="8" w:color="auto"/>
            </w:tcBorders>
            <w:vMerge w:val="continue"/>
          </w:tcPr>
          <w:p>
            <w:pPr>
              <w:spacing w:after="0"/>
              <w:rPr>
                <w:sz w:val="11"/>
                <w:szCs w:val="11"/>
                <w:color w:val="auto"/>
              </w:rPr>
            </w:pPr>
          </w:p>
        </w:tc>
        <w:tc>
          <w:tcPr>
            <w:tcW w:w="1840" w:type="dxa"/>
            <w:vAlign w:val="bottom"/>
            <w:tcBorders>
              <w:right w:val="single" w:sz="8" w:color="auto"/>
            </w:tcBorders>
          </w:tcPr>
          <w:p>
            <w:pPr>
              <w:spacing w:after="0"/>
              <w:rPr>
                <w:sz w:val="11"/>
                <w:szCs w:val="11"/>
                <w:color w:val="auto"/>
              </w:rPr>
            </w:pP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165"/>
        </w:trPr>
        <w:tc>
          <w:tcPr>
            <w:tcW w:w="1120" w:type="dxa"/>
            <w:vAlign w:val="bottom"/>
            <w:tcBorders>
              <w:right w:val="single" w:sz="8" w:color="auto"/>
            </w:tcBorders>
          </w:tcPr>
          <w:p>
            <w:pPr>
              <w:spacing w:after="0"/>
              <w:rPr>
                <w:sz w:val="14"/>
                <w:szCs w:val="14"/>
                <w:color w:val="auto"/>
              </w:rPr>
            </w:pPr>
          </w:p>
        </w:tc>
        <w:tc>
          <w:tcPr>
            <w:tcW w:w="4960" w:type="dxa"/>
            <w:vAlign w:val="bottom"/>
            <w:tcBorders>
              <w:right w:val="single" w:sz="8" w:color="auto"/>
            </w:tcBorders>
            <w:vMerge w:val="restart"/>
          </w:tcPr>
          <w:p>
            <w:pPr>
              <w:ind w:left="100"/>
              <w:spacing w:after="0" w:line="252" w:lineRule="exact"/>
              <w:rPr>
                <w:sz w:val="20"/>
                <w:szCs w:val="20"/>
                <w:color w:val="auto"/>
              </w:rPr>
            </w:pPr>
            <w:r>
              <w:rPr>
                <w:rFonts w:ascii="Arial" w:cs="Arial" w:eastAsia="Arial" w:hAnsi="Arial"/>
                <w:sz w:val="22"/>
                <w:szCs w:val="22"/>
                <w:color w:val="auto"/>
              </w:rPr>
              <w:t>listed port infrastructure as identified formally by</w:t>
            </w:r>
          </w:p>
        </w:tc>
        <w:tc>
          <w:tcPr>
            <w:tcW w:w="1840" w:type="dxa"/>
            <w:vAlign w:val="bottom"/>
            <w:tcBorders>
              <w:right w:val="single" w:sz="8" w:color="auto"/>
            </w:tcBorders>
          </w:tcPr>
          <w:p>
            <w:pPr>
              <w:spacing w:after="0"/>
              <w:rPr>
                <w:sz w:val="14"/>
                <w:szCs w:val="14"/>
                <w:color w:val="auto"/>
              </w:rPr>
            </w:pPr>
          </w:p>
        </w:tc>
        <w:tc>
          <w:tcPr>
            <w:tcW w:w="2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87"/>
        </w:trPr>
        <w:tc>
          <w:tcPr>
            <w:tcW w:w="1120" w:type="dxa"/>
            <w:vAlign w:val="bottom"/>
            <w:tcBorders>
              <w:right w:val="single" w:sz="8" w:color="auto"/>
            </w:tcBorders>
          </w:tcPr>
          <w:p>
            <w:pPr>
              <w:spacing w:after="0"/>
              <w:rPr>
                <w:sz w:val="7"/>
                <w:szCs w:val="7"/>
                <w:color w:val="auto"/>
              </w:rPr>
            </w:pPr>
          </w:p>
        </w:tc>
        <w:tc>
          <w:tcPr>
            <w:tcW w:w="4960" w:type="dxa"/>
            <w:vAlign w:val="bottom"/>
            <w:tcBorders>
              <w:right w:val="single" w:sz="8" w:color="auto"/>
            </w:tcBorders>
            <w:vMerge w:val="continue"/>
          </w:tcPr>
          <w:p>
            <w:pPr>
              <w:spacing w:after="0"/>
              <w:rPr>
                <w:sz w:val="7"/>
                <w:szCs w:val="7"/>
                <w:color w:val="auto"/>
              </w:rPr>
            </w:pPr>
          </w:p>
        </w:tc>
        <w:tc>
          <w:tcPr>
            <w:tcW w:w="1840" w:type="dxa"/>
            <w:vAlign w:val="bottom"/>
            <w:tcBorders>
              <w:right w:val="single" w:sz="8" w:color="auto"/>
            </w:tcBorders>
          </w:tcPr>
          <w:p>
            <w:pPr>
              <w:spacing w:after="0"/>
              <w:rPr>
                <w:sz w:val="7"/>
                <w:szCs w:val="7"/>
                <w:color w:val="auto"/>
              </w:rPr>
            </w:pP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22"/>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2" w:lineRule="exact"/>
              <w:rPr>
                <w:sz w:val="20"/>
                <w:szCs w:val="20"/>
                <w:color w:val="auto"/>
              </w:rPr>
            </w:pPr>
            <w:r>
              <w:rPr>
                <w:rFonts w:ascii="Arial" w:cs="Arial" w:eastAsia="Arial" w:hAnsi="Arial"/>
                <w:sz w:val="22"/>
                <w:szCs w:val="22"/>
                <w:color w:val="auto"/>
              </w:rPr>
              <w:t>a heritage body (eg. Heritage Victoria) to be of</w:t>
            </w:r>
          </w:p>
        </w:tc>
        <w:tc>
          <w:tcPr>
            <w:tcW w:w="1840" w:type="dxa"/>
            <w:vAlign w:val="bottom"/>
            <w:tcBorders>
              <w:right w:val="single" w:sz="8" w:color="auto"/>
            </w:tcBorders>
          </w:tcPr>
          <w:p>
            <w:pPr>
              <w:spacing w:after="0"/>
              <w:rPr>
                <w:sz w:val="19"/>
                <w:szCs w:val="19"/>
                <w:color w:val="auto"/>
              </w:rPr>
            </w:pPr>
          </w:p>
        </w:tc>
        <w:tc>
          <w:tcPr>
            <w:tcW w:w="212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cultural heritage significance.</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19"/>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Includes the plans and contracts for renovation</w:t>
            </w: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0" w:lineRule="exact"/>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125"/>
        </w:trPr>
        <w:tc>
          <w:tcPr>
            <w:tcW w:w="1120" w:type="dxa"/>
            <w:vAlign w:val="bottom"/>
            <w:tcBorders>
              <w:right w:val="single" w:sz="8" w:color="auto"/>
            </w:tcBorders>
          </w:tcPr>
          <w:p>
            <w:pPr>
              <w:spacing w:after="0"/>
              <w:rPr>
                <w:sz w:val="10"/>
                <w:szCs w:val="10"/>
                <w:color w:val="auto"/>
              </w:rPr>
            </w:pPr>
          </w:p>
        </w:tc>
        <w:tc>
          <w:tcPr>
            <w:tcW w:w="4960" w:type="dxa"/>
            <w:vAlign w:val="bottom"/>
            <w:tcBorders>
              <w:right w:val="single" w:sz="8" w:color="auto"/>
            </w:tcBorders>
            <w:vMerge w:val="continue"/>
          </w:tcPr>
          <w:p>
            <w:pPr>
              <w:spacing w:after="0"/>
              <w:rPr>
                <w:sz w:val="10"/>
                <w:szCs w:val="10"/>
                <w:color w:val="auto"/>
              </w:rPr>
            </w:pPr>
          </w:p>
        </w:tc>
        <w:tc>
          <w:tcPr>
            <w:tcW w:w="1840" w:type="dxa"/>
            <w:vAlign w:val="bottom"/>
            <w:tcBorders>
              <w:right w:val="single" w:sz="8" w:color="auto"/>
            </w:tcBorders>
          </w:tcPr>
          <w:p>
            <w:pPr>
              <w:spacing w:after="0"/>
              <w:rPr>
                <w:sz w:val="10"/>
                <w:szCs w:val="10"/>
                <w:color w:val="auto"/>
              </w:rPr>
            </w:pP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167"/>
        </w:trPr>
        <w:tc>
          <w:tcPr>
            <w:tcW w:w="1120" w:type="dxa"/>
            <w:vAlign w:val="bottom"/>
            <w:tcBorders>
              <w:right w:val="single" w:sz="8" w:color="auto"/>
            </w:tcBorders>
          </w:tcPr>
          <w:p>
            <w:pPr>
              <w:spacing w:after="0"/>
              <w:rPr>
                <w:sz w:val="14"/>
                <w:szCs w:val="14"/>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works.</w:t>
            </w:r>
          </w:p>
        </w:tc>
        <w:tc>
          <w:tcPr>
            <w:tcW w:w="1840" w:type="dxa"/>
            <w:vAlign w:val="bottom"/>
            <w:tcBorders>
              <w:right w:val="single" w:sz="8" w:color="auto"/>
            </w:tcBorders>
          </w:tcPr>
          <w:p>
            <w:pPr>
              <w:spacing w:after="0"/>
              <w:rPr>
                <w:sz w:val="14"/>
                <w:szCs w:val="14"/>
                <w:color w:val="auto"/>
              </w:rPr>
            </w:pPr>
          </w:p>
        </w:tc>
        <w:tc>
          <w:tcPr>
            <w:tcW w:w="2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25"/>
        </w:trPr>
        <w:tc>
          <w:tcPr>
            <w:tcW w:w="1120" w:type="dxa"/>
            <w:vAlign w:val="bottom"/>
            <w:tcBorders>
              <w:right w:val="single" w:sz="8" w:color="auto"/>
            </w:tcBorders>
          </w:tcPr>
          <w:p>
            <w:pPr>
              <w:spacing w:after="0"/>
              <w:rPr>
                <w:sz w:val="10"/>
                <w:szCs w:val="10"/>
                <w:color w:val="auto"/>
              </w:rPr>
            </w:pPr>
          </w:p>
        </w:tc>
        <w:tc>
          <w:tcPr>
            <w:tcW w:w="4960" w:type="dxa"/>
            <w:vAlign w:val="bottom"/>
            <w:tcBorders>
              <w:right w:val="single" w:sz="8" w:color="auto"/>
            </w:tcBorders>
            <w:vMerge w:val="continue"/>
          </w:tcPr>
          <w:p>
            <w:pPr>
              <w:spacing w:after="0"/>
              <w:rPr>
                <w:sz w:val="10"/>
                <w:szCs w:val="10"/>
                <w:color w:val="auto"/>
              </w:rPr>
            </w:pPr>
          </w:p>
        </w:tc>
        <w:tc>
          <w:tcPr>
            <w:tcW w:w="1840" w:type="dxa"/>
            <w:vAlign w:val="bottom"/>
            <w:tcBorders>
              <w:right w:val="single" w:sz="8" w:color="auto"/>
            </w:tcBorders>
          </w:tcPr>
          <w:p>
            <w:pPr>
              <w:spacing w:after="0"/>
              <w:rPr>
                <w:sz w:val="10"/>
                <w:szCs w:val="10"/>
                <w:color w:val="auto"/>
              </w:rPr>
            </w:pPr>
          </w:p>
        </w:tc>
        <w:tc>
          <w:tcPr>
            <w:tcW w:w="21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2.4.2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routine maintenance of</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infrastructure such as wharves, piers, slipways,</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Destroy 15</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buildings, breakwaters, navigation aids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years after last</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(beacons, buoys, channel markers), roads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rail lines.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19" w:name="page20"/>
    <w:bookmarkEnd w:id="19"/>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20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683069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3069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577.1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683069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3069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577.1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3: PORT OPERATIONS</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478"/>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26"/>
        </w:trPr>
        <w:tc>
          <w:tcPr>
            <w:tcW w:w="1120" w:type="dxa"/>
            <w:vAlign w:val="bottom"/>
            <w:tcBorders>
              <w:right w:val="single" w:sz="8" w:color="auto"/>
            </w:tcBorders>
            <w:vMerge w:val="continue"/>
          </w:tcPr>
          <w:p>
            <w:pPr>
              <w:spacing w:after="0"/>
              <w:rPr>
                <w:sz w:val="2"/>
                <w:szCs w:val="2"/>
                <w:color w:val="auto"/>
              </w:rPr>
            </w:pPr>
          </w:p>
        </w:tc>
        <w:tc>
          <w:tcPr>
            <w:tcW w:w="4960" w:type="dxa"/>
            <w:vAlign w:val="bottom"/>
            <w:tcBorders>
              <w:bottom w:val="single" w:sz="8" w:color="auto"/>
              <w:right w:val="single" w:sz="8" w:color="auto"/>
            </w:tcBorders>
            <w:vMerge w:val="continue"/>
          </w:tcPr>
          <w:p>
            <w:pPr>
              <w:spacing w:after="0"/>
              <w:rPr>
                <w:sz w:val="2"/>
                <w:szCs w:val="2"/>
                <w:color w:val="auto"/>
              </w:rPr>
            </w:pPr>
          </w:p>
        </w:tc>
        <w:tc>
          <w:tcPr>
            <w:tcW w:w="1840" w:type="dxa"/>
            <w:vAlign w:val="bottom"/>
            <w:tcBorders>
              <w:bottom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61"/>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1"/>
        </w:trPr>
        <w:tc>
          <w:tcPr>
            <w:tcW w:w="1120" w:type="dxa"/>
            <w:vAlign w:val="bottom"/>
            <w:tcBorders>
              <w:right w:val="single" w:sz="8" w:color="auto"/>
            </w:tcBorders>
          </w:tcPr>
          <w:p>
            <w:pPr>
              <w:spacing w:after="0"/>
              <w:rPr>
                <w:sz w:val="7"/>
                <w:szCs w:val="7"/>
                <w:color w:val="auto"/>
              </w:rPr>
            </w:pPr>
          </w:p>
        </w:tc>
        <w:tc>
          <w:tcPr>
            <w:tcW w:w="4960" w:type="dxa"/>
            <w:vAlign w:val="bottom"/>
            <w:tcBorders>
              <w:right w:val="single" w:sz="8" w:color="auto"/>
            </w:tcBorders>
          </w:tcPr>
          <w:p>
            <w:pPr>
              <w:spacing w:after="0"/>
              <w:rPr>
                <w:sz w:val="7"/>
                <w:szCs w:val="7"/>
                <w:color w:val="auto"/>
              </w:rPr>
            </w:pPr>
          </w:p>
        </w:tc>
        <w:tc>
          <w:tcPr>
            <w:tcW w:w="1840" w:type="dxa"/>
            <w:vAlign w:val="bottom"/>
            <w:tcBorders>
              <w:right w:val="single" w:sz="8" w:color="auto"/>
            </w:tcBorders>
            <w:vMerge w:val="continue"/>
          </w:tcPr>
          <w:p>
            <w:pPr>
              <w:spacing w:after="0"/>
              <w:rPr>
                <w:sz w:val="7"/>
                <w:szCs w:val="7"/>
                <w:color w:val="auto"/>
              </w:rPr>
            </w:pPr>
          </w:p>
        </w:tc>
        <w:tc>
          <w:tcPr>
            <w:tcW w:w="21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6"/>
        </w:trPr>
        <w:tc>
          <w:tcPr>
            <w:tcW w:w="1120" w:type="dxa"/>
            <w:vAlign w:val="bottom"/>
            <w:tcBorders>
              <w:bottom w:val="single" w:sz="8" w:color="auto"/>
              <w:right w:val="single" w:sz="8" w:color="auto"/>
            </w:tcBorders>
          </w:tcPr>
          <w:p>
            <w:pPr>
              <w:spacing w:after="0"/>
              <w:rPr>
                <w:sz w:val="2"/>
                <w:szCs w:val="2"/>
                <w:color w:val="auto"/>
              </w:rPr>
            </w:pPr>
          </w:p>
        </w:tc>
        <w:tc>
          <w:tcPr>
            <w:tcW w:w="49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3.0.0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PORT OPERATIONS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coordination of the movement of</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commercial shipping vessels to ensure safe</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navigation in Port of Melbourne waters.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compensation for loss of</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cargo, maintenance of facilities, equipment</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failure, damage to craft, including any</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proceedings brought for recovery of costs for</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damage to port facilities, use the Legal Services</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section of the General Retention &amp; Disposal</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Authority for Records of Common Administrative</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36"/>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3.1.0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Harbour Master and Assistant Harbour</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7"/>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Master Appointment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activities associated with the appointment of</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Harbour Masters and Assistant Harbour Masters</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the Port of Melbourne. The Harbour Master</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is responsible for the control and direction of</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vessels within port waters with regard to the</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safety of persons, safe operations of vessels</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and their effect on the environment. The</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Assistant Harbour Master assists with these</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duties.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3.1.1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documenting the appointment of</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Harbour Masters and Assistant Harbour Masters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the Port of Melbourne who are registered by</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22"/>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2" w:lineRule="exact"/>
              <w:rPr>
                <w:sz w:val="20"/>
                <w:szCs w:val="20"/>
                <w:color w:val="auto"/>
              </w:rPr>
            </w:pPr>
            <w:r>
              <w:rPr>
                <w:rFonts w:ascii="Arial" w:cs="Arial" w:eastAsia="Arial" w:hAnsi="Arial"/>
                <w:sz w:val="22"/>
                <w:szCs w:val="22"/>
                <w:color w:val="auto"/>
              </w:rPr>
              <w:t>Marine Safety Victoria.</w:t>
            </w: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2" w:lineRule="exact"/>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31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recruitment and ongoing</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employment conditions of Harbour Masters and</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Assistant Harbour Masters, use the Personnel</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Management section of the General Retention &amp;</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Disposal Authority for Records of Common</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20" w:name="page21"/>
    <w:bookmarkEnd w:id="20"/>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21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614489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14489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523.1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614489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14489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523.1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3: PORT OPERATIONS</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1120" w:type="dxa"/>
            <w:vAlign w:val="bottom"/>
            <w:tcBorders>
              <w:bottom w:val="single" w:sz="8" w:color="auto"/>
              <w:right w:val="single" w:sz="8" w:color="auto"/>
            </w:tcBorders>
          </w:tcPr>
          <w:p>
            <w:pPr>
              <w:spacing w:after="0"/>
              <w:rPr>
                <w:sz w:val="6"/>
                <w:szCs w:val="6"/>
                <w:color w:val="auto"/>
              </w:rPr>
            </w:pPr>
          </w:p>
        </w:tc>
        <w:tc>
          <w:tcPr>
            <w:tcW w:w="49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3.2.0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Licensing and Certification</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relating to the verification of</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certification, registration and/or licensing of</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personnel and certain equipment. These</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licenses are issued to employees by external</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governing bodies and monitored internally for</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currency.</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2"/>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verification of serviceability, compass</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survey certificates and waste and sewer</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discharge permits.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3.2.1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documenting the acquisition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issuance of licenses, permits or certificates.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7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applications and copies of the license,</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expiration.</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permit or certificate.</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3.2.2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infringements and breaches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of licence conditions. Includes fines and action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7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22"/>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2" w:lineRule="exact"/>
              <w:rPr>
                <w:sz w:val="20"/>
                <w:szCs w:val="20"/>
                <w:color w:val="auto"/>
              </w:rPr>
            </w:pPr>
            <w:r>
              <w:rPr>
                <w:rFonts w:ascii="Arial" w:cs="Arial" w:eastAsia="Arial" w:hAnsi="Arial"/>
                <w:sz w:val="22"/>
                <w:szCs w:val="22"/>
                <w:color w:val="auto"/>
              </w:rPr>
              <w:t>taken resulting in investigations by external</w:t>
            </w:r>
          </w:p>
        </w:tc>
        <w:tc>
          <w:tcPr>
            <w:tcW w:w="1840" w:type="dxa"/>
            <w:vAlign w:val="bottom"/>
            <w:tcBorders>
              <w:right w:val="single" w:sz="8" w:color="auto"/>
            </w:tcBorders>
          </w:tcPr>
          <w:p>
            <w:pPr>
              <w:ind w:left="100"/>
              <w:spacing w:after="0" w:line="222" w:lineRule="exact"/>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line="222" w:lineRule="exact"/>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15"/>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enforcement agencies.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21" w:name="page22"/>
    <w:bookmarkEnd w:id="21"/>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22</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697992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799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588.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697992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799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588.8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3: PORT OPERATIONS</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1120" w:type="dxa"/>
            <w:vAlign w:val="bottom"/>
            <w:tcBorders>
              <w:bottom w:val="single" w:sz="8" w:color="auto"/>
              <w:right w:val="single" w:sz="8" w:color="auto"/>
            </w:tcBorders>
          </w:tcPr>
          <w:p>
            <w:pPr>
              <w:spacing w:after="0"/>
              <w:rPr>
                <w:sz w:val="6"/>
                <w:szCs w:val="6"/>
                <w:color w:val="auto"/>
              </w:rPr>
            </w:pPr>
          </w:p>
        </w:tc>
        <w:tc>
          <w:tcPr>
            <w:tcW w:w="49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3.3.0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Maintenance Dredging</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related to short term ongoing</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operations undertaken to remove the build up of</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silt as well as ensuring that the declared depths</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at berths and channels are maintained.</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the construction and</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management of stabilisation measures, use the</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Channel Deepening Project section of this RDA].</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3.3.1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maintenance dredging of</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port waters. Includes plans about scheduled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15</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22"/>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2" w:lineRule="exact"/>
              <w:rPr>
                <w:sz w:val="20"/>
                <w:szCs w:val="20"/>
                <w:color w:val="auto"/>
              </w:rPr>
            </w:pPr>
            <w:r>
              <w:rPr>
                <w:rFonts w:ascii="Arial" w:cs="Arial" w:eastAsia="Arial" w:hAnsi="Arial"/>
                <w:sz w:val="22"/>
                <w:szCs w:val="22"/>
                <w:color w:val="auto"/>
              </w:rPr>
              <w:t>dredging, reports and assessments of work</w:t>
            </w:r>
          </w:p>
        </w:tc>
        <w:tc>
          <w:tcPr>
            <w:tcW w:w="1840" w:type="dxa"/>
            <w:vAlign w:val="bottom"/>
            <w:tcBorders>
              <w:right w:val="single" w:sz="8" w:color="auto"/>
            </w:tcBorders>
          </w:tcPr>
          <w:p>
            <w:pPr>
              <w:ind w:left="100"/>
              <w:spacing w:after="0" w:line="222" w:lineRule="exact"/>
              <w:rPr>
                <w:sz w:val="20"/>
                <w:szCs w:val="20"/>
                <w:color w:val="auto"/>
              </w:rPr>
            </w:pPr>
            <w:r>
              <w:rPr>
                <w:rFonts w:ascii="Arial" w:cs="Arial" w:eastAsia="Arial" w:hAnsi="Arial"/>
                <w:sz w:val="22"/>
                <w:szCs w:val="22"/>
                <w:color w:val="auto"/>
              </w:rPr>
              <w:t>years after last</w:t>
            </w:r>
          </w:p>
        </w:tc>
        <w:tc>
          <w:tcPr>
            <w:tcW w:w="2120" w:type="dxa"/>
            <w:vAlign w:val="bottom"/>
          </w:tcPr>
          <w:p>
            <w:pPr>
              <w:ind w:left="100"/>
              <w:spacing w:after="0" w:line="222" w:lineRule="exact"/>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15"/>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completed.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88"/>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3.4.0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Management of Navigation Hazards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Management of navigation hazards in and</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around port waters.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environmental hazards,</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use the Environmental Management section of</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this RDA].</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3.4.1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in relation to the identification, removal</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and marking of hazards. Includes notifications</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Destroy 7 years</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315"/>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complaints.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22" w:name="page23"/>
    <w:bookmarkEnd w:id="22"/>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23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854202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420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711.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854202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420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711.8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3: PORT OPERATIONS</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1120" w:type="dxa"/>
            <w:vAlign w:val="bottom"/>
            <w:tcBorders>
              <w:bottom w:val="single" w:sz="8" w:color="auto"/>
              <w:right w:val="single" w:sz="8" w:color="auto"/>
            </w:tcBorders>
          </w:tcPr>
          <w:p>
            <w:pPr>
              <w:spacing w:after="0"/>
              <w:rPr>
                <w:sz w:val="6"/>
                <w:szCs w:val="6"/>
                <w:color w:val="auto"/>
              </w:rPr>
            </w:pPr>
          </w:p>
        </w:tc>
        <w:tc>
          <w:tcPr>
            <w:tcW w:w="49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38"/>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3.5.0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Management of Trade, Shipping and Market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7"/>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Information</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2"/>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relating to the monitoring, analysis and</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forecasting of trade, shipping and market</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information. Involves research undertaken to</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support strategic planning.</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trade, shipping and marketing information</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presented to Committees or Boards, see the</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Committees section of the General Retention &amp;</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Disposal Authority for Records of Common</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3.5.1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Consolidated, finalised or published records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relating to trade, shipping and market analysis..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forecasts and findings, statistical</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evidence and decision papers. Includes data</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that identifies critical development and trends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which has been substantially developed</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internally and cannot be recovered from primary</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sources.</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3.5.2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formulation of finalised or</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published records relating to trade, shipping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7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market analysis.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3.6.0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Road Safety and Traffic Management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management of traffic on roads within Port</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land.</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3.6.1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traffic management and road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safety, within Port land.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7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incident reports, changes to traffic flow</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notices to users.</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1"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23" w:name="page24"/>
    <w:bookmarkEnd w:id="23"/>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24</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855599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559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712.9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855599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559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712.9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3: PORT OPERATIONS</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1120" w:type="dxa"/>
            <w:vAlign w:val="bottom"/>
            <w:tcBorders>
              <w:bottom w:val="single" w:sz="8" w:color="auto"/>
              <w:right w:val="single" w:sz="8" w:color="auto"/>
            </w:tcBorders>
          </w:tcPr>
          <w:p>
            <w:pPr>
              <w:spacing w:after="0"/>
              <w:rPr>
                <w:sz w:val="6"/>
                <w:szCs w:val="6"/>
                <w:color w:val="auto"/>
              </w:rPr>
            </w:pPr>
          </w:p>
        </w:tc>
        <w:tc>
          <w:tcPr>
            <w:tcW w:w="49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3.7.0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Shipping Traffic Management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function of planning, monitoring and</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controlling shipping traffic throughout port</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9"/>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waters.</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cruise ship management,</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see the Vessel Management section of this</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9"/>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RDA.]</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[For deliberations of committees relating to</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shipping, use the Committees section of the</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General Retention &amp; Disposal Authority for</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of Common 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3.7.1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Official registers and returns of ships in ports.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Includes berthing registers, inwards and</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outwards shipping registers, cargo registers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24"/>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4" w:lineRule="exact"/>
              <w:rPr>
                <w:sz w:val="20"/>
                <w:szCs w:val="20"/>
                <w:color w:val="auto"/>
              </w:rPr>
            </w:pPr>
            <w:r>
              <w:rPr>
                <w:rFonts w:ascii="Arial" w:cs="Arial" w:eastAsia="Arial" w:hAnsi="Arial"/>
                <w:sz w:val="22"/>
                <w:szCs w:val="22"/>
                <w:color w:val="auto"/>
              </w:rPr>
              <w:t>tonnage registers.</w:t>
            </w: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4" w:lineRule="exact"/>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7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3.7.2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monitoring of all water</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9"/>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craft, cranes, transport vessels and ships within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7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Port of Melbourne waters and the associated</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157"/>
        </w:trPr>
        <w:tc>
          <w:tcPr>
            <w:tcW w:w="1120" w:type="dxa"/>
            <w:vAlign w:val="bottom"/>
            <w:tcBorders>
              <w:right w:val="single" w:sz="8" w:color="auto"/>
            </w:tcBorders>
          </w:tcPr>
          <w:p>
            <w:pPr>
              <w:spacing w:after="0"/>
              <w:rPr>
                <w:sz w:val="13"/>
                <w:szCs w:val="13"/>
                <w:color w:val="auto"/>
              </w:rPr>
            </w:pPr>
          </w:p>
        </w:tc>
        <w:tc>
          <w:tcPr>
            <w:tcW w:w="4960" w:type="dxa"/>
            <w:vAlign w:val="bottom"/>
            <w:tcBorders>
              <w:right w:val="single" w:sz="8" w:color="auto"/>
            </w:tcBorders>
          </w:tcPr>
          <w:p>
            <w:pPr>
              <w:ind w:left="100"/>
              <w:spacing w:after="0" w:line="157" w:lineRule="exact"/>
              <w:rPr>
                <w:sz w:val="20"/>
                <w:szCs w:val="20"/>
                <w:color w:val="auto"/>
              </w:rPr>
            </w:pPr>
            <w:r>
              <w:rPr>
                <w:rFonts w:ascii="Arial" w:cs="Arial" w:eastAsia="Arial" w:hAnsi="Arial"/>
                <w:sz w:val="18"/>
                <w:szCs w:val="18"/>
                <w:color w:val="auto"/>
              </w:rPr>
              <w:t>communications between controllers and control</w:t>
            </w:r>
          </w:p>
        </w:tc>
        <w:tc>
          <w:tcPr>
            <w:tcW w:w="1840" w:type="dxa"/>
            <w:vAlign w:val="bottom"/>
            <w:tcBorders>
              <w:right w:val="single" w:sz="8" w:color="auto"/>
            </w:tcBorders>
          </w:tcPr>
          <w:p>
            <w:pPr>
              <w:spacing w:after="0"/>
              <w:rPr>
                <w:sz w:val="13"/>
                <w:szCs w:val="13"/>
                <w:color w:val="auto"/>
              </w:rPr>
            </w:pP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167"/>
        </w:trPr>
        <w:tc>
          <w:tcPr>
            <w:tcW w:w="1120" w:type="dxa"/>
            <w:vAlign w:val="bottom"/>
            <w:tcBorders>
              <w:right w:val="single" w:sz="8" w:color="auto"/>
            </w:tcBorders>
          </w:tcPr>
          <w:p>
            <w:pPr>
              <w:spacing w:after="0"/>
              <w:rPr>
                <w:sz w:val="14"/>
                <w:szCs w:val="14"/>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centres.</w:t>
            </w:r>
          </w:p>
        </w:tc>
        <w:tc>
          <w:tcPr>
            <w:tcW w:w="1840" w:type="dxa"/>
            <w:vAlign w:val="bottom"/>
            <w:tcBorders>
              <w:right w:val="single" w:sz="8" w:color="auto"/>
            </w:tcBorders>
          </w:tcPr>
          <w:p>
            <w:pPr>
              <w:spacing w:after="0"/>
              <w:rPr>
                <w:sz w:val="14"/>
                <w:szCs w:val="14"/>
                <w:color w:val="auto"/>
              </w:rPr>
            </w:pPr>
          </w:p>
        </w:tc>
        <w:tc>
          <w:tcPr>
            <w:tcW w:w="2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25"/>
        </w:trPr>
        <w:tc>
          <w:tcPr>
            <w:tcW w:w="1120" w:type="dxa"/>
            <w:vAlign w:val="bottom"/>
            <w:tcBorders>
              <w:right w:val="single" w:sz="8" w:color="auto"/>
            </w:tcBorders>
          </w:tcPr>
          <w:p>
            <w:pPr>
              <w:spacing w:after="0"/>
              <w:rPr>
                <w:sz w:val="10"/>
                <w:szCs w:val="10"/>
                <w:color w:val="auto"/>
              </w:rPr>
            </w:pPr>
          </w:p>
        </w:tc>
        <w:tc>
          <w:tcPr>
            <w:tcW w:w="4960" w:type="dxa"/>
            <w:vAlign w:val="bottom"/>
            <w:tcBorders>
              <w:right w:val="single" w:sz="8" w:color="auto"/>
            </w:tcBorders>
            <w:vMerge w:val="continue"/>
          </w:tcPr>
          <w:p>
            <w:pPr>
              <w:spacing w:after="0"/>
              <w:rPr>
                <w:sz w:val="10"/>
                <w:szCs w:val="10"/>
                <w:color w:val="auto"/>
              </w:rPr>
            </w:pPr>
          </w:p>
        </w:tc>
        <w:tc>
          <w:tcPr>
            <w:tcW w:w="1840" w:type="dxa"/>
            <w:vAlign w:val="bottom"/>
            <w:tcBorders>
              <w:right w:val="single" w:sz="8" w:color="auto"/>
            </w:tcBorders>
          </w:tcPr>
          <w:p>
            <w:pPr>
              <w:spacing w:after="0"/>
              <w:rPr>
                <w:sz w:val="10"/>
                <w:szCs w:val="10"/>
                <w:color w:val="auto"/>
              </w:rPr>
            </w:pP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147"/>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Includes records documenting the authorisation</w:t>
            </w:r>
          </w:p>
        </w:tc>
        <w:tc>
          <w:tcPr>
            <w:tcW w:w="1840" w:type="dxa"/>
            <w:vAlign w:val="bottom"/>
            <w:tcBorders>
              <w:right w:val="single" w:sz="8" w:color="auto"/>
            </w:tcBorders>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27"/>
        </w:trPr>
        <w:tc>
          <w:tcPr>
            <w:tcW w:w="1120" w:type="dxa"/>
            <w:vAlign w:val="bottom"/>
            <w:tcBorders>
              <w:right w:val="single" w:sz="8" w:color="auto"/>
            </w:tcBorders>
          </w:tcPr>
          <w:p>
            <w:pPr>
              <w:spacing w:after="0"/>
              <w:rPr>
                <w:sz w:val="11"/>
                <w:szCs w:val="11"/>
                <w:color w:val="auto"/>
              </w:rPr>
            </w:pPr>
          </w:p>
        </w:tc>
        <w:tc>
          <w:tcPr>
            <w:tcW w:w="4960" w:type="dxa"/>
            <w:vAlign w:val="bottom"/>
            <w:tcBorders>
              <w:right w:val="single" w:sz="8" w:color="auto"/>
            </w:tcBorders>
            <w:vMerge w:val="continue"/>
          </w:tcPr>
          <w:p>
            <w:pPr>
              <w:spacing w:after="0"/>
              <w:rPr>
                <w:sz w:val="11"/>
                <w:szCs w:val="11"/>
                <w:color w:val="auto"/>
              </w:rPr>
            </w:pPr>
          </w:p>
        </w:tc>
        <w:tc>
          <w:tcPr>
            <w:tcW w:w="1840" w:type="dxa"/>
            <w:vAlign w:val="bottom"/>
            <w:tcBorders>
              <w:right w:val="single" w:sz="8" w:color="auto"/>
            </w:tcBorders>
          </w:tcPr>
          <w:p>
            <w:pPr>
              <w:spacing w:after="0"/>
              <w:rPr>
                <w:sz w:val="11"/>
                <w:szCs w:val="11"/>
                <w:color w:val="auto"/>
              </w:rPr>
            </w:pP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127"/>
        </w:trPr>
        <w:tc>
          <w:tcPr>
            <w:tcW w:w="1120" w:type="dxa"/>
            <w:vAlign w:val="bottom"/>
            <w:tcBorders>
              <w:right w:val="single" w:sz="8" w:color="auto"/>
            </w:tcBorders>
          </w:tcPr>
          <w:p>
            <w:pPr>
              <w:spacing w:after="0"/>
              <w:rPr>
                <w:sz w:val="11"/>
                <w:szCs w:val="11"/>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for operators to access the network, incoming</w:t>
            </w:r>
          </w:p>
        </w:tc>
        <w:tc>
          <w:tcPr>
            <w:tcW w:w="1840" w:type="dxa"/>
            <w:vAlign w:val="bottom"/>
            <w:tcBorders>
              <w:right w:val="single" w:sz="8" w:color="auto"/>
            </w:tcBorders>
          </w:tcPr>
          <w:p>
            <w:pPr>
              <w:spacing w:after="0"/>
              <w:rPr>
                <w:sz w:val="11"/>
                <w:szCs w:val="11"/>
                <w:color w:val="auto"/>
              </w:rPr>
            </w:pPr>
          </w:p>
        </w:tc>
        <w:tc>
          <w:tcPr>
            <w:tcW w:w="21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7"/>
        </w:trPr>
        <w:tc>
          <w:tcPr>
            <w:tcW w:w="1120" w:type="dxa"/>
            <w:vAlign w:val="bottom"/>
            <w:tcBorders>
              <w:right w:val="single" w:sz="8" w:color="auto"/>
            </w:tcBorders>
          </w:tcPr>
          <w:p>
            <w:pPr>
              <w:spacing w:after="0"/>
              <w:rPr>
                <w:sz w:val="11"/>
                <w:szCs w:val="11"/>
                <w:color w:val="auto"/>
              </w:rPr>
            </w:pPr>
          </w:p>
        </w:tc>
        <w:tc>
          <w:tcPr>
            <w:tcW w:w="4960" w:type="dxa"/>
            <w:vAlign w:val="bottom"/>
            <w:tcBorders>
              <w:right w:val="single" w:sz="8" w:color="auto"/>
            </w:tcBorders>
            <w:vMerge w:val="continue"/>
          </w:tcPr>
          <w:p>
            <w:pPr>
              <w:spacing w:after="0"/>
              <w:rPr>
                <w:sz w:val="11"/>
                <w:szCs w:val="11"/>
                <w:color w:val="auto"/>
              </w:rPr>
            </w:pPr>
          </w:p>
        </w:tc>
        <w:tc>
          <w:tcPr>
            <w:tcW w:w="1840" w:type="dxa"/>
            <w:vAlign w:val="bottom"/>
            <w:tcBorders>
              <w:right w:val="single" w:sz="8" w:color="auto"/>
            </w:tcBorders>
          </w:tcPr>
          <w:p>
            <w:pPr>
              <w:spacing w:after="0"/>
              <w:rPr>
                <w:sz w:val="11"/>
                <w:szCs w:val="11"/>
                <w:color w:val="auto"/>
              </w:rPr>
            </w:pPr>
          </w:p>
        </w:tc>
        <w:tc>
          <w:tcPr>
            <w:tcW w:w="2120" w:type="dxa"/>
            <w:vAlign w:val="bottom"/>
            <w:vMerge w:val="restart"/>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125"/>
        </w:trPr>
        <w:tc>
          <w:tcPr>
            <w:tcW w:w="1120" w:type="dxa"/>
            <w:vAlign w:val="bottom"/>
            <w:tcBorders>
              <w:right w:val="single" w:sz="8" w:color="auto"/>
            </w:tcBorders>
          </w:tcPr>
          <w:p>
            <w:pPr>
              <w:spacing w:after="0"/>
              <w:rPr>
                <w:sz w:val="10"/>
                <w:szCs w:val="10"/>
                <w:color w:val="auto"/>
              </w:rPr>
            </w:pPr>
          </w:p>
        </w:tc>
        <w:tc>
          <w:tcPr>
            <w:tcW w:w="4960" w:type="dxa"/>
            <w:vAlign w:val="bottom"/>
            <w:tcBorders>
              <w:right w:val="single" w:sz="8" w:color="auto"/>
            </w:tcBorders>
            <w:vMerge w:val="restart"/>
          </w:tcPr>
          <w:p>
            <w:pPr>
              <w:ind w:left="100"/>
              <w:spacing w:after="0" w:line="252" w:lineRule="exact"/>
              <w:rPr>
                <w:sz w:val="20"/>
                <w:szCs w:val="20"/>
                <w:color w:val="auto"/>
              </w:rPr>
            </w:pPr>
            <w:r>
              <w:rPr>
                <w:rFonts w:ascii="Arial" w:cs="Arial" w:eastAsia="Arial" w:hAnsi="Arial"/>
                <w:sz w:val="22"/>
                <w:szCs w:val="22"/>
                <w:color w:val="auto"/>
              </w:rPr>
              <w:t>and outgoing traffic, speed regulations and berth</w:t>
            </w:r>
          </w:p>
        </w:tc>
        <w:tc>
          <w:tcPr>
            <w:tcW w:w="1840" w:type="dxa"/>
            <w:vAlign w:val="bottom"/>
            <w:tcBorders>
              <w:right w:val="single" w:sz="8" w:color="auto"/>
            </w:tcBorders>
          </w:tcPr>
          <w:p>
            <w:pPr>
              <w:spacing w:after="0"/>
              <w:rPr>
                <w:sz w:val="10"/>
                <w:szCs w:val="10"/>
                <w:color w:val="auto"/>
              </w:rPr>
            </w:pPr>
          </w:p>
        </w:tc>
        <w:tc>
          <w:tcPr>
            <w:tcW w:w="21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7"/>
        </w:trPr>
        <w:tc>
          <w:tcPr>
            <w:tcW w:w="1120" w:type="dxa"/>
            <w:vAlign w:val="bottom"/>
            <w:tcBorders>
              <w:right w:val="single" w:sz="8" w:color="auto"/>
            </w:tcBorders>
          </w:tcPr>
          <w:p>
            <w:pPr>
              <w:spacing w:after="0"/>
              <w:rPr>
                <w:sz w:val="11"/>
                <w:szCs w:val="11"/>
                <w:color w:val="auto"/>
              </w:rPr>
            </w:pPr>
          </w:p>
        </w:tc>
        <w:tc>
          <w:tcPr>
            <w:tcW w:w="4960" w:type="dxa"/>
            <w:vAlign w:val="bottom"/>
            <w:tcBorders>
              <w:right w:val="single" w:sz="8" w:color="auto"/>
            </w:tcBorders>
            <w:vMerge w:val="continue"/>
          </w:tcPr>
          <w:p>
            <w:pPr>
              <w:spacing w:after="0"/>
              <w:rPr>
                <w:sz w:val="11"/>
                <w:szCs w:val="11"/>
                <w:color w:val="auto"/>
              </w:rPr>
            </w:pPr>
          </w:p>
        </w:tc>
        <w:tc>
          <w:tcPr>
            <w:tcW w:w="1840" w:type="dxa"/>
            <w:vAlign w:val="bottom"/>
            <w:tcBorders>
              <w:right w:val="single" w:sz="8" w:color="auto"/>
            </w:tcBorders>
          </w:tcPr>
          <w:p>
            <w:pPr>
              <w:spacing w:after="0"/>
              <w:rPr>
                <w:sz w:val="11"/>
                <w:szCs w:val="11"/>
                <w:color w:val="auto"/>
              </w:rPr>
            </w:pP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127"/>
        </w:trPr>
        <w:tc>
          <w:tcPr>
            <w:tcW w:w="1120" w:type="dxa"/>
            <w:vAlign w:val="bottom"/>
            <w:tcBorders>
              <w:right w:val="single" w:sz="8" w:color="auto"/>
            </w:tcBorders>
          </w:tcPr>
          <w:p>
            <w:pPr>
              <w:spacing w:after="0"/>
              <w:rPr>
                <w:sz w:val="11"/>
                <w:szCs w:val="11"/>
                <w:color w:val="auto"/>
              </w:rPr>
            </w:pPr>
          </w:p>
        </w:tc>
        <w:tc>
          <w:tcPr>
            <w:tcW w:w="4960" w:type="dxa"/>
            <w:vAlign w:val="bottom"/>
            <w:tcBorders>
              <w:right w:val="single" w:sz="8" w:color="auto"/>
            </w:tcBorders>
            <w:vMerge w:val="restart"/>
          </w:tcPr>
          <w:p>
            <w:pPr>
              <w:ind w:left="100"/>
              <w:spacing w:after="0" w:line="252" w:lineRule="exact"/>
              <w:rPr>
                <w:sz w:val="20"/>
                <w:szCs w:val="20"/>
                <w:color w:val="auto"/>
              </w:rPr>
            </w:pPr>
            <w:r>
              <w:rPr>
                <w:rFonts w:ascii="Arial" w:cs="Arial" w:eastAsia="Arial" w:hAnsi="Arial"/>
                <w:sz w:val="22"/>
                <w:szCs w:val="22"/>
                <w:color w:val="auto"/>
              </w:rPr>
              <w:t>movements, and vessel record books, running</w:t>
            </w:r>
          </w:p>
        </w:tc>
        <w:tc>
          <w:tcPr>
            <w:tcW w:w="1840" w:type="dxa"/>
            <w:vAlign w:val="bottom"/>
            <w:tcBorders>
              <w:right w:val="single" w:sz="8" w:color="auto"/>
            </w:tcBorders>
          </w:tcPr>
          <w:p>
            <w:pPr>
              <w:spacing w:after="0"/>
              <w:rPr>
                <w:sz w:val="11"/>
                <w:szCs w:val="11"/>
                <w:color w:val="auto"/>
              </w:rPr>
            </w:pPr>
          </w:p>
        </w:tc>
        <w:tc>
          <w:tcPr>
            <w:tcW w:w="21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5"/>
        </w:trPr>
        <w:tc>
          <w:tcPr>
            <w:tcW w:w="1120" w:type="dxa"/>
            <w:vAlign w:val="bottom"/>
            <w:tcBorders>
              <w:right w:val="single" w:sz="8" w:color="auto"/>
            </w:tcBorders>
          </w:tcPr>
          <w:p>
            <w:pPr>
              <w:spacing w:after="0"/>
              <w:rPr>
                <w:sz w:val="10"/>
                <w:szCs w:val="10"/>
                <w:color w:val="auto"/>
              </w:rPr>
            </w:pPr>
          </w:p>
        </w:tc>
        <w:tc>
          <w:tcPr>
            <w:tcW w:w="4960" w:type="dxa"/>
            <w:vAlign w:val="bottom"/>
            <w:tcBorders>
              <w:right w:val="single" w:sz="8" w:color="auto"/>
            </w:tcBorders>
            <w:vMerge w:val="continue"/>
          </w:tcPr>
          <w:p>
            <w:pPr>
              <w:spacing w:after="0"/>
              <w:rPr>
                <w:sz w:val="10"/>
                <w:szCs w:val="10"/>
                <w:color w:val="auto"/>
              </w:rPr>
            </w:pPr>
          </w:p>
        </w:tc>
        <w:tc>
          <w:tcPr>
            <w:tcW w:w="1840" w:type="dxa"/>
            <w:vAlign w:val="bottom"/>
            <w:tcBorders>
              <w:right w:val="single" w:sz="8" w:color="auto"/>
            </w:tcBorders>
          </w:tcPr>
          <w:p>
            <w:pPr>
              <w:spacing w:after="0"/>
              <w:rPr>
                <w:sz w:val="10"/>
                <w:szCs w:val="10"/>
                <w:color w:val="auto"/>
              </w:rPr>
            </w:pPr>
          </w:p>
        </w:tc>
        <w:tc>
          <w:tcPr>
            <w:tcW w:w="2120" w:type="dxa"/>
            <w:vAlign w:val="bottom"/>
            <w:vMerge w:val="restart"/>
          </w:tcPr>
          <w:p>
            <w:pPr>
              <w:ind w:left="100"/>
              <w:spacing w:after="0" w:line="252" w:lineRule="exact"/>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127"/>
        </w:trPr>
        <w:tc>
          <w:tcPr>
            <w:tcW w:w="1120" w:type="dxa"/>
            <w:vAlign w:val="bottom"/>
            <w:tcBorders>
              <w:right w:val="single" w:sz="8" w:color="auto"/>
            </w:tcBorders>
          </w:tcPr>
          <w:p>
            <w:pPr>
              <w:spacing w:after="0"/>
              <w:rPr>
                <w:sz w:val="11"/>
                <w:szCs w:val="11"/>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sheets, daily logs, shipping movements, rosters,</w:t>
            </w:r>
          </w:p>
        </w:tc>
        <w:tc>
          <w:tcPr>
            <w:tcW w:w="1840" w:type="dxa"/>
            <w:vAlign w:val="bottom"/>
            <w:tcBorders>
              <w:right w:val="single" w:sz="8" w:color="auto"/>
            </w:tcBorders>
          </w:tcPr>
          <w:p>
            <w:pPr>
              <w:spacing w:after="0"/>
              <w:rPr>
                <w:sz w:val="11"/>
                <w:szCs w:val="11"/>
                <w:color w:val="auto"/>
              </w:rPr>
            </w:pPr>
          </w:p>
        </w:tc>
        <w:tc>
          <w:tcPr>
            <w:tcW w:w="21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7"/>
        </w:trPr>
        <w:tc>
          <w:tcPr>
            <w:tcW w:w="1120" w:type="dxa"/>
            <w:vAlign w:val="bottom"/>
            <w:tcBorders>
              <w:right w:val="single" w:sz="8" w:color="auto"/>
            </w:tcBorders>
          </w:tcPr>
          <w:p>
            <w:pPr>
              <w:spacing w:after="0"/>
              <w:rPr>
                <w:sz w:val="11"/>
                <w:szCs w:val="11"/>
                <w:color w:val="auto"/>
              </w:rPr>
            </w:pPr>
          </w:p>
        </w:tc>
        <w:tc>
          <w:tcPr>
            <w:tcW w:w="4960" w:type="dxa"/>
            <w:vAlign w:val="bottom"/>
            <w:tcBorders>
              <w:right w:val="single" w:sz="8" w:color="auto"/>
            </w:tcBorders>
            <w:vMerge w:val="continue"/>
          </w:tcPr>
          <w:p>
            <w:pPr>
              <w:spacing w:after="0"/>
              <w:rPr>
                <w:sz w:val="11"/>
                <w:szCs w:val="11"/>
                <w:color w:val="auto"/>
              </w:rPr>
            </w:pPr>
          </w:p>
        </w:tc>
        <w:tc>
          <w:tcPr>
            <w:tcW w:w="1840" w:type="dxa"/>
            <w:vAlign w:val="bottom"/>
            <w:tcBorders>
              <w:right w:val="single" w:sz="8" w:color="auto"/>
            </w:tcBorders>
          </w:tcPr>
          <w:p>
            <w:pPr>
              <w:spacing w:after="0"/>
              <w:rPr>
                <w:sz w:val="11"/>
                <w:szCs w:val="11"/>
                <w:color w:val="auto"/>
              </w:rPr>
            </w:pP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165"/>
        </w:trPr>
        <w:tc>
          <w:tcPr>
            <w:tcW w:w="1120" w:type="dxa"/>
            <w:vAlign w:val="bottom"/>
            <w:tcBorders>
              <w:right w:val="single" w:sz="8" w:color="auto"/>
            </w:tcBorders>
          </w:tcPr>
          <w:p>
            <w:pPr>
              <w:spacing w:after="0"/>
              <w:rPr>
                <w:sz w:val="14"/>
                <w:szCs w:val="14"/>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berth arrivals and departures, diagrams, graphs</w:t>
            </w:r>
          </w:p>
        </w:tc>
        <w:tc>
          <w:tcPr>
            <w:tcW w:w="1840" w:type="dxa"/>
            <w:vAlign w:val="bottom"/>
            <w:tcBorders>
              <w:right w:val="single" w:sz="8" w:color="auto"/>
            </w:tcBorders>
          </w:tcPr>
          <w:p>
            <w:pPr>
              <w:spacing w:after="0"/>
              <w:rPr>
                <w:sz w:val="14"/>
                <w:szCs w:val="14"/>
                <w:color w:val="auto"/>
              </w:rPr>
            </w:pPr>
          </w:p>
        </w:tc>
        <w:tc>
          <w:tcPr>
            <w:tcW w:w="2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88"/>
        </w:trPr>
        <w:tc>
          <w:tcPr>
            <w:tcW w:w="1120" w:type="dxa"/>
            <w:vAlign w:val="bottom"/>
            <w:tcBorders>
              <w:right w:val="single" w:sz="8" w:color="auto"/>
            </w:tcBorders>
          </w:tcPr>
          <w:p>
            <w:pPr>
              <w:spacing w:after="0"/>
              <w:rPr>
                <w:sz w:val="7"/>
                <w:szCs w:val="7"/>
                <w:color w:val="auto"/>
              </w:rPr>
            </w:pPr>
          </w:p>
        </w:tc>
        <w:tc>
          <w:tcPr>
            <w:tcW w:w="4960" w:type="dxa"/>
            <w:vAlign w:val="bottom"/>
            <w:tcBorders>
              <w:right w:val="single" w:sz="8" w:color="auto"/>
            </w:tcBorders>
            <w:vMerge w:val="continue"/>
          </w:tcPr>
          <w:p>
            <w:pPr>
              <w:spacing w:after="0"/>
              <w:rPr>
                <w:sz w:val="7"/>
                <w:szCs w:val="7"/>
                <w:color w:val="auto"/>
              </w:rPr>
            </w:pPr>
          </w:p>
        </w:tc>
        <w:tc>
          <w:tcPr>
            <w:tcW w:w="1840" w:type="dxa"/>
            <w:vAlign w:val="bottom"/>
            <w:tcBorders>
              <w:right w:val="single" w:sz="8" w:color="auto"/>
            </w:tcBorders>
          </w:tcPr>
          <w:p>
            <w:pPr>
              <w:spacing w:after="0"/>
              <w:rPr>
                <w:sz w:val="7"/>
                <w:szCs w:val="7"/>
                <w:color w:val="auto"/>
              </w:rPr>
            </w:pPr>
          </w:p>
        </w:tc>
        <w:tc>
          <w:tcPr>
            <w:tcW w:w="21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safe working forms.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3.7.3</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documenting the evaluation of</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156"/>
        </w:trPr>
        <w:tc>
          <w:tcPr>
            <w:tcW w:w="1120" w:type="dxa"/>
            <w:vAlign w:val="bottom"/>
            <w:tcBorders>
              <w:right w:val="single" w:sz="8" w:color="auto"/>
            </w:tcBorders>
          </w:tcPr>
          <w:p>
            <w:pPr>
              <w:spacing w:after="0"/>
              <w:rPr>
                <w:sz w:val="13"/>
                <w:szCs w:val="13"/>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programs, systems or services associated with</w:t>
            </w:r>
          </w:p>
        </w:tc>
        <w:tc>
          <w:tcPr>
            <w:tcW w:w="184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Destroy 2 years</w:t>
            </w: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26"/>
        </w:trPr>
        <w:tc>
          <w:tcPr>
            <w:tcW w:w="1120" w:type="dxa"/>
            <w:vAlign w:val="bottom"/>
            <w:tcBorders>
              <w:right w:val="single" w:sz="8" w:color="auto"/>
            </w:tcBorders>
          </w:tcPr>
          <w:p>
            <w:pPr>
              <w:spacing w:after="0"/>
              <w:rPr>
                <w:sz w:val="10"/>
                <w:szCs w:val="10"/>
                <w:color w:val="auto"/>
              </w:rPr>
            </w:pPr>
          </w:p>
        </w:tc>
        <w:tc>
          <w:tcPr>
            <w:tcW w:w="4960" w:type="dxa"/>
            <w:vAlign w:val="bottom"/>
            <w:tcBorders>
              <w:right w:val="single" w:sz="8" w:color="auto"/>
            </w:tcBorders>
            <w:vMerge w:val="continue"/>
          </w:tcPr>
          <w:p>
            <w:pPr>
              <w:spacing w:after="0"/>
              <w:rPr>
                <w:sz w:val="10"/>
                <w:szCs w:val="10"/>
                <w:color w:val="auto"/>
              </w:rPr>
            </w:pPr>
          </w:p>
        </w:tc>
        <w:tc>
          <w:tcPr>
            <w:tcW w:w="1840" w:type="dxa"/>
            <w:vAlign w:val="bottom"/>
            <w:tcBorders>
              <w:right w:val="single" w:sz="8" w:color="auto"/>
            </w:tcBorders>
            <w:vMerge w:val="continue"/>
          </w:tcPr>
          <w:p>
            <w:pPr>
              <w:spacing w:after="0"/>
              <w:rPr>
                <w:sz w:val="10"/>
                <w:szCs w:val="10"/>
                <w:color w:val="auto"/>
              </w:rPr>
            </w:pPr>
          </w:p>
        </w:tc>
        <w:tc>
          <w:tcPr>
            <w:tcW w:w="2120" w:type="dxa"/>
            <w:vAlign w:val="bottom"/>
            <w:vMerge w:val="restart"/>
          </w:tcPr>
          <w:p>
            <w:pPr>
              <w:ind w:left="100"/>
              <w:spacing w:after="0" w:line="252" w:lineRule="exact"/>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126"/>
        </w:trPr>
        <w:tc>
          <w:tcPr>
            <w:tcW w:w="1120" w:type="dxa"/>
            <w:vAlign w:val="bottom"/>
            <w:tcBorders>
              <w:right w:val="single" w:sz="8" w:color="auto"/>
            </w:tcBorders>
          </w:tcPr>
          <w:p>
            <w:pPr>
              <w:spacing w:after="0"/>
              <w:rPr>
                <w:sz w:val="10"/>
                <w:szCs w:val="10"/>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the shipping traffic management function.</w:t>
            </w:r>
          </w:p>
        </w:tc>
        <w:tc>
          <w:tcPr>
            <w:tcW w:w="184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56"/>
        </w:trPr>
        <w:tc>
          <w:tcPr>
            <w:tcW w:w="1120" w:type="dxa"/>
            <w:vAlign w:val="bottom"/>
            <w:tcBorders>
              <w:right w:val="single" w:sz="8" w:color="auto"/>
            </w:tcBorders>
          </w:tcPr>
          <w:p>
            <w:pPr>
              <w:spacing w:after="0"/>
              <w:rPr>
                <w:sz w:val="13"/>
                <w:szCs w:val="13"/>
                <w:color w:val="auto"/>
              </w:rPr>
            </w:pPr>
          </w:p>
        </w:tc>
        <w:tc>
          <w:tcPr>
            <w:tcW w:w="4960" w:type="dxa"/>
            <w:vAlign w:val="bottom"/>
            <w:tcBorders>
              <w:right w:val="single" w:sz="8" w:color="auto"/>
            </w:tcBorders>
            <w:vMerge w:val="continue"/>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136"/>
        </w:trPr>
        <w:tc>
          <w:tcPr>
            <w:tcW w:w="1120" w:type="dxa"/>
            <w:vAlign w:val="bottom"/>
            <w:tcBorders>
              <w:right w:val="single" w:sz="8" w:color="auto"/>
            </w:tcBorders>
          </w:tcPr>
          <w:p>
            <w:pPr>
              <w:spacing w:after="0"/>
              <w:rPr>
                <w:sz w:val="11"/>
                <w:szCs w:val="11"/>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Includes evaluation criteria, copies of evaluation</w:t>
            </w:r>
          </w:p>
        </w:tc>
        <w:tc>
          <w:tcPr>
            <w:tcW w:w="1840" w:type="dxa"/>
            <w:vAlign w:val="bottom"/>
            <w:tcBorders>
              <w:right w:val="single" w:sz="8" w:color="auto"/>
            </w:tcBorders>
          </w:tcPr>
          <w:p>
            <w:pPr>
              <w:spacing w:after="0"/>
              <w:rPr>
                <w:sz w:val="11"/>
                <w:szCs w:val="11"/>
                <w:color w:val="auto"/>
              </w:rPr>
            </w:pPr>
          </w:p>
        </w:tc>
        <w:tc>
          <w:tcPr>
            <w:tcW w:w="21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8"/>
        </w:trPr>
        <w:tc>
          <w:tcPr>
            <w:tcW w:w="1120" w:type="dxa"/>
            <w:vAlign w:val="bottom"/>
            <w:tcBorders>
              <w:right w:val="single" w:sz="8" w:color="auto"/>
            </w:tcBorders>
          </w:tcPr>
          <w:p>
            <w:pPr>
              <w:spacing w:after="0"/>
              <w:rPr>
                <w:sz w:val="10"/>
                <w:szCs w:val="10"/>
                <w:color w:val="auto"/>
              </w:rPr>
            </w:pPr>
          </w:p>
        </w:tc>
        <w:tc>
          <w:tcPr>
            <w:tcW w:w="4960" w:type="dxa"/>
            <w:vAlign w:val="bottom"/>
            <w:tcBorders>
              <w:right w:val="single" w:sz="8" w:color="auto"/>
            </w:tcBorders>
            <w:vMerge w:val="continue"/>
          </w:tcPr>
          <w:p>
            <w:pPr>
              <w:spacing w:after="0"/>
              <w:rPr>
                <w:sz w:val="10"/>
                <w:szCs w:val="10"/>
                <w:color w:val="auto"/>
              </w:rPr>
            </w:pPr>
          </w:p>
        </w:tc>
        <w:tc>
          <w:tcPr>
            <w:tcW w:w="1840" w:type="dxa"/>
            <w:vAlign w:val="bottom"/>
            <w:tcBorders>
              <w:right w:val="single" w:sz="8" w:color="auto"/>
            </w:tcBorders>
          </w:tcPr>
          <w:p>
            <w:pPr>
              <w:spacing w:after="0"/>
              <w:rPr>
                <w:sz w:val="10"/>
                <w:szCs w:val="10"/>
                <w:color w:val="auto"/>
              </w:rPr>
            </w:pP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156"/>
        </w:trPr>
        <w:tc>
          <w:tcPr>
            <w:tcW w:w="1120" w:type="dxa"/>
            <w:vAlign w:val="bottom"/>
            <w:tcBorders>
              <w:right w:val="single" w:sz="8" w:color="auto"/>
            </w:tcBorders>
          </w:tcPr>
          <w:p>
            <w:pPr>
              <w:spacing w:after="0"/>
              <w:rPr>
                <w:sz w:val="13"/>
                <w:szCs w:val="13"/>
                <w:color w:val="auto"/>
              </w:rPr>
            </w:pPr>
          </w:p>
        </w:tc>
        <w:tc>
          <w:tcPr>
            <w:tcW w:w="4960" w:type="dxa"/>
            <w:vAlign w:val="bottom"/>
            <w:tcBorders>
              <w:right w:val="single" w:sz="8" w:color="auto"/>
            </w:tcBorders>
            <w:vMerge w:val="restart"/>
          </w:tcPr>
          <w:p>
            <w:pPr>
              <w:ind w:left="100"/>
              <w:spacing w:after="0" w:line="252" w:lineRule="exact"/>
              <w:rPr>
                <w:sz w:val="20"/>
                <w:szCs w:val="20"/>
                <w:color w:val="auto"/>
              </w:rPr>
            </w:pPr>
            <w:r>
              <w:rPr>
                <w:rFonts w:ascii="Arial" w:cs="Arial" w:eastAsia="Arial" w:hAnsi="Arial"/>
                <w:sz w:val="22"/>
                <w:szCs w:val="22"/>
                <w:color w:val="auto"/>
              </w:rPr>
              <w:t>or survey forms, results of surveys,</w:t>
            </w:r>
          </w:p>
        </w:tc>
        <w:tc>
          <w:tcPr>
            <w:tcW w:w="1840" w:type="dxa"/>
            <w:vAlign w:val="bottom"/>
            <w:tcBorders>
              <w:right w:val="single" w:sz="8" w:color="auto"/>
            </w:tcBorders>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6"/>
        </w:trPr>
        <w:tc>
          <w:tcPr>
            <w:tcW w:w="1120" w:type="dxa"/>
            <w:vAlign w:val="bottom"/>
            <w:tcBorders>
              <w:right w:val="single" w:sz="8" w:color="auto"/>
            </w:tcBorders>
          </w:tcPr>
          <w:p>
            <w:pPr>
              <w:spacing w:after="0"/>
              <w:rPr>
                <w:sz w:val="8"/>
                <w:szCs w:val="8"/>
                <w:color w:val="auto"/>
              </w:rPr>
            </w:pPr>
          </w:p>
        </w:tc>
        <w:tc>
          <w:tcPr>
            <w:tcW w:w="4960" w:type="dxa"/>
            <w:vAlign w:val="bottom"/>
            <w:tcBorders>
              <w:right w:val="single" w:sz="8" w:color="auto"/>
            </w:tcBorders>
            <w:vMerge w:val="continue"/>
          </w:tcPr>
          <w:p>
            <w:pPr>
              <w:spacing w:after="0"/>
              <w:rPr>
                <w:sz w:val="8"/>
                <w:szCs w:val="8"/>
                <w:color w:val="auto"/>
              </w:rPr>
            </w:pPr>
          </w:p>
        </w:tc>
        <w:tc>
          <w:tcPr>
            <w:tcW w:w="1840" w:type="dxa"/>
            <w:vAlign w:val="bottom"/>
            <w:tcBorders>
              <w:right w:val="single" w:sz="8" w:color="auto"/>
            </w:tcBorders>
          </w:tcPr>
          <w:p>
            <w:pPr>
              <w:spacing w:after="0"/>
              <w:rPr>
                <w:sz w:val="8"/>
                <w:szCs w:val="8"/>
                <w:color w:val="auto"/>
              </w:rPr>
            </w:pPr>
          </w:p>
        </w:tc>
        <w:tc>
          <w:tcPr>
            <w:tcW w:w="2120" w:type="dxa"/>
            <w:vAlign w:val="bottom"/>
            <w:vMerge w:val="restart"/>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156"/>
        </w:trPr>
        <w:tc>
          <w:tcPr>
            <w:tcW w:w="1120" w:type="dxa"/>
            <w:vAlign w:val="bottom"/>
            <w:tcBorders>
              <w:right w:val="single" w:sz="8" w:color="auto"/>
            </w:tcBorders>
          </w:tcPr>
          <w:p>
            <w:pPr>
              <w:spacing w:after="0"/>
              <w:rPr>
                <w:sz w:val="13"/>
                <w:szCs w:val="13"/>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recommendations and reports.</w:t>
            </w:r>
          </w:p>
        </w:tc>
        <w:tc>
          <w:tcPr>
            <w:tcW w:w="1840" w:type="dxa"/>
            <w:vAlign w:val="bottom"/>
            <w:tcBorders>
              <w:right w:val="single" w:sz="8" w:color="auto"/>
            </w:tcBorders>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6"/>
        </w:trPr>
        <w:tc>
          <w:tcPr>
            <w:tcW w:w="1120" w:type="dxa"/>
            <w:vAlign w:val="bottom"/>
            <w:tcBorders>
              <w:right w:val="single" w:sz="8" w:color="auto"/>
            </w:tcBorders>
          </w:tcPr>
          <w:p>
            <w:pPr>
              <w:spacing w:after="0"/>
              <w:rPr>
                <w:sz w:val="11"/>
                <w:szCs w:val="11"/>
                <w:color w:val="auto"/>
              </w:rPr>
            </w:pPr>
          </w:p>
        </w:tc>
        <w:tc>
          <w:tcPr>
            <w:tcW w:w="4960" w:type="dxa"/>
            <w:vAlign w:val="bottom"/>
            <w:tcBorders>
              <w:right w:val="single" w:sz="8" w:color="auto"/>
            </w:tcBorders>
            <w:vMerge w:val="continue"/>
          </w:tcPr>
          <w:p>
            <w:pPr>
              <w:spacing w:after="0"/>
              <w:rPr>
                <w:sz w:val="11"/>
                <w:szCs w:val="11"/>
                <w:color w:val="auto"/>
              </w:rPr>
            </w:pPr>
          </w:p>
        </w:tc>
        <w:tc>
          <w:tcPr>
            <w:tcW w:w="1840" w:type="dxa"/>
            <w:vAlign w:val="bottom"/>
            <w:tcBorders>
              <w:right w:val="single" w:sz="8" w:color="auto"/>
            </w:tcBorders>
          </w:tcPr>
          <w:p>
            <w:pPr>
              <w:spacing w:after="0"/>
              <w:rPr>
                <w:sz w:val="11"/>
                <w:szCs w:val="11"/>
                <w:color w:val="auto"/>
              </w:rPr>
            </w:pP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118"/>
        </w:trPr>
        <w:tc>
          <w:tcPr>
            <w:tcW w:w="1120" w:type="dxa"/>
            <w:vAlign w:val="bottom"/>
            <w:tcBorders>
              <w:right w:val="single" w:sz="8" w:color="auto"/>
            </w:tcBorders>
          </w:tcPr>
          <w:p>
            <w:pPr>
              <w:spacing w:after="0"/>
              <w:rPr>
                <w:sz w:val="10"/>
                <w:szCs w:val="10"/>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[For reports and recommendations made to</w:t>
            </w:r>
          </w:p>
        </w:tc>
        <w:tc>
          <w:tcPr>
            <w:tcW w:w="1840" w:type="dxa"/>
            <w:vAlign w:val="bottom"/>
            <w:tcBorders>
              <w:right w:val="single" w:sz="8" w:color="auto"/>
            </w:tcBorders>
          </w:tcPr>
          <w:p>
            <w:pPr>
              <w:spacing w:after="0"/>
              <w:rPr>
                <w:sz w:val="10"/>
                <w:szCs w:val="10"/>
                <w:color w:val="auto"/>
              </w:rPr>
            </w:pPr>
          </w:p>
        </w:tc>
        <w:tc>
          <w:tcPr>
            <w:tcW w:w="21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56"/>
        </w:trPr>
        <w:tc>
          <w:tcPr>
            <w:tcW w:w="1120" w:type="dxa"/>
            <w:vAlign w:val="bottom"/>
            <w:tcBorders>
              <w:right w:val="single" w:sz="8" w:color="auto"/>
            </w:tcBorders>
          </w:tcPr>
          <w:p>
            <w:pPr>
              <w:spacing w:after="0"/>
              <w:rPr>
                <w:sz w:val="13"/>
                <w:szCs w:val="13"/>
                <w:color w:val="auto"/>
              </w:rPr>
            </w:pPr>
          </w:p>
        </w:tc>
        <w:tc>
          <w:tcPr>
            <w:tcW w:w="4960" w:type="dxa"/>
            <w:vAlign w:val="bottom"/>
            <w:tcBorders>
              <w:right w:val="single" w:sz="8" w:color="auto"/>
            </w:tcBorders>
            <w:vMerge w:val="continue"/>
          </w:tcPr>
          <w:p>
            <w:pPr>
              <w:spacing w:after="0"/>
              <w:rPr>
                <w:sz w:val="13"/>
                <w:szCs w:val="13"/>
                <w:color w:val="auto"/>
              </w:rPr>
            </w:pPr>
          </w:p>
        </w:tc>
        <w:tc>
          <w:tcPr>
            <w:tcW w:w="1840" w:type="dxa"/>
            <w:vAlign w:val="bottom"/>
            <w:tcBorders>
              <w:right w:val="single" w:sz="8" w:color="auto"/>
            </w:tcBorders>
          </w:tcPr>
          <w:p>
            <w:pPr>
              <w:spacing w:after="0"/>
              <w:rPr>
                <w:sz w:val="13"/>
                <w:szCs w:val="13"/>
                <w:color w:val="auto"/>
              </w:rPr>
            </w:pPr>
          </w:p>
        </w:tc>
        <w:tc>
          <w:tcPr>
            <w:tcW w:w="2120" w:type="dxa"/>
            <w:vAlign w:val="bottom"/>
            <w:vMerge w:val="restart"/>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96"/>
        </w:trPr>
        <w:tc>
          <w:tcPr>
            <w:tcW w:w="1120" w:type="dxa"/>
            <w:vAlign w:val="bottom"/>
            <w:tcBorders>
              <w:right w:val="single" w:sz="8" w:color="auto"/>
            </w:tcBorders>
          </w:tcPr>
          <w:p>
            <w:pPr>
              <w:spacing w:after="0"/>
              <w:rPr>
                <w:sz w:val="8"/>
                <w:szCs w:val="8"/>
                <w:color w:val="auto"/>
              </w:rPr>
            </w:pPr>
          </w:p>
        </w:tc>
        <w:tc>
          <w:tcPr>
            <w:tcW w:w="4960" w:type="dxa"/>
            <w:vAlign w:val="bottom"/>
            <w:tcBorders>
              <w:right w:val="single" w:sz="8" w:color="auto"/>
            </w:tcBorders>
            <w:vMerge w:val="restart"/>
          </w:tcPr>
          <w:p>
            <w:pPr>
              <w:ind w:left="100"/>
              <w:spacing w:after="0" w:line="252" w:lineRule="exact"/>
              <w:rPr>
                <w:sz w:val="20"/>
                <w:szCs w:val="20"/>
                <w:color w:val="auto"/>
              </w:rPr>
            </w:pPr>
            <w:r>
              <w:rPr>
                <w:rFonts w:ascii="Arial" w:cs="Arial" w:eastAsia="Arial" w:hAnsi="Arial"/>
                <w:sz w:val="22"/>
                <w:szCs w:val="22"/>
                <w:color w:val="auto"/>
              </w:rPr>
              <w:t>committees, use the Committees section of the</w:t>
            </w:r>
          </w:p>
        </w:tc>
        <w:tc>
          <w:tcPr>
            <w:tcW w:w="1840" w:type="dxa"/>
            <w:vAlign w:val="bottom"/>
            <w:tcBorders>
              <w:right w:val="single" w:sz="8" w:color="auto"/>
            </w:tcBorders>
          </w:tcPr>
          <w:p>
            <w:pPr>
              <w:spacing w:after="0"/>
              <w:rPr>
                <w:sz w:val="8"/>
                <w:szCs w:val="8"/>
                <w:color w:val="auto"/>
              </w:rPr>
            </w:pPr>
          </w:p>
        </w:tc>
        <w:tc>
          <w:tcPr>
            <w:tcW w:w="21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56"/>
        </w:trPr>
        <w:tc>
          <w:tcPr>
            <w:tcW w:w="1120" w:type="dxa"/>
            <w:vAlign w:val="bottom"/>
            <w:tcBorders>
              <w:right w:val="single" w:sz="8" w:color="auto"/>
            </w:tcBorders>
          </w:tcPr>
          <w:p>
            <w:pPr>
              <w:spacing w:after="0"/>
              <w:rPr>
                <w:sz w:val="13"/>
                <w:szCs w:val="13"/>
                <w:color w:val="auto"/>
              </w:rPr>
            </w:pPr>
          </w:p>
        </w:tc>
        <w:tc>
          <w:tcPr>
            <w:tcW w:w="4960" w:type="dxa"/>
            <w:vAlign w:val="bottom"/>
            <w:tcBorders>
              <w:right w:val="single" w:sz="8" w:color="auto"/>
            </w:tcBorders>
            <w:vMerge w:val="continue"/>
          </w:tcPr>
          <w:p>
            <w:pPr>
              <w:spacing w:after="0"/>
              <w:rPr>
                <w:sz w:val="13"/>
                <w:szCs w:val="13"/>
                <w:color w:val="auto"/>
              </w:rPr>
            </w:pPr>
          </w:p>
        </w:tc>
        <w:tc>
          <w:tcPr>
            <w:tcW w:w="1840" w:type="dxa"/>
            <w:vAlign w:val="bottom"/>
            <w:tcBorders>
              <w:right w:val="single" w:sz="8" w:color="auto"/>
            </w:tcBorders>
          </w:tcPr>
          <w:p>
            <w:pPr>
              <w:spacing w:after="0"/>
              <w:rPr>
                <w:sz w:val="13"/>
                <w:szCs w:val="13"/>
                <w:color w:val="auto"/>
              </w:rPr>
            </w:pP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98"/>
        </w:trPr>
        <w:tc>
          <w:tcPr>
            <w:tcW w:w="1120" w:type="dxa"/>
            <w:vAlign w:val="bottom"/>
            <w:tcBorders>
              <w:right w:val="single" w:sz="8" w:color="auto"/>
            </w:tcBorders>
          </w:tcPr>
          <w:p>
            <w:pPr>
              <w:spacing w:after="0"/>
              <w:rPr>
                <w:sz w:val="8"/>
                <w:szCs w:val="8"/>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General Retention &amp; Disposal Authority for</w:t>
            </w:r>
          </w:p>
        </w:tc>
        <w:tc>
          <w:tcPr>
            <w:tcW w:w="1840" w:type="dxa"/>
            <w:vAlign w:val="bottom"/>
            <w:tcBorders>
              <w:right w:val="single" w:sz="8" w:color="auto"/>
            </w:tcBorders>
          </w:tcPr>
          <w:p>
            <w:pPr>
              <w:spacing w:after="0"/>
              <w:rPr>
                <w:sz w:val="8"/>
                <w:szCs w:val="8"/>
                <w:color w:val="auto"/>
              </w:rPr>
            </w:pPr>
          </w:p>
        </w:tc>
        <w:tc>
          <w:tcPr>
            <w:tcW w:w="21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56"/>
        </w:trPr>
        <w:tc>
          <w:tcPr>
            <w:tcW w:w="1120" w:type="dxa"/>
            <w:vAlign w:val="bottom"/>
            <w:tcBorders>
              <w:right w:val="single" w:sz="8" w:color="auto"/>
            </w:tcBorders>
          </w:tcPr>
          <w:p>
            <w:pPr>
              <w:spacing w:after="0"/>
              <w:rPr>
                <w:sz w:val="13"/>
                <w:szCs w:val="13"/>
                <w:color w:val="auto"/>
              </w:rPr>
            </w:pPr>
          </w:p>
        </w:tc>
        <w:tc>
          <w:tcPr>
            <w:tcW w:w="4960" w:type="dxa"/>
            <w:vAlign w:val="bottom"/>
            <w:tcBorders>
              <w:right w:val="single" w:sz="8" w:color="auto"/>
            </w:tcBorders>
            <w:vMerge w:val="continue"/>
          </w:tcPr>
          <w:p>
            <w:pPr>
              <w:spacing w:after="0"/>
              <w:rPr>
                <w:sz w:val="13"/>
                <w:szCs w:val="13"/>
                <w:color w:val="auto"/>
              </w:rPr>
            </w:pPr>
          </w:p>
        </w:tc>
        <w:tc>
          <w:tcPr>
            <w:tcW w:w="1840" w:type="dxa"/>
            <w:vAlign w:val="bottom"/>
            <w:tcBorders>
              <w:right w:val="single" w:sz="8" w:color="auto"/>
            </w:tcBorders>
          </w:tcPr>
          <w:p>
            <w:pPr>
              <w:spacing w:after="0"/>
              <w:rPr>
                <w:sz w:val="13"/>
                <w:szCs w:val="13"/>
                <w:color w:val="auto"/>
              </w:rPr>
            </w:pPr>
          </w:p>
        </w:tc>
        <w:tc>
          <w:tcPr>
            <w:tcW w:w="2120" w:type="dxa"/>
            <w:vAlign w:val="bottom"/>
            <w:vMerge w:val="restart"/>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136"/>
        </w:trPr>
        <w:tc>
          <w:tcPr>
            <w:tcW w:w="1120" w:type="dxa"/>
            <w:vAlign w:val="bottom"/>
            <w:tcBorders>
              <w:right w:val="single" w:sz="8" w:color="auto"/>
            </w:tcBorders>
          </w:tcPr>
          <w:p>
            <w:pPr>
              <w:spacing w:after="0"/>
              <w:rPr>
                <w:sz w:val="11"/>
                <w:szCs w:val="11"/>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Records of Common Administrative Functions]</w:t>
            </w:r>
          </w:p>
        </w:tc>
        <w:tc>
          <w:tcPr>
            <w:tcW w:w="1840" w:type="dxa"/>
            <w:vAlign w:val="bottom"/>
            <w:tcBorders>
              <w:right w:val="single" w:sz="8" w:color="auto"/>
            </w:tcBorders>
          </w:tcPr>
          <w:p>
            <w:pPr>
              <w:spacing w:after="0"/>
              <w:rPr>
                <w:sz w:val="11"/>
                <w:szCs w:val="11"/>
                <w:color w:val="auto"/>
              </w:rPr>
            </w:pPr>
          </w:p>
        </w:tc>
        <w:tc>
          <w:tcPr>
            <w:tcW w:w="21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56"/>
        </w:trPr>
        <w:tc>
          <w:tcPr>
            <w:tcW w:w="1120" w:type="dxa"/>
            <w:vAlign w:val="bottom"/>
            <w:tcBorders>
              <w:right w:val="single" w:sz="8" w:color="auto"/>
            </w:tcBorders>
          </w:tcPr>
          <w:p>
            <w:pPr>
              <w:spacing w:after="0"/>
              <w:rPr>
                <w:sz w:val="13"/>
                <w:szCs w:val="13"/>
                <w:color w:val="auto"/>
              </w:rPr>
            </w:pPr>
          </w:p>
        </w:tc>
        <w:tc>
          <w:tcPr>
            <w:tcW w:w="4960" w:type="dxa"/>
            <w:vAlign w:val="bottom"/>
            <w:tcBorders>
              <w:right w:val="single" w:sz="8" w:color="auto"/>
            </w:tcBorders>
            <w:vMerge w:val="continue"/>
          </w:tcPr>
          <w:p>
            <w:pPr>
              <w:spacing w:after="0"/>
              <w:rPr>
                <w:sz w:val="13"/>
                <w:szCs w:val="13"/>
                <w:color w:val="auto"/>
              </w:rPr>
            </w:pPr>
          </w:p>
        </w:tc>
        <w:tc>
          <w:tcPr>
            <w:tcW w:w="1840" w:type="dxa"/>
            <w:vAlign w:val="bottom"/>
            <w:tcBorders>
              <w:right w:val="single" w:sz="8" w:color="auto"/>
            </w:tcBorders>
          </w:tcPr>
          <w:p>
            <w:pPr>
              <w:spacing w:after="0"/>
              <w:rPr>
                <w:sz w:val="13"/>
                <w:szCs w:val="13"/>
                <w:color w:val="auto"/>
              </w:rPr>
            </w:pPr>
          </w:p>
        </w:tc>
        <w:tc>
          <w:tcPr>
            <w:tcW w:w="21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380"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24" w:name="page25"/>
    <w:bookmarkEnd w:id="24"/>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25</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341630</wp:posOffset>
                </wp:positionV>
                <wp:extent cx="636079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9pt" to="500.85pt,26.9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338455</wp:posOffset>
                </wp:positionV>
                <wp:extent cx="0" cy="789876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987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26.65pt" to="0.2pt,648.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338455</wp:posOffset>
                </wp:positionV>
                <wp:extent cx="0" cy="789876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987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26.65pt" to="500.6pt,648.6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3: PORT OPERATIONS</w:t>
      </w:r>
    </w:p>
    <w:p>
      <w:pPr>
        <w:spacing w:after="0" w:line="107"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4"/>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61"/>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1120" w:type="dxa"/>
            <w:vAlign w:val="bottom"/>
            <w:tcBorders>
              <w:bottom w:val="single" w:sz="8" w:color="auto"/>
              <w:right w:val="single" w:sz="8" w:color="auto"/>
            </w:tcBorders>
          </w:tcPr>
          <w:p>
            <w:pPr>
              <w:spacing w:after="0"/>
              <w:rPr>
                <w:sz w:val="6"/>
                <w:szCs w:val="6"/>
                <w:color w:val="auto"/>
              </w:rPr>
            </w:pPr>
          </w:p>
        </w:tc>
        <w:tc>
          <w:tcPr>
            <w:tcW w:w="49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3.8.0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Spatial Information Management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activities related to the capturing and</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maintaining up to date cadastral, topographic</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and other mapping details of Port of Melbourne</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lands and waterways in graphic and digital form.</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the management of spatial information,</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mapping and field verification and photography.</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3.8.1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Register of all maps, drawings, plans; surveys;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aerial photography and spatial information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produced of Port of Melbourne land and waters.</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24"/>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spacing w:after="0"/>
              <w:rPr>
                <w:sz w:val="19"/>
                <w:szCs w:val="19"/>
                <w:color w:val="auto"/>
              </w:rPr>
            </w:pP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4" w:lineRule="exact"/>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3.8.2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Spatial documentation, including maps,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drawings, photographs and plans, used for</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reference or in conjunction with any</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24"/>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4" w:lineRule="exact"/>
              <w:rPr>
                <w:sz w:val="20"/>
                <w:szCs w:val="20"/>
                <w:color w:val="auto"/>
              </w:rPr>
            </w:pPr>
            <w:r>
              <w:rPr>
                <w:rFonts w:ascii="Arial" w:cs="Arial" w:eastAsia="Arial" w:hAnsi="Arial"/>
                <w:sz w:val="22"/>
                <w:szCs w:val="22"/>
                <w:color w:val="auto"/>
              </w:rPr>
              <w:t>infrastructure works.</w:t>
            </w: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4" w:lineRule="exact"/>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315"/>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plans for buildings and facilities, maps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of land, photography of waterways and survey</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maps outlining boundaries. Also includes</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advice provided on any action or judgement</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made based on the spatial information.</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3.9.0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Tidal Data Collection</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related to the accurate and ongoing</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recording of tidal information.</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3.9.1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documenting the official registration of</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tidal information such as tidal times, official</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heights and determination of mean high water</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22"/>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2" w:lineRule="exact"/>
              <w:rPr>
                <w:sz w:val="20"/>
                <w:szCs w:val="20"/>
                <w:color w:val="auto"/>
              </w:rPr>
            </w:pPr>
            <w:r>
              <w:rPr>
                <w:rFonts w:ascii="Arial" w:cs="Arial" w:eastAsia="Arial" w:hAnsi="Arial"/>
                <w:sz w:val="22"/>
                <w:szCs w:val="22"/>
                <w:color w:val="auto"/>
              </w:rPr>
              <w:t>mark.</w:t>
            </w: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2" w:lineRule="exact"/>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315"/>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tide registers and tide charts.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25" w:name="page26"/>
    <w:bookmarkEnd w:id="25"/>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26</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535559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55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460.9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535559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55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460.9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3: PORT OPERATIONS</w:t>
      </w:r>
    </w:p>
    <w:p>
      <w:pPr>
        <w:spacing w:after="0" w:line="133" w:lineRule="exact"/>
        <w:rPr>
          <w:sz w:val="20"/>
          <w:szCs w:val="20"/>
          <w:color w:val="auto"/>
        </w:rPr>
      </w:pPr>
    </w:p>
    <w:tbl>
      <w:tblPr>
        <w:tblLayout w:type="fixed"/>
        <w:tblInd w:w="0" w:type="dxa"/>
        <w:tblCellMar>
          <w:top w:w="0" w:type="dxa"/>
          <w:left w:w="0" w:type="dxa"/>
          <w:bottom w:w="0" w:type="dxa"/>
          <w:right w:w="0" w:type="dxa"/>
        </w:tblCellMar>
      </w:tblPr>
      <w:tr>
        <w:trPr>
          <w:trHeight w:val="553"/>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tcPr>
          <w:p>
            <w:pPr>
              <w:spacing w:after="0"/>
              <w:rPr>
                <w:sz w:val="24"/>
                <w:szCs w:val="24"/>
                <w:color w:val="auto"/>
              </w:rPr>
            </w:pP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103"/>
        </w:trPr>
        <w:tc>
          <w:tcPr>
            <w:tcW w:w="1120" w:type="dxa"/>
            <w:vAlign w:val="bottom"/>
            <w:tcBorders>
              <w:right w:val="single" w:sz="8" w:color="auto"/>
            </w:tcBorders>
            <w:vMerge w:val="continue"/>
          </w:tcPr>
          <w:p>
            <w:pPr>
              <w:spacing w:after="0"/>
              <w:rPr>
                <w:sz w:val="8"/>
                <w:szCs w:val="8"/>
                <w:color w:val="auto"/>
              </w:rPr>
            </w:pPr>
          </w:p>
        </w:tc>
        <w:tc>
          <w:tcPr>
            <w:tcW w:w="4960" w:type="dxa"/>
            <w:vAlign w:val="bottom"/>
            <w:tcBorders>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1840" w:type="dxa"/>
            <w:vAlign w:val="bottom"/>
            <w:tcBorders>
              <w:bottom w:val="single" w:sz="8" w:color="auto"/>
            </w:tcBorders>
          </w:tcPr>
          <w:p>
            <w:pPr>
              <w:spacing w:after="0"/>
              <w:rPr>
                <w:sz w:val="8"/>
                <w:szCs w:val="8"/>
                <w:color w:val="auto"/>
              </w:rPr>
            </w:pPr>
          </w:p>
        </w:tc>
        <w:tc>
          <w:tcPr>
            <w:tcW w:w="212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04"/>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61"/>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66"/>
        </w:trPr>
        <w:tc>
          <w:tcPr>
            <w:tcW w:w="1120" w:type="dxa"/>
            <w:vAlign w:val="bottom"/>
            <w:tcBorders>
              <w:right w:val="single" w:sz="8" w:color="auto"/>
            </w:tcBorders>
          </w:tcPr>
          <w:p>
            <w:pPr>
              <w:spacing w:after="0"/>
              <w:rPr>
                <w:sz w:val="14"/>
                <w:szCs w:val="14"/>
                <w:color w:val="auto"/>
              </w:rPr>
            </w:pPr>
          </w:p>
        </w:tc>
        <w:tc>
          <w:tcPr>
            <w:tcW w:w="4960" w:type="dxa"/>
            <w:vAlign w:val="bottom"/>
            <w:tcBorders>
              <w:right w:val="single" w:sz="8" w:color="auto"/>
            </w:tcBorders>
          </w:tcPr>
          <w:p>
            <w:pPr>
              <w:spacing w:after="0"/>
              <w:rPr>
                <w:sz w:val="14"/>
                <w:szCs w:val="14"/>
                <w:color w:val="auto"/>
              </w:rPr>
            </w:pPr>
          </w:p>
        </w:tc>
        <w:tc>
          <w:tcPr>
            <w:tcW w:w="1840" w:type="dxa"/>
            <w:vAlign w:val="bottom"/>
            <w:tcBorders>
              <w:right w:val="single" w:sz="8" w:color="auto"/>
            </w:tcBorders>
            <w:vMerge w:val="continue"/>
          </w:tcPr>
          <w:p>
            <w:pPr>
              <w:spacing w:after="0"/>
              <w:rPr>
                <w:sz w:val="14"/>
                <w:szCs w:val="14"/>
                <w:color w:val="auto"/>
              </w:rPr>
            </w:pPr>
          </w:p>
        </w:tc>
        <w:tc>
          <w:tcPr>
            <w:tcW w:w="2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00"/>
        </w:trPr>
        <w:tc>
          <w:tcPr>
            <w:tcW w:w="1120" w:type="dxa"/>
            <w:vAlign w:val="bottom"/>
            <w:tcBorders>
              <w:bottom w:val="single" w:sz="8" w:color="auto"/>
              <w:right w:val="single" w:sz="8" w:color="auto"/>
            </w:tcBorders>
          </w:tcPr>
          <w:p>
            <w:pPr>
              <w:spacing w:after="0"/>
              <w:rPr>
                <w:sz w:val="8"/>
                <w:szCs w:val="8"/>
                <w:color w:val="auto"/>
              </w:rPr>
            </w:pPr>
          </w:p>
        </w:tc>
        <w:tc>
          <w:tcPr>
            <w:tcW w:w="4960" w:type="dxa"/>
            <w:vAlign w:val="bottom"/>
            <w:tcBorders>
              <w:bottom w:val="single" w:sz="8" w:color="auto"/>
              <w:right w:val="single" w:sz="8" w:color="auto"/>
            </w:tcBorders>
          </w:tcPr>
          <w:p>
            <w:pPr>
              <w:spacing w:after="0"/>
              <w:rPr>
                <w:sz w:val="8"/>
                <w:szCs w:val="8"/>
                <w:color w:val="auto"/>
              </w:rPr>
            </w:pPr>
          </w:p>
        </w:tc>
        <w:tc>
          <w:tcPr>
            <w:tcW w:w="1840" w:type="dxa"/>
            <w:vAlign w:val="bottom"/>
            <w:tcBorders>
              <w:bottom w:val="single" w:sz="8" w:color="auto"/>
              <w:right w:val="single" w:sz="8" w:color="auto"/>
            </w:tcBorders>
          </w:tcPr>
          <w:p>
            <w:pPr>
              <w:spacing w:after="0"/>
              <w:rPr>
                <w:sz w:val="8"/>
                <w:szCs w:val="8"/>
                <w:color w:val="auto"/>
              </w:rPr>
            </w:pPr>
          </w:p>
        </w:tc>
        <w:tc>
          <w:tcPr>
            <w:tcW w:w="212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420"/>
        </w:trPr>
        <w:tc>
          <w:tcPr>
            <w:tcW w:w="1120" w:type="dxa"/>
            <w:vAlign w:val="bottom"/>
            <w:tcBorders>
              <w:right w:val="single" w:sz="8" w:color="auto"/>
            </w:tcBorders>
          </w:tcPr>
          <w:p>
            <w:pPr>
              <w:jc w:val="right"/>
              <w:ind w:right="290"/>
              <w:spacing w:after="0"/>
              <w:rPr>
                <w:sz w:val="20"/>
                <w:szCs w:val="20"/>
                <w:color w:val="auto"/>
              </w:rPr>
            </w:pPr>
            <w:r>
              <w:rPr>
                <w:rFonts w:ascii="Arial" w:cs="Arial" w:eastAsia="Arial" w:hAnsi="Arial"/>
                <w:sz w:val="22"/>
                <w:szCs w:val="22"/>
                <w:b w:val="1"/>
                <w:bCs w:val="1"/>
                <w:color w:val="auto"/>
              </w:rPr>
              <w:t>3.10.0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Water Measurement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related to the measurement of water</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quality, depth and current in and around ports</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harbours.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4"/>
        </w:trPr>
        <w:tc>
          <w:tcPr>
            <w:tcW w:w="1120" w:type="dxa"/>
            <w:vAlign w:val="bottom"/>
            <w:tcBorders>
              <w:bottom w:val="single" w:sz="8" w:color="auto"/>
              <w:right w:val="single" w:sz="8" w:color="auto"/>
            </w:tcBorders>
          </w:tcPr>
          <w:p>
            <w:pPr>
              <w:spacing w:after="0"/>
              <w:rPr>
                <w:sz w:val="5"/>
                <w:szCs w:val="5"/>
                <w:color w:val="auto"/>
              </w:rPr>
            </w:pPr>
          </w:p>
        </w:tc>
        <w:tc>
          <w:tcPr>
            <w:tcW w:w="4960" w:type="dxa"/>
            <w:vAlign w:val="bottom"/>
            <w:tcBorders>
              <w:bottom w:val="single" w:sz="8" w:color="auto"/>
              <w:right w:val="single" w:sz="8" w:color="auto"/>
            </w:tcBorders>
          </w:tcPr>
          <w:p>
            <w:pPr>
              <w:spacing w:after="0"/>
              <w:rPr>
                <w:sz w:val="5"/>
                <w:szCs w:val="5"/>
                <w:color w:val="auto"/>
              </w:rPr>
            </w:pPr>
          </w:p>
        </w:tc>
        <w:tc>
          <w:tcPr>
            <w:tcW w:w="1840" w:type="dxa"/>
            <w:vAlign w:val="bottom"/>
            <w:tcBorders>
              <w:bottom w:val="single" w:sz="8" w:color="auto"/>
              <w:right w:val="single" w:sz="8" w:color="auto"/>
            </w:tcBorders>
          </w:tcPr>
          <w:p>
            <w:pPr>
              <w:spacing w:after="0"/>
              <w:rPr>
                <w:sz w:val="5"/>
                <w:szCs w:val="5"/>
                <w:color w:val="auto"/>
              </w:rPr>
            </w:pPr>
          </w:p>
        </w:tc>
        <w:tc>
          <w:tcPr>
            <w:tcW w:w="212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370"/>
        </w:trPr>
        <w:tc>
          <w:tcPr>
            <w:tcW w:w="1120" w:type="dxa"/>
            <w:vAlign w:val="bottom"/>
            <w:tcBorders>
              <w:right w:val="single" w:sz="8" w:color="auto"/>
            </w:tcBorders>
          </w:tcPr>
          <w:p>
            <w:pPr>
              <w:jc w:val="right"/>
              <w:ind w:right="290"/>
              <w:spacing w:after="0"/>
              <w:rPr>
                <w:sz w:val="20"/>
                <w:szCs w:val="20"/>
                <w:color w:val="auto"/>
              </w:rPr>
            </w:pPr>
            <w:r>
              <w:rPr>
                <w:rFonts w:ascii="Arial" w:cs="Arial" w:eastAsia="Arial" w:hAnsi="Arial"/>
                <w:sz w:val="22"/>
                <w:szCs w:val="22"/>
                <w:b w:val="1"/>
                <w:bCs w:val="1"/>
                <w:color w:val="auto"/>
              </w:rPr>
              <w:t>3.10.1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records documenting the measurement,</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description and mapping of sea beds with</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reference to navigation.</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soundings (hydrographic surveys) of</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bars, harbours, ports, rivers, surveys of currents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wave recordings.</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64"/>
        </w:trPr>
        <w:tc>
          <w:tcPr>
            <w:tcW w:w="1120" w:type="dxa"/>
            <w:vAlign w:val="bottom"/>
            <w:tcBorders>
              <w:bottom w:val="single" w:sz="8" w:color="auto"/>
              <w:right w:val="single" w:sz="8" w:color="auto"/>
            </w:tcBorders>
          </w:tcPr>
          <w:p>
            <w:pPr>
              <w:spacing w:after="0"/>
              <w:rPr>
                <w:sz w:val="5"/>
                <w:szCs w:val="5"/>
                <w:color w:val="auto"/>
              </w:rPr>
            </w:pPr>
          </w:p>
        </w:tc>
        <w:tc>
          <w:tcPr>
            <w:tcW w:w="4960" w:type="dxa"/>
            <w:vAlign w:val="bottom"/>
            <w:tcBorders>
              <w:bottom w:val="single" w:sz="8" w:color="auto"/>
              <w:right w:val="single" w:sz="8" w:color="auto"/>
            </w:tcBorders>
          </w:tcPr>
          <w:p>
            <w:pPr>
              <w:spacing w:after="0"/>
              <w:rPr>
                <w:sz w:val="5"/>
                <w:szCs w:val="5"/>
                <w:color w:val="auto"/>
              </w:rPr>
            </w:pPr>
          </w:p>
        </w:tc>
        <w:tc>
          <w:tcPr>
            <w:tcW w:w="1840" w:type="dxa"/>
            <w:vAlign w:val="bottom"/>
            <w:tcBorders>
              <w:bottom w:val="single" w:sz="8" w:color="auto"/>
              <w:right w:val="single" w:sz="8" w:color="auto"/>
            </w:tcBorders>
          </w:tcPr>
          <w:p>
            <w:pPr>
              <w:spacing w:after="0"/>
              <w:rPr>
                <w:sz w:val="5"/>
                <w:szCs w:val="5"/>
                <w:color w:val="auto"/>
              </w:rPr>
            </w:pPr>
          </w:p>
        </w:tc>
        <w:tc>
          <w:tcPr>
            <w:tcW w:w="212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369"/>
        </w:trPr>
        <w:tc>
          <w:tcPr>
            <w:tcW w:w="1120" w:type="dxa"/>
            <w:vAlign w:val="bottom"/>
            <w:tcBorders>
              <w:right w:val="single" w:sz="8" w:color="auto"/>
            </w:tcBorders>
          </w:tcPr>
          <w:p>
            <w:pPr>
              <w:jc w:val="right"/>
              <w:ind w:right="290"/>
              <w:spacing w:after="0"/>
              <w:rPr>
                <w:sz w:val="20"/>
                <w:szCs w:val="20"/>
                <w:color w:val="auto"/>
              </w:rPr>
            </w:pPr>
            <w:r>
              <w:rPr>
                <w:rFonts w:ascii="Arial" w:cs="Arial" w:eastAsia="Arial" w:hAnsi="Arial"/>
                <w:sz w:val="22"/>
                <w:szCs w:val="22"/>
                <w:b w:val="1"/>
                <w:bCs w:val="1"/>
                <w:color w:val="auto"/>
              </w:rPr>
              <w:t>3.10.2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supporting the taking of various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measurements, including depth measurements,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2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soundings and water currents. These records</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after reference</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are of a facilitative and routine nature and been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ceases.</w:t>
            </w: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24"/>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4" w:lineRule="exact"/>
              <w:rPr>
                <w:sz w:val="20"/>
                <w:szCs w:val="20"/>
                <w:color w:val="auto"/>
              </w:rPr>
            </w:pPr>
            <w:r>
              <w:rPr>
                <w:rFonts w:ascii="Arial" w:cs="Arial" w:eastAsia="Arial" w:hAnsi="Arial"/>
                <w:sz w:val="22"/>
                <w:szCs w:val="22"/>
                <w:color w:val="auto"/>
              </w:rPr>
              <w:t>formalised in consolidated, finalised or published</w:t>
            </w: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4"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315"/>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water measurement.</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64"/>
        </w:trPr>
        <w:tc>
          <w:tcPr>
            <w:tcW w:w="1120" w:type="dxa"/>
            <w:vAlign w:val="bottom"/>
            <w:tcBorders>
              <w:bottom w:val="single" w:sz="8" w:color="auto"/>
              <w:right w:val="single" w:sz="8" w:color="auto"/>
            </w:tcBorders>
          </w:tcPr>
          <w:p>
            <w:pPr>
              <w:spacing w:after="0"/>
              <w:rPr>
                <w:sz w:val="5"/>
                <w:szCs w:val="5"/>
                <w:color w:val="auto"/>
              </w:rPr>
            </w:pPr>
          </w:p>
        </w:tc>
        <w:tc>
          <w:tcPr>
            <w:tcW w:w="4960" w:type="dxa"/>
            <w:vAlign w:val="bottom"/>
            <w:tcBorders>
              <w:bottom w:val="single" w:sz="8" w:color="auto"/>
              <w:right w:val="single" w:sz="8" w:color="auto"/>
            </w:tcBorders>
          </w:tcPr>
          <w:p>
            <w:pPr>
              <w:spacing w:after="0"/>
              <w:rPr>
                <w:sz w:val="5"/>
                <w:szCs w:val="5"/>
                <w:color w:val="auto"/>
              </w:rPr>
            </w:pPr>
          </w:p>
        </w:tc>
        <w:tc>
          <w:tcPr>
            <w:tcW w:w="1840" w:type="dxa"/>
            <w:vAlign w:val="bottom"/>
            <w:tcBorders>
              <w:bottom w:val="single" w:sz="8" w:color="auto"/>
              <w:right w:val="single" w:sz="8" w:color="auto"/>
            </w:tcBorders>
          </w:tcPr>
          <w:p>
            <w:pPr>
              <w:spacing w:after="0"/>
              <w:rPr>
                <w:sz w:val="5"/>
                <w:szCs w:val="5"/>
                <w:color w:val="auto"/>
              </w:rPr>
            </w:pPr>
          </w:p>
        </w:tc>
        <w:tc>
          <w:tcPr>
            <w:tcW w:w="212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26" w:name="page27"/>
    <w:bookmarkEnd w:id="26"/>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27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7616825"/>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6168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63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761682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6168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639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4: PROPERTY MANAGEMENT</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478"/>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26"/>
        </w:trPr>
        <w:tc>
          <w:tcPr>
            <w:tcW w:w="1120" w:type="dxa"/>
            <w:vAlign w:val="bottom"/>
            <w:tcBorders>
              <w:right w:val="single" w:sz="8" w:color="auto"/>
            </w:tcBorders>
            <w:vMerge w:val="continue"/>
          </w:tcPr>
          <w:p>
            <w:pPr>
              <w:spacing w:after="0"/>
              <w:rPr>
                <w:sz w:val="2"/>
                <w:szCs w:val="2"/>
                <w:color w:val="auto"/>
              </w:rPr>
            </w:pPr>
          </w:p>
        </w:tc>
        <w:tc>
          <w:tcPr>
            <w:tcW w:w="4960" w:type="dxa"/>
            <w:vAlign w:val="bottom"/>
            <w:tcBorders>
              <w:bottom w:val="single" w:sz="8" w:color="auto"/>
              <w:right w:val="single" w:sz="8" w:color="auto"/>
            </w:tcBorders>
            <w:vMerge w:val="continue"/>
          </w:tcPr>
          <w:p>
            <w:pPr>
              <w:spacing w:after="0"/>
              <w:rPr>
                <w:sz w:val="2"/>
                <w:szCs w:val="2"/>
                <w:color w:val="auto"/>
              </w:rPr>
            </w:pPr>
          </w:p>
        </w:tc>
        <w:tc>
          <w:tcPr>
            <w:tcW w:w="1840" w:type="dxa"/>
            <w:vAlign w:val="bottom"/>
            <w:tcBorders>
              <w:bottom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61"/>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1"/>
        </w:trPr>
        <w:tc>
          <w:tcPr>
            <w:tcW w:w="1120" w:type="dxa"/>
            <w:vAlign w:val="bottom"/>
            <w:tcBorders>
              <w:right w:val="single" w:sz="8" w:color="auto"/>
            </w:tcBorders>
          </w:tcPr>
          <w:p>
            <w:pPr>
              <w:spacing w:after="0"/>
              <w:rPr>
                <w:sz w:val="7"/>
                <w:szCs w:val="7"/>
                <w:color w:val="auto"/>
              </w:rPr>
            </w:pPr>
          </w:p>
        </w:tc>
        <w:tc>
          <w:tcPr>
            <w:tcW w:w="4960" w:type="dxa"/>
            <w:vAlign w:val="bottom"/>
            <w:tcBorders>
              <w:right w:val="single" w:sz="8" w:color="auto"/>
            </w:tcBorders>
          </w:tcPr>
          <w:p>
            <w:pPr>
              <w:spacing w:after="0"/>
              <w:rPr>
                <w:sz w:val="7"/>
                <w:szCs w:val="7"/>
                <w:color w:val="auto"/>
              </w:rPr>
            </w:pPr>
          </w:p>
        </w:tc>
        <w:tc>
          <w:tcPr>
            <w:tcW w:w="1840" w:type="dxa"/>
            <w:vAlign w:val="bottom"/>
            <w:tcBorders>
              <w:right w:val="single" w:sz="8" w:color="auto"/>
            </w:tcBorders>
            <w:vMerge w:val="continue"/>
          </w:tcPr>
          <w:p>
            <w:pPr>
              <w:spacing w:after="0"/>
              <w:rPr>
                <w:sz w:val="7"/>
                <w:szCs w:val="7"/>
                <w:color w:val="auto"/>
              </w:rPr>
            </w:pPr>
          </w:p>
        </w:tc>
        <w:tc>
          <w:tcPr>
            <w:tcW w:w="21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6"/>
        </w:trPr>
        <w:tc>
          <w:tcPr>
            <w:tcW w:w="1120" w:type="dxa"/>
            <w:vAlign w:val="bottom"/>
            <w:tcBorders>
              <w:bottom w:val="single" w:sz="8" w:color="auto"/>
              <w:right w:val="single" w:sz="8" w:color="auto"/>
            </w:tcBorders>
          </w:tcPr>
          <w:p>
            <w:pPr>
              <w:spacing w:after="0"/>
              <w:rPr>
                <w:sz w:val="2"/>
                <w:szCs w:val="2"/>
                <w:color w:val="auto"/>
              </w:rPr>
            </w:pPr>
          </w:p>
        </w:tc>
        <w:tc>
          <w:tcPr>
            <w:tcW w:w="49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4.0.0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PROPERTY MANAGEMENT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management of owned or maintained</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properties and the monitoring of neighbouring or</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nearby land to the Port including land of interest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infrastructure, use</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Infrastructure Management section of this RDA].</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committees, use the</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Committees section of the General Retention &amp;</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Disposal Authority for Records of Common</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government relations,</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use the Government Relations section of the</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General Retention &amp; Disposal Authority for</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of Common 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the purchase, disposal of</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leasing of property, use the Property</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Management section of the General Retention &amp;</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Disposal Authority for Records of Common</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88"/>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4.1.0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Land Management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associated with the management of</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owned or maintained property.</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4.1.1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relations with external</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stakeholders, including local government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regulating bodies in the management of lands.</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land survey records, valuation</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assessments, environmental assessments,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consultant’s reports and legal advice.</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1601"/>
        </w:trPr>
        <w:tc>
          <w:tcPr>
            <w:tcW w:w="1120" w:type="dxa"/>
            <w:vAlign w:val="bottom"/>
            <w:tcBorders>
              <w:bottom w:val="single" w:sz="8" w:color="auto"/>
              <w:right w:val="single" w:sz="8" w:color="auto"/>
            </w:tcBorders>
          </w:tcPr>
          <w:p>
            <w:pPr>
              <w:spacing w:after="0"/>
              <w:rPr>
                <w:sz w:val="24"/>
                <w:szCs w:val="24"/>
                <w:color w:val="auto"/>
              </w:rPr>
            </w:pPr>
          </w:p>
        </w:tc>
        <w:tc>
          <w:tcPr>
            <w:tcW w:w="49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629"/>
        </w:trPr>
        <w:tc>
          <w:tcPr>
            <w:tcW w:w="1120" w:type="dxa"/>
            <w:vAlign w:val="bottom"/>
            <w:tcBorders>
              <w:bottom w:val="single" w:sz="8" w:color="auto"/>
            </w:tcBorders>
          </w:tcPr>
          <w:p>
            <w:pPr>
              <w:spacing w:after="0"/>
              <w:rPr>
                <w:sz w:val="24"/>
                <w:szCs w:val="24"/>
                <w:color w:val="auto"/>
              </w:rPr>
            </w:pPr>
          </w:p>
        </w:tc>
        <w:tc>
          <w:tcPr>
            <w:tcW w:w="4960" w:type="dxa"/>
            <w:vAlign w:val="bottom"/>
            <w:tcBorders>
              <w:bottom w:val="single" w:sz="8" w:color="auto"/>
            </w:tcBorders>
          </w:tcPr>
          <w:p>
            <w:pPr>
              <w:spacing w:after="0"/>
              <w:rPr>
                <w:sz w:val="24"/>
                <w:szCs w:val="24"/>
                <w:color w:val="auto"/>
              </w:rPr>
            </w:pPr>
          </w:p>
        </w:tc>
        <w:tc>
          <w:tcPr>
            <w:tcW w:w="1840" w:type="dxa"/>
            <w:vAlign w:val="bottom"/>
            <w:tcBorders>
              <w:bottom w:val="single" w:sz="8" w:color="auto"/>
            </w:tcBorders>
          </w:tcPr>
          <w:p>
            <w:pPr>
              <w:spacing w:after="0"/>
              <w:rPr>
                <w:sz w:val="24"/>
                <w:szCs w:val="24"/>
                <w:color w:val="auto"/>
              </w:rPr>
            </w:pPr>
          </w:p>
        </w:tc>
        <w:tc>
          <w:tcPr>
            <w:tcW w:w="212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9"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27" w:name="page28"/>
    <w:bookmarkEnd w:id="27"/>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28</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6357620</wp:posOffset>
                </wp:positionH>
                <wp:positionV relativeFrom="paragraph">
                  <wp:posOffset>338455</wp:posOffset>
                </wp:positionV>
                <wp:extent cx="0" cy="390017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9001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26.65pt" to="500.6pt,333.7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341630</wp:posOffset>
                </wp:positionV>
                <wp:extent cx="636079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9pt" to="500.85pt,26.9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338455</wp:posOffset>
                </wp:positionV>
                <wp:extent cx="0" cy="390017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9001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26.65pt" to="0.2pt,333.7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4: PROPERTY MANAGEMENT</w:t>
      </w:r>
    </w:p>
    <w:p>
      <w:pPr>
        <w:spacing w:after="0" w:line="59" w:lineRule="exact"/>
        <w:rPr>
          <w:sz w:val="20"/>
          <w:szCs w:val="20"/>
          <w:color w:val="auto"/>
        </w:rPr>
      </w:pPr>
    </w:p>
    <w:tbl>
      <w:tblPr>
        <w:tblLayout w:type="fixed"/>
        <w:tblInd w:w="0" w:type="dxa"/>
        <w:tblCellMar>
          <w:top w:w="0" w:type="dxa"/>
          <w:left w:w="0" w:type="dxa"/>
          <w:bottom w:w="0" w:type="dxa"/>
          <w:right w:w="0" w:type="dxa"/>
        </w:tblCellMar>
      </w:tblPr>
      <w:tr>
        <w:trPr>
          <w:trHeight w:val="411"/>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tcPr>
          <w:p>
            <w:pPr>
              <w:spacing w:after="0"/>
              <w:rPr>
                <w:sz w:val="24"/>
                <w:szCs w:val="24"/>
                <w:color w:val="auto"/>
              </w:rPr>
            </w:pP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187"/>
        </w:trPr>
        <w:tc>
          <w:tcPr>
            <w:tcW w:w="1120" w:type="dxa"/>
            <w:vAlign w:val="bottom"/>
            <w:tcBorders>
              <w:right w:val="single" w:sz="8" w:color="auto"/>
            </w:tcBorders>
            <w:vMerge w:val="continue"/>
          </w:tcPr>
          <w:p>
            <w:pPr>
              <w:spacing w:after="0"/>
              <w:rPr>
                <w:sz w:val="16"/>
                <w:szCs w:val="16"/>
                <w:color w:val="auto"/>
              </w:rPr>
            </w:pPr>
          </w:p>
        </w:tc>
        <w:tc>
          <w:tcPr>
            <w:tcW w:w="4960" w:type="dxa"/>
            <w:vAlign w:val="bottom"/>
            <w:tcBorders>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1840" w:type="dxa"/>
            <w:vAlign w:val="bottom"/>
            <w:tcBorders>
              <w:bottom w:val="single" w:sz="8" w:color="auto"/>
            </w:tcBorders>
          </w:tcPr>
          <w:p>
            <w:pPr>
              <w:spacing w:after="0"/>
              <w:rPr>
                <w:sz w:val="16"/>
                <w:szCs w:val="16"/>
                <w:color w:val="auto"/>
              </w:rPr>
            </w:pPr>
          </w:p>
        </w:tc>
        <w:tc>
          <w:tcPr>
            <w:tcW w:w="2120" w:type="dxa"/>
            <w:vAlign w:val="bottom"/>
            <w:tcBorders>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1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91"/>
        </w:trPr>
        <w:tc>
          <w:tcPr>
            <w:tcW w:w="1120" w:type="dxa"/>
            <w:vAlign w:val="bottom"/>
            <w:tcBorders>
              <w:right w:val="single" w:sz="8" w:color="auto"/>
            </w:tcBorders>
            <w:vMerge w:val="continue"/>
          </w:tcPr>
          <w:p>
            <w:pPr>
              <w:spacing w:after="0"/>
              <w:rPr>
                <w:sz w:val="7"/>
                <w:szCs w:val="7"/>
                <w:color w:val="auto"/>
              </w:rPr>
            </w:pPr>
          </w:p>
        </w:tc>
        <w:tc>
          <w:tcPr>
            <w:tcW w:w="4960" w:type="dxa"/>
            <w:vAlign w:val="bottom"/>
            <w:tcBorders>
              <w:right w:val="single" w:sz="8" w:color="auto"/>
            </w:tcBorders>
          </w:tcPr>
          <w:p>
            <w:pPr>
              <w:spacing w:after="0"/>
              <w:rPr>
                <w:sz w:val="7"/>
                <w:szCs w:val="7"/>
                <w:color w:val="auto"/>
              </w:rPr>
            </w:pPr>
          </w:p>
        </w:tc>
        <w:tc>
          <w:tcPr>
            <w:tcW w:w="1840" w:type="dxa"/>
            <w:vAlign w:val="bottom"/>
            <w:tcBorders>
              <w:right w:val="single" w:sz="8" w:color="auto"/>
            </w:tcBorders>
            <w:vMerge w:val="continue"/>
          </w:tcPr>
          <w:p>
            <w:pPr>
              <w:spacing w:after="0"/>
              <w:rPr>
                <w:sz w:val="7"/>
                <w:szCs w:val="7"/>
                <w:color w:val="auto"/>
              </w:rPr>
            </w:pPr>
          </w:p>
        </w:tc>
        <w:tc>
          <w:tcPr>
            <w:tcW w:w="21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4"/>
        </w:trPr>
        <w:tc>
          <w:tcPr>
            <w:tcW w:w="1120" w:type="dxa"/>
            <w:vAlign w:val="bottom"/>
            <w:tcBorders>
              <w:right w:val="single" w:sz="8" w:color="auto"/>
            </w:tcBorders>
          </w:tcPr>
          <w:p>
            <w:pPr>
              <w:spacing w:after="0"/>
              <w:rPr>
                <w:sz w:val="8"/>
                <w:szCs w:val="8"/>
                <w:color w:val="auto"/>
              </w:rPr>
            </w:pPr>
          </w:p>
        </w:tc>
        <w:tc>
          <w:tcPr>
            <w:tcW w:w="4960" w:type="dxa"/>
            <w:vAlign w:val="bottom"/>
            <w:tcBorders>
              <w:right w:val="single" w:sz="8" w:color="auto"/>
            </w:tcBorders>
          </w:tcPr>
          <w:p>
            <w:pPr>
              <w:spacing w:after="0"/>
              <w:rPr>
                <w:sz w:val="8"/>
                <w:szCs w:val="8"/>
                <w:color w:val="auto"/>
              </w:rPr>
            </w:pPr>
          </w:p>
        </w:tc>
        <w:tc>
          <w:tcPr>
            <w:tcW w:w="1840" w:type="dxa"/>
            <w:vAlign w:val="bottom"/>
            <w:tcBorders>
              <w:right w:val="single" w:sz="8" w:color="auto"/>
            </w:tcBorders>
            <w:vMerge w:val="continue"/>
          </w:tcPr>
          <w:p>
            <w:pPr>
              <w:spacing w:after="0"/>
              <w:rPr>
                <w:sz w:val="8"/>
                <w:szCs w:val="8"/>
                <w:color w:val="auto"/>
              </w:rPr>
            </w:pPr>
          </w:p>
        </w:tc>
        <w:tc>
          <w:tcPr>
            <w:tcW w:w="21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84"/>
        </w:trPr>
        <w:tc>
          <w:tcPr>
            <w:tcW w:w="1120" w:type="dxa"/>
            <w:vAlign w:val="bottom"/>
            <w:tcBorders>
              <w:bottom w:val="single" w:sz="8" w:color="auto"/>
              <w:right w:val="single" w:sz="8" w:color="auto"/>
            </w:tcBorders>
          </w:tcPr>
          <w:p>
            <w:pPr>
              <w:spacing w:after="0"/>
              <w:rPr>
                <w:sz w:val="16"/>
                <w:szCs w:val="16"/>
                <w:color w:val="auto"/>
              </w:rPr>
            </w:pPr>
          </w:p>
        </w:tc>
        <w:tc>
          <w:tcPr>
            <w:tcW w:w="4960" w:type="dxa"/>
            <w:vAlign w:val="bottom"/>
            <w:tcBorders>
              <w:bottom w:val="single" w:sz="8" w:color="auto"/>
              <w:right w:val="single" w:sz="8" w:color="auto"/>
            </w:tcBorders>
          </w:tcPr>
          <w:p>
            <w:pPr>
              <w:spacing w:after="0"/>
              <w:rPr>
                <w:sz w:val="16"/>
                <w:szCs w:val="16"/>
                <w:color w:val="auto"/>
              </w:rPr>
            </w:pPr>
          </w:p>
        </w:tc>
        <w:tc>
          <w:tcPr>
            <w:tcW w:w="1840" w:type="dxa"/>
            <w:vAlign w:val="bottom"/>
            <w:tcBorders>
              <w:bottom w:val="single" w:sz="8" w:color="auto"/>
              <w:right w:val="single" w:sz="8" w:color="auto"/>
            </w:tcBorders>
          </w:tcPr>
          <w:p>
            <w:pPr>
              <w:spacing w:after="0"/>
              <w:rPr>
                <w:sz w:val="16"/>
                <w:szCs w:val="16"/>
                <w:color w:val="auto"/>
              </w:rPr>
            </w:pPr>
          </w:p>
        </w:tc>
        <w:tc>
          <w:tcPr>
            <w:tcW w:w="2120" w:type="dxa"/>
            <w:vAlign w:val="bottom"/>
            <w:tcBorders>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4.2.0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Land Monitoring</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associated with monitoring of</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neighbouring or nearby property where there is</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 business interest or intent to purchase.</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activities associated with determining if</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there is a business interest.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4.2.1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land monitoring information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which may support or assist in determining</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7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business intent or interest.</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property market research and</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monitoring information in relation to land which</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may potentially be purchased.</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28" w:name="page29"/>
    <w:bookmarkEnd w:id="28"/>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29</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834072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407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69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834072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407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696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5: SAFETY, SECURITY AND EMERGENCY MANAGEMENT</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1120" w:type="dxa"/>
            <w:vAlign w:val="bottom"/>
            <w:tcBorders>
              <w:bottom w:val="single" w:sz="8" w:color="auto"/>
              <w:right w:val="single" w:sz="8" w:color="auto"/>
            </w:tcBorders>
          </w:tcPr>
          <w:p>
            <w:pPr>
              <w:spacing w:after="0"/>
              <w:rPr>
                <w:sz w:val="6"/>
                <w:szCs w:val="6"/>
                <w:color w:val="auto"/>
              </w:rPr>
            </w:pPr>
          </w:p>
        </w:tc>
        <w:tc>
          <w:tcPr>
            <w:tcW w:w="49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38"/>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5.0.0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SAFETY, SECURITY AND EMERGENCY</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7"/>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MANAGEMENT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2"/>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function of developing, implementing,</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maintaining, monitoring, evaluating and</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reviewing the safety and emergency</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management systems. Includes adherence to</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occupational health and safety and other</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associated legislation.</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the function of identifying security risks</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to clients, employees and infrastructure and</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developing and implementing strategies</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designed to counter such risks.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86"/>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committees, use the</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Committees section of the General Retention &amp;</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Disposal Authority for Records of Common</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safety awareness</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programs, and occupational health and safety,</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use the Occupational Health &amp; Safety section of</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General Retention &amp; Disposal Authority for</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of Common 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5.1.0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Bunker Permitting</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issuance of bunker permits to users for the</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refuelling of vessels. These permits are for</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single refuelling events.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5.1.1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documenting the permit application,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processing documentation and subsequent</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Destroy 10</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31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approval of the permit.</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years after</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permit expires.</w:t>
            </w: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88"/>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5.2.0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External Incident Investigations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coordination and management of responses</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to incidents within the port precinct by an</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external agency, for example the Police or other</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enforcement agency.</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29" w:name="page30"/>
    <w:bookmarkEnd w:id="29"/>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30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698627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62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589.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698627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862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589.3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5: SAFETY, SECURITY AND EMERGENCY MANAGEMENT</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1120" w:type="dxa"/>
            <w:vAlign w:val="bottom"/>
            <w:tcBorders>
              <w:bottom w:val="single" w:sz="8" w:color="auto"/>
              <w:right w:val="single" w:sz="8" w:color="auto"/>
            </w:tcBorders>
          </w:tcPr>
          <w:p>
            <w:pPr>
              <w:spacing w:after="0"/>
              <w:rPr>
                <w:sz w:val="6"/>
                <w:szCs w:val="6"/>
                <w:color w:val="auto"/>
              </w:rPr>
            </w:pPr>
          </w:p>
        </w:tc>
        <w:tc>
          <w:tcPr>
            <w:tcW w:w="49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5.2.1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any incident investigation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conducted by an external agency.</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5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reports and findings from</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investigations.</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5.3.0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Internal Incident Investigations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2"/>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coordination and management of responses</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to incidents within the port precinct.</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Investigations are carried out on marine</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incidents including accidents, collisions and</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threats to persons. Includes activities</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associated with patrol coverage on both port</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land and waters.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compensation claims,</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use the Legal Services section of the General</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Retention &amp; Disposal Authority for Records of</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Common 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environmental</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investigations, use the Environmental</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Management section of this RDA].</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5.3.1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Summary record of all safety and security</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investigations of incidents that have occurred</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within the port precinct.</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24"/>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spacing w:after="0"/>
              <w:rPr>
                <w:sz w:val="19"/>
                <w:szCs w:val="19"/>
                <w:color w:val="auto"/>
              </w:rPr>
            </w:pP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4" w:lineRule="exact"/>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30" w:name="page31"/>
    <w:bookmarkEnd w:id="30"/>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31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754697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54697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6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754697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54697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633.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5: SAFETY, SECURITY AND EMERGENCY MANAGEMENT</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1120" w:type="dxa"/>
            <w:vAlign w:val="bottom"/>
            <w:tcBorders>
              <w:bottom w:val="single" w:sz="8" w:color="auto"/>
              <w:right w:val="single" w:sz="8" w:color="auto"/>
            </w:tcBorders>
          </w:tcPr>
          <w:p>
            <w:pPr>
              <w:spacing w:after="0"/>
              <w:rPr>
                <w:sz w:val="6"/>
                <w:szCs w:val="6"/>
                <w:color w:val="auto"/>
              </w:rPr>
            </w:pPr>
          </w:p>
        </w:tc>
        <w:tc>
          <w:tcPr>
            <w:tcW w:w="49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5.3.2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investigations into incidents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which have resulted in fatalities.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24"/>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spacing w:after="0"/>
              <w:rPr>
                <w:sz w:val="19"/>
                <w:szCs w:val="19"/>
                <w:color w:val="auto"/>
              </w:rPr>
            </w:pP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4" w:lineRule="exact"/>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5.3.3</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Investigations into incidents involving substantial</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or serious injury or damage to persons, property</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30</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or the environment, which may or may not result</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years after</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 claims for compensation.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investigation</w:t>
            </w: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concluded.</w:t>
            </w: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5.3.4</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Investigations involving minor damage or near</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misses.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10</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Incidents include accidents, collisions,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years after</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grounding or capsizing of craft or damage to</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investigation</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equipment resulting in minor damage or near</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has concluded.</w:t>
            </w: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misses.</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5.3.5</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Supporting documentation in relation to incident</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investigations, which have been formalised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5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reproduced elsewhere.</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31" w:name="page32"/>
    <w:bookmarkEnd w:id="31"/>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32</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850392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039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708.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850392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039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708.8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5: SAFETY, SECURITY AND EMERGENCY MANAGEMENT</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1120" w:type="dxa"/>
            <w:vAlign w:val="bottom"/>
            <w:tcBorders>
              <w:bottom w:val="single" w:sz="8" w:color="auto"/>
              <w:right w:val="single" w:sz="8" w:color="auto"/>
            </w:tcBorders>
          </w:tcPr>
          <w:p>
            <w:pPr>
              <w:spacing w:after="0"/>
              <w:rPr>
                <w:sz w:val="6"/>
                <w:szCs w:val="6"/>
                <w:color w:val="auto"/>
              </w:rPr>
            </w:pPr>
          </w:p>
        </w:tc>
        <w:tc>
          <w:tcPr>
            <w:tcW w:w="49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5.4.0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Monitoring and Auditing</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relating to the monitoring and auditing</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of premises, port infrastructure and related</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locations, to detect or identify people</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undertaking undesirable or illegal behaviour.</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5.4.1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documenting monitoring and auditing of</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on site infrastructure and activities in relation to</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10</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31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safety and security management.</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years after last</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audit reports, findings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recommendations.</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5.4.2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Security surveillance videotapes, voice</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recordings, Closed Circuit Television (CCTV)</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7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data containing footage and transcripts required</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a legal proceeding as evidence or used for</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investigation of incidents.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09"/>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5.4.3</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Security surveillance videotapes, voice</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31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recordings and CCTV not required for</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7 days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investigation of incidents.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administrative</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use has</w:t>
            </w: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concluded.</w:t>
            </w: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5.4.4</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Alarm monitoring reports.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building, fire and navigation alarm</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2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reports.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61"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32" w:name="page33"/>
    <w:bookmarkEnd w:id="32"/>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33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5785485"/>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8548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494.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578548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8548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494.8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5: SAFETY, SECURITY AND EMERGENCY MANAGEMENT</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1120" w:type="dxa"/>
            <w:vAlign w:val="bottom"/>
            <w:tcBorders>
              <w:bottom w:val="single" w:sz="8" w:color="auto"/>
              <w:right w:val="single" w:sz="8" w:color="auto"/>
            </w:tcBorders>
          </w:tcPr>
          <w:p>
            <w:pPr>
              <w:spacing w:after="0"/>
              <w:rPr>
                <w:sz w:val="6"/>
                <w:szCs w:val="6"/>
                <w:color w:val="auto"/>
              </w:rPr>
            </w:pPr>
          </w:p>
        </w:tc>
        <w:tc>
          <w:tcPr>
            <w:tcW w:w="49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5.4.5</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Occurrence reports issued by the security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surveillance operators.</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Destroy 1 year</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31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matters where occurrence reports have</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been referenced in incidents or maintenance,</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use other parts of this RDA].</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5.5.0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Security Pass Register</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2"/>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activities related to the issuing of security</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passes issued to personnel accessing land and</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property.</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the registration of the Marine Security</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Identification Card and Port Security Access</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Card, in accordance with the Marine Transport</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 xml:space="preserve">and </w:t>
            </w:r>
            <w:r>
              <w:rPr>
                <w:rFonts w:ascii="Arial" w:cs="Arial" w:eastAsia="Arial" w:hAnsi="Arial"/>
                <w:sz w:val="22"/>
                <w:szCs w:val="22"/>
                <w:i w:val="1"/>
                <w:iCs w:val="1"/>
                <w:color w:val="auto"/>
              </w:rPr>
              <w:t>Offshore Facilities Security Act</w:t>
            </w:r>
            <w:r>
              <w:rPr>
                <w:rFonts w:ascii="Arial" w:cs="Arial" w:eastAsia="Arial" w:hAnsi="Arial"/>
                <w:sz w:val="22"/>
                <w:szCs w:val="22"/>
                <w:color w:val="auto"/>
              </w:rPr>
              <w:t xml:space="preserve"> 2003.</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5.5.1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registration and issuing</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of passes to personnel to access port grounds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2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and facilities.</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after registration</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expires.</w:t>
            </w: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22"/>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spacing w:after="0"/>
              <w:rPr>
                <w:sz w:val="19"/>
                <w:szCs w:val="19"/>
                <w:color w:val="auto"/>
              </w:rPr>
            </w:pP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33" w:name="page34"/>
    <w:bookmarkEnd w:id="33"/>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34</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754380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543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633.2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754380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543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633.2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6: STAKEHOLDER MANAGEMENT</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1120" w:type="dxa"/>
            <w:vAlign w:val="bottom"/>
            <w:tcBorders>
              <w:bottom w:val="single" w:sz="8" w:color="auto"/>
              <w:right w:val="single" w:sz="8" w:color="auto"/>
            </w:tcBorders>
          </w:tcPr>
          <w:p>
            <w:pPr>
              <w:spacing w:after="0"/>
              <w:rPr>
                <w:sz w:val="6"/>
                <w:szCs w:val="6"/>
                <w:color w:val="auto"/>
              </w:rPr>
            </w:pPr>
          </w:p>
        </w:tc>
        <w:tc>
          <w:tcPr>
            <w:tcW w:w="49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6.0.0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STAKEHOLDER MANAGEMENT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associated with fostering and</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maintaining mutually beneficial partnerships and</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liaison with the port industry.</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community relations, use</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Community Relations section of the General</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Retention &amp; Disposal Authority for Records of</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Common 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government relations,</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use the Government Relations section of the</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General Retention &amp; Disposal Authority for</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of Common 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2"/>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contracting out of</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services, use the Contracting-Out section of the</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General Retention &amp; Disposal Authority for</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of Common 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6.1.0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Customs Duties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associated with monitoring and</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reporting any illegal and harmful goods and</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unauthorised people across Australia’s borders</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 conjunction with the Australian Customs</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Service (ACS).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customs monitoring</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whereby data is used in litigation, use the Legal</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Services section of the General Retention &amp;</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Disposal Authority for Records of Common</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6.1.1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customs arrangements in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compliance with the ACS. Includes routine data</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2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sheets, checklists and reporting to the ACS.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34" w:name="page35"/>
    <w:bookmarkEnd w:id="34"/>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35</w:t>
            </w:r>
          </w:p>
        </w:tc>
      </w:tr>
    </w:tbl>
    <w:p>
      <w:pPr>
        <w:spacing w:after="0" w:line="200" w:lineRule="exact"/>
        <w:rPr>
          <w:sz w:val="20"/>
          <w:szCs w:val="20"/>
          <w:color w:val="auto"/>
        </w:rPr>
      </w:pPr>
    </w:p>
    <w:p>
      <w:pPr>
        <w:spacing w:after="0" w:line="314" w:lineRule="exact"/>
        <w:rPr>
          <w:sz w:val="20"/>
          <w:szCs w:val="20"/>
          <w:color w:val="auto"/>
        </w:rPr>
      </w:pPr>
    </w:p>
    <w:tbl>
      <w:tblPr>
        <w:tblLayout w:type="fixed"/>
        <w:tblInd w:w="10" w:type="dxa"/>
        <w:tblCellMar>
          <w:top w:w="0" w:type="dxa"/>
          <w:left w:w="0" w:type="dxa"/>
          <w:bottom w:w="0" w:type="dxa"/>
          <w:right w:w="0" w:type="dxa"/>
        </w:tblCellMar>
      </w:tblPr>
      <w:tr>
        <w:trPr>
          <w:trHeight w:val="411"/>
        </w:trPr>
        <w:tc>
          <w:tcPr>
            <w:tcW w:w="1120" w:type="dxa"/>
            <w:vAlign w:val="bottom"/>
            <w:tcBorders>
              <w:top w:val="single" w:sz="8" w:color="auto"/>
              <w:left w:val="single" w:sz="8" w:color="auto"/>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6.2.0</w:t>
            </w:r>
          </w:p>
        </w:tc>
        <w:tc>
          <w:tcPr>
            <w:tcW w:w="496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2"/>
                <w:szCs w:val="22"/>
                <w:b w:val="1"/>
                <w:bCs w:val="1"/>
                <w:color w:val="auto"/>
              </w:rPr>
              <w:t>Education and Awareness</w:t>
            </w:r>
          </w:p>
        </w:tc>
        <w:tc>
          <w:tcPr>
            <w:tcW w:w="1840" w:type="dxa"/>
            <w:vAlign w:val="bottom"/>
            <w:tcBorders>
              <w:top w:val="single" w:sz="8" w:color="auto"/>
              <w:right w:val="single" w:sz="8" w:color="auto"/>
            </w:tcBorders>
          </w:tcPr>
          <w:p>
            <w:pPr>
              <w:spacing w:after="0"/>
              <w:rPr>
                <w:sz w:val="24"/>
                <w:szCs w:val="24"/>
                <w:color w:val="auto"/>
              </w:rPr>
            </w:pPr>
          </w:p>
        </w:tc>
        <w:tc>
          <w:tcPr>
            <w:tcW w:w="2120" w:type="dxa"/>
            <w:vAlign w:val="bottom"/>
            <w:tcBorders>
              <w:top w:val="single" w:sz="8" w:color="auto"/>
              <w:right w:val="single" w:sz="8" w:color="auto"/>
            </w:tcBorders>
          </w:tcPr>
          <w:p>
            <w:pPr>
              <w:spacing w:after="0"/>
              <w:rPr>
                <w:sz w:val="24"/>
                <w:szCs w:val="24"/>
                <w:color w:val="auto"/>
              </w:rPr>
            </w:pPr>
          </w:p>
        </w:tc>
      </w:tr>
      <w:tr>
        <w:trPr>
          <w:trHeight w:val="265"/>
        </w:trPr>
        <w:tc>
          <w:tcPr>
            <w:tcW w:w="1120" w:type="dxa"/>
            <w:vAlign w:val="bottom"/>
            <w:tcBorders>
              <w:left w:val="single" w:sz="8" w:color="auto"/>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Port Education Program provides education</w:t>
            </w:r>
          </w:p>
        </w:tc>
        <w:tc>
          <w:tcPr>
            <w:tcW w:w="1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spacing w:after="0"/>
              <w:rPr>
                <w:sz w:val="23"/>
                <w:szCs w:val="23"/>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programs to school and community groups to</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help such groups learn about the activities of the</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spacing w:after="0"/>
              <w:rPr>
                <w:sz w:val="22"/>
                <w:szCs w:val="22"/>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port, ships, shipping and the wider port</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environment. School education programs are</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based on Victorian curricula.</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274"/>
        </w:trPr>
        <w:tc>
          <w:tcPr>
            <w:tcW w:w="1120" w:type="dxa"/>
            <w:vAlign w:val="bottom"/>
            <w:tcBorders>
              <w:left w:val="single" w:sz="8" w:color="auto"/>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tours and visits, use the</w:t>
            </w:r>
          </w:p>
        </w:tc>
        <w:tc>
          <w:tcPr>
            <w:tcW w:w="1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spacing w:after="0"/>
              <w:rPr>
                <w:sz w:val="23"/>
                <w:szCs w:val="23"/>
                <w:color w:val="auto"/>
              </w:rPr>
            </w:pP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Community Relations section of the General</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spacing w:after="0"/>
              <w:rPr>
                <w:sz w:val="22"/>
                <w:szCs w:val="22"/>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Retention &amp; Disposal Authority for Records of</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Common 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36"/>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r>
      <w:tr>
        <w:trPr>
          <w:trHeight w:val="341"/>
        </w:trPr>
        <w:tc>
          <w:tcPr>
            <w:tcW w:w="1120" w:type="dxa"/>
            <w:vAlign w:val="bottom"/>
            <w:tcBorders>
              <w:left w:val="single" w:sz="8" w:color="auto"/>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6.2.1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Resource materials developed for teachers,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Hold in agency or</w:t>
            </w:r>
          </w:p>
        </w:tc>
      </w:tr>
      <w:tr>
        <w:trPr>
          <w:trHeight w:val="28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students and community groups.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2 years</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APROSS pending</w:t>
            </w:r>
          </w:p>
        </w:tc>
      </w:tr>
      <w:tr>
        <w:trPr>
          <w:trHeight w:val="284"/>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lesson plans, learning and assessment</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materials</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destruction.</w:t>
            </w:r>
          </w:p>
        </w:tc>
      </w:tr>
      <w:tr>
        <w:trPr>
          <w:trHeight w:val="255"/>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strategies and curriculum documentation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last referred to.</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Electronic records</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supporting the delivery of educational programs.</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should be</w:t>
            </w: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maintained in</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readable format</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pending</w:t>
            </w: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destruction.</w:t>
            </w:r>
          </w:p>
        </w:tc>
      </w:tr>
      <w:tr>
        <w:trPr>
          <w:trHeight w:val="36"/>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r>
      <w:tr>
        <w:trPr>
          <w:trHeight w:val="343"/>
        </w:trPr>
        <w:tc>
          <w:tcPr>
            <w:tcW w:w="1120" w:type="dxa"/>
            <w:vAlign w:val="bottom"/>
            <w:tcBorders>
              <w:left w:val="single" w:sz="8" w:color="auto"/>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6.2.2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scheduling and delivery</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Hold in agency or</w:t>
            </w:r>
          </w:p>
        </w:tc>
      </w:tr>
      <w:tr>
        <w:trPr>
          <w:trHeight w:val="28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of education programs to school and community</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1 year</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APROSS pending</w:t>
            </w:r>
          </w:p>
        </w:tc>
      </w:tr>
      <w:tr>
        <w:trPr>
          <w:trHeight w:val="284"/>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groups.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destruction.</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Includes calendar entries, requests and</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Electronic records</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confirmation of bookings and related</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should be</w:t>
            </w: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arrangements.</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maintained in</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readable format</w:t>
            </w:r>
          </w:p>
        </w:tc>
      </w:tr>
      <w:tr>
        <w:trPr>
          <w:trHeight w:val="255"/>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pending</w:t>
            </w: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destruction.</w:t>
            </w:r>
          </w:p>
        </w:tc>
      </w:tr>
      <w:tr>
        <w:trPr>
          <w:trHeight w:val="36"/>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r>
      <w:tr>
        <w:trPr>
          <w:trHeight w:val="391"/>
        </w:trPr>
        <w:tc>
          <w:tcPr>
            <w:tcW w:w="1120" w:type="dxa"/>
            <w:vAlign w:val="bottom"/>
            <w:tcBorders>
              <w:left w:val="single" w:sz="8" w:color="auto"/>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6.3.0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Port Partnerships</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265"/>
        </w:trPr>
        <w:tc>
          <w:tcPr>
            <w:tcW w:w="1120" w:type="dxa"/>
            <w:vAlign w:val="bottom"/>
            <w:tcBorders>
              <w:left w:val="single" w:sz="8" w:color="auto"/>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associated with management of</w:t>
            </w:r>
          </w:p>
        </w:tc>
        <w:tc>
          <w:tcPr>
            <w:tcW w:w="1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spacing w:after="0"/>
              <w:rPr>
                <w:sz w:val="23"/>
                <w:szCs w:val="23"/>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partnerships with producers and consumers,</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business and industry groups, peak bodies and</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suppliers. May include relationships with</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spacing w:after="0"/>
              <w:rPr>
                <w:sz w:val="22"/>
                <w:szCs w:val="22"/>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intrastate, interstate and international industry</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partners.</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274"/>
        </w:trPr>
        <w:tc>
          <w:tcPr>
            <w:tcW w:w="1120" w:type="dxa"/>
            <w:vAlign w:val="bottom"/>
            <w:tcBorders>
              <w:left w:val="single" w:sz="8" w:color="auto"/>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liaison with import and export cargo</w:t>
            </w:r>
          </w:p>
        </w:tc>
        <w:tc>
          <w:tcPr>
            <w:tcW w:w="1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spacing w:after="0"/>
              <w:rPr>
                <w:sz w:val="23"/>
                <w:szCs w:val="23"/>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owners, shipping lines and shipping agents,</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terminal operators (tenants), cruise ships,</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spacing w:after="0"/>
              <w:rPr>
                <w:sz w:val="22"/>
                <w:szCs w:val="22"/>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passenger ferries, freight forwarders, customs</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agents and visiting vessel operators.</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275"/>
        </w:trPr>
        <w:tc>
          <w:tcPr>
            <w:tcW w:w="1120" w:type="dxa"/>
            <w:vAlign w:val="bottom"/>
            <w:tcBorders>
              <w:left w:val="single" w:sz="8" w:color="auto"/>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partnerships in relation to</w:t>
            </w:r>
          </w:p>
        </w:tc>
        <w:tc>
          <w:tcPr>
            <w:tcW w:w="1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spacing w:after="0"/>
              <w:rPr>
                <w:sz w:val="23"/>
                <w:szCs w:val="23"/>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Channel Deepening Project, use the</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Channel Deepening Project section of this RDA].</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38"/>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35" w:name="page36"/>
    <w:bookmarkEnd w:id="35"/>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36</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341630</wp:posOffset>
                </wp:positionV>
                <wp:extent cx="6360795"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9pt" to="500.85pt,26.9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338455</wp:posOffset>
                </wp:positionV>
                <wp:extent cx="0" cy="790511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051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26.65pt" to="0.2pt,649.1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338455</wp:posOffset>
                </wp:positionV>
                <wp:extent cx="0" cy="790511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051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26.65pt" to="500.6pt,649.1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6: STAKEHOLDER MANAGEMENT</w:t>
      </w:r>
    </w:p>
    <w:p>
      <w:pPr>
        <w:spacing w:after="0" w:line="107"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4"/>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61"/>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1120" w:type="dxa"/>
            <w:vAlign w:val="bottom"/>
            <w:tcBorders>
              <w:bottom w:val="single" w:sz="8" w:color="auto"/>
              <w:right w:val="single" w:sz="8" w:color="auto"/>
            </w:tcBorders>
          </w:tcPr>
          <w:p>
            <w:pPr>
              <w:spacing w:after="0"/>
              <w:rPr>
                <w:sz w:val="6"/>
                <w:szCs w:val="6"/>
                <w:color w:val="auto"/>
              </w:rPr>
            </w:pPr>
          </w:p>
        </w:tc>
        <w:tc>
          <w:tcPr>
            <w:tcW w:w="49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6.3.1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engagement and initial</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arrangements for port partnerships.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22"/>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spacing w:after="0"/>
              <w:rPr>
                <w:sz w:val="19"/>
                <w:szCs w:val="19"/>
                <w:color w:val="auto"/>
              </w:rPr>
            </w:pP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2" w:lineRule="exact"/>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6.3.2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matters which affect or alter</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relationship arrangements. Includes letters of</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Destroy 7 years</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complaint and requests for changes to</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15"/>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requirements.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88"/>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6.4.0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Quarantine Compliance</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associated with monitoring and</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reporting any potential disease or pests across</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Australia’s borders, in conjunction with the</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Australian Quarantine Inspection Service</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(AQIS).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quarantine monitoring</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whereby data is used in litigation, use the Legal</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Services section of the General Retention &amp;</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Disposal Authority for Records of Common</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6.4.1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quarantine arrangements in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compliance with the AQIS. Includes routine data</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2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sheets, checklists and reporting to AQIS.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36" w:name="page37"/>
    <w:bookmarkEnd w:id="36"/>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37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718439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843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604.9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718439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843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604.9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7: VESSEL MANAGEMENT</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1120" w:type="dxa"/>
            <w:vAlign w:val="bottom"/>
            <w:tcBorders>
              <w:bottom w:val="single" w:sz="8" w:color="auto"/>
              <w:right w:val="single" w:sz="8" w:color="auto"/>
            </w:tcBorders>
          </w:tcPr>
          <w:p>
            <w:pPr>
              <w:spacing w:after="0"/>
              <w:rPr>
                <w:sz w:val="6"/>
                <w:szCs w:val="6"/>
                <w:color w:val="auto"/>
              </w:rPr>
            </w:pPr>
          </w:p>
        </w:tc>
        <w:tc>
          <w:tcPr>
            <w:tcW w:w="49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7.0.0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VESSEL MANAGEMENT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management of vessels incoming and</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outgoing of Port of Melbourne waters as well as</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management of any wreck or dive sites</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located in Port of Melbourne waters.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financial management,</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use the Financial Management section of the</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General Retention &amp; Disposal Authority for</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of Common 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complaints regarding</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marine policy, boating and licensing, use the</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Community Relations section of the General</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Retention &amp; Disposal Authority for Records of</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Common 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the maintenance and</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repair of any owned vessels, use Fleet</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Management section of the General Retention &amp;</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Disposal Authority for Records of Common</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7.1.0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Cargo Management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2"/>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relating to the registration and</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management of all incoming vessels (in</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particular those carrying bulk liquid) to Port of</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Melbourne waters for the purpose of identifying</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cargo and related matters.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7.1.1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management,</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administration and planning for all incoming</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10</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31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vessels.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years after last</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pre-arrival meetings to discuss cargo</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loads and identify potential berthing issues,</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statistics, performance data and individual</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vessel requirements.</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37" w:name="page38"/>
    <w:bookmarkEnd w:id="37"/>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38</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6357620</wp:posOffset>
                </wp:positionH>
                <wp:positionV relativeFrom="paragraph">
                  <wp:posOffset>338455</wp:posOffset>
                </wp:positionV>
                <wp:extent cx="0" cy="514350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1435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26.65pt" to="500.6pt,431.6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341630</wp:posOffset>
                </wp:positionV>
                <wp:extent cx="6360795"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9pt" to="500.85pt,26.9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338455</wp:posOffset>
                </wp:positionV>
                <wp:extent cx="0" cy="514350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1435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26.65pt" to="0.2pt,431.6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7: VESSEL MANAGEMENT</w:t>
      </w:r>
    </w:p>
    <w:p>
      <w:pPr>
        <w:spacing w:after="0" w:line="59" w:lineRule="exact"/>
        <w:rPr>
          <w:sz w:val="20"/>
          <w:szCs w:val="20"/>
          <w:color w:val="auto"/>
        </w:rPr>
      </w:pPr>
    </w:p>
    <w:tbl>
      <w:tblPr>
        <w:tblLayout w:type="fixed"/>
        <w:tblInd w:w="0" w:type="dxa"/>
        <w:tblCellMar>
          <w:top w:w="0" w:type="dxa"/>
          <w:left w:w="0" w:type="dxa"/>
          <w:bottom w:w="0" w:type="dxa"/>
          <w:right w:w="0" w:type="dxa"/>
        </w:tblCellMar>
      </w:tblPr>
      <w:tr>
        <w:trPr>
          <w:trHeight w:val="490"/>
        </w:trPr>
        <w:tc>
          <w:tcPr>
            <w:tcW w:w="1120" w:type="dxa"/>
            <w:vAlign w:val="bottom"/>
            <w:tcBorders>
              <w:top w:val="single" w:sz="8" w:color="auto"/>
              <w:right w:val="single" w:sz="8" w:color="auto"/>
            </w:tcBorders>
            <w:vMerge w:val="restart"/>
          </w:tcPr>
          <w:p>
            <w:pPr>
              <w:jc w:val="center"/>
              <w:spacing w:after="0"/>
              <w:rPr>
                <w:sz w:val="20"/>
                <w:szCs w:val="20"/>
                <w:color w:val="auto"/>
              </w:rPr>
            </w:pPr>
            <w:r>
              <w:rPr>
                <w:rFonts w:ascii="Arial" w:cs="Arial" w:eastAsia="Arial" w:hAnsi="Arial"/>
                <w:sz w:val="22"/>
                <w:szCs w:val="22"/>
                <w:b w:val="1"/>
                <w:bCs w:val="1"/>
                <w:color w:val="008080"/>
                <w:w w:val="99"/>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108"/>
        </w:trPr>
        <w:tc>
          <w:tcPr>
            <w:tcW w:w="1120" w:type="dxa"/>
            <w:vAlign w:val="bottom"/>
            <w:tcBorders>
              <w:right w:val="single" w:sz="8" w:color="auto"/>
            </w:tcBorders>
            <w:vMerge w:val="continue"/>
          </w:tcPr>
          <w:p>
            <w:pPr>
              <w:spacing w:after="0"/>
              <w:rPr>
                <w:sz w:val="9"/>
                <w:szCs w:val="9"/>
                <w:color w:val="auto"/>
              </w:rPr>
            </w:pPr>
          </w:p>
        </w:tc>
        <w:tc>
          <w:tcPr>
            <w:tcW w:w="4960" w:type="dxa"/>
            <w:vAlign w:val="bottom"/>
            <w:tcBorders>
              <w:bottom w:val="single" w:sz="8" w:color="auto"/>
              <w:right w:val="single" w:sz="8" w:color="auto"/>
            </w:tcBorders>
            <w:vMerge w:val="continue"/>
          </w:tcPr>
          <w:p>
            <w:pPr>
              <w:spacing w:after="0"/>
              <w:rPr>
                <w:sz w:val="9"/>
                <w:szCs w:val="9"/>
                <w:color w:val="auto"/>
              </w:rPr>
            </w:pPr>
          </w:p>
        </w:tc>
        <w:tc>
          <w:tcPr>
            <w:tcW w:w="1840" w:type="dxa"/>
            <w:vAlign w:val="bottom"/>
            <w:tcBorders>
              <w:bottom w:val="single" w:sz="8" w:color="auto"/>
            </w:tcBorders>
          </w:tcPr>
          <w:p>
            <w:pPr>
              <w:spacing w:after="0"/>
              <w:rPr>
                <w:sz w:val="9"/>
                <w:szCs w:val="9"/>
                <w:color w:val="auto"/>
              </w:rPr>
            </w:pPr>
          </w:p>
        </w:tc>
        <w:tc>
          <w:tcPr>
            <w:tcW w:w="2120" w:type="dxa"/>
            <w:vAlign w:val="bottom"/>
            <w:tcBorders>
              <w:bottom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72"/>
        </w:trPr>
        <w:tc>
          <w:tcPr>
            <w:tcW w:w="11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4"/>
                <w:szCs w:val="14"/>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25"/>
        </w:trPr>
        <w:tc>
          <w:tcPr>
            <w:tcW w:w="1120" w:type="dxa"/>
            <w:vAlign w:val="bottom"/>
            <w:tcBorders>
              <w:right w:val="single" w:sz="8" w:color="auto"/>
            </w:tcBorders>
            <w:vMerge w:val="continue"/>
          </w:tcPr>
          <w:p>
            <w:pPr>
              <w:spacing w:after="0"/>
              <w:rPr>
                <w:sz w:val="10"/>
                <w:szCs w:val="10"/>
                <w:color w:val="auto"/>
              </w:rPr>
            </w:pPr>
          </w:p>
        </w:tc>
        <w:tc>
          <w:tcPr>
            <w:tcW w:w="4960" w:type="dxa"/>
            <w:vAlign w:val="bottom"/>
            <w:tcBorders>
              <w:right w:val="single" w:sz="8" w:color="auto"/>
            </w:tcBorders>
          </w:tcPr>
          <w:p>
            <w:pPr>
              <w:spacing w:after="0"/>
              <w:rPr>
                <w:sz w:val="10"/>
                <w:szCs w:val="10"/>
                <w:color w:val="auto"/>
              </w:rPr>
            </w:pPr>
          </w:p>
        </w:tc>
        <w:tc>
          <w:tcPr>
            <w:tcW w:w="1840" w:type="dxa"/>
            <w:vAlign w:val="bottom"/>
            <w:tcBorders>
              <w:right w:val="single" w:sz="8" w:color="auto"/>
            </w:tcBorders>
            <w:vMerge w:val="continue"/>
          </w:tcPr>
          <w:p>
            <w:pPr>
              <w:spacing w:after="0"/>
              <w:rPr>
                <w:sz w:val="10"/>
                <w:szCs w:val="10"/>
                <w:color w:val="auto"/>
              </w:rPr>
            </w:pPr>
          </w:p>
        </w:tc>
        <w:tc>
          <w:tcPr>
            <w:tcW w:w="21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3"/>
        </w:trPr>
        <w:tc>
          <w:tcPr>
            <w:tcW w:w="1120" w:type="dxa"/>
            <w:vAlign w:val="bottom"/>
            <w:tcBorders>
              <w:right w:val="single" w:sz="8" w:color="auto"/>
            </w:tcBorders>
          </w:tcPr>
          <w:p>
            <w:pPr>
              <w:spacing w:after="0"/>
              <w:rPr>
                <w:sz w:val="15"/>
                <w:szCs w:val="15"/>
                <w:color w:val="auto"/>
              </w:rPr>
            </w:pPr>
          </w:p>
        </w:tc>
        <w:tc>
          <w:tcPr>
            <w:tcW w:w="4960" w:type="dxa"/>
            <w:vAlign w:val="bottom"/>
            <w:tcBorders>
              <w:right w:val="single" w:sz="8" w:color="auto"/>
            </w:tcBorders>
          </w:tcPr>
          <w:p>
            <w:pPr>
              <w:spacing w:after="0"/>
              <w:rPr>
                <w:sz w:val="15"/>
                <w:szCs w:val="15"/>
                <w:color w:val="auto"/>
              </w:rPr>
            </w:pPr>
          </w:p>
        </w:tc>
        <w:tc>
          <w:tcPr>
            <w:tcW w:w="1840" w:type="dxa"/>
            <w:vAlign w:val="bottom"/>
            <w:tcBorders>
              <w:right w:val="single" w:sz="8" w:color="auto"/>
            </w:tcBorders>
            <w:vMerge w:val="continue"/>
          </w:tcPr>
          <w:p>
            <w:pPr>
              <w:spacing w:after="0"/>
              <w:rPr>
                <w:sz w:val="15"/>
                <w:szCs w:val="15"/>
                <w:color w:val="auto"/>
              </w:rPr>
            </w:pPr>
          </w:p>
        </w:tc>
        <w:tc>
          <w:tcPr>
            <w:tcW w:w="21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05"/>
        </w:trPr>
        <w:tc>
          <w:tcPr>
            <w:tcW w:w="1120" w:type="dxa"/>
            <w:vAlign w:val="bottom"/>
            <w:tcBorders>
              <w:bottom w:val="single" w:sz="8" w:color="auto"/>
              <w:right w:val="single" w:sz="8" w:color="auto"/>
            </w:tcBorders>
          </w:tcPr>
          <w:p>
            <w:pPr>
              <w:spacing w:after="0"/>
              <w:rPr>
                <w:sz w:val="9"/>
                <w:szCs w:val="9"/>
                <w:color w:val="auto"/>
              </w:rPr>
            </w:pPr>
          </w:p>
        </w:tc>
        <w:tc>
          <w:tcPr>
            <w:tcW w:w="4960" w:type="dxa"/>
            <w:vAlign w:val="bottom"/>
            <w:tcBorders>
              <w:bottom w:val="single" w:sz="8" w:color="auto"/>
              <w:right w:val="single" w:sz="8" w:color="auto"/>
            </w:tcBorders>
          </w:tcPr>
          <w:p>
            <w:pPr>
              <w:spacing w:after="0"/>
              <w:rPr>
                <w:sz w:val="9"/>
                <w:szCs w:val="9"/>
                <w:color w:val="auto"/>
              </w:rPr>
            </w:pPr>
          </w:p>
        </w:tc>
        <w:tc>
          <w:tcPr>
            <w:tcW w:w="1840" w:type="dxa"/>
            <w:vAlign w:val="bottom"/>
            <w:tcBorders>
              <w:bottom w:val="single" w:sz="8" w:color="auto"/>
              <w:right w:val="single" w:sz="8" w:color="auto"/>
            </w:tcBorders>
          </w:tcPr>
          <w:p>
            <w:pPr>
              <w:spacing w:after="0"/>
              <w:rPr>
                <w:sz w:val="9"/>
                <w:szCs w:val="9"/>
                <w:color w:val="auto"/>
              </w:rPr>
            </w:pPr>
          </w:p>
        </w:tc>
        <w:tc>
          <w:tcPr>
            <w:tcW w:w="2120" w:type="dxa"/>
            <w:vAlign w:val="bottom"/>
            <w:tcBorders>
              <w:bottom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7.2.0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Cruise Ship Management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activity of developing the State’s cruise</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shipping industry through the provision of</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facilities and services to meet the needs of</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international and domestic cruise liners and their</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passengers.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committees and boards,</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use the Committees section of General</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Retention &amp; Disposal Authority for Records of</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Common 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2"/>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community relations, use</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Community Relations section of General</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Retention &amp; Disposal Authority for Records of</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Common 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tariffs, use the</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Community Relations section of General</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Retention &amp; Disposal Authority for Records of</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Common 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strategic management of</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cruise shipping, use the Strategic Management</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section of the General Retention &amp; Disposal</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Authority for Records of Common Administrative</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38" w:name="page39"/>
    <w:bookmarkEnd w:id="38"/>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39</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818388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8388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683.6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818388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8388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683.6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7: VESSEL MANAGEMENT</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1120" w:type="dxa"/>
            <w:vAlign w:val="bottom"/>
            <w:tcBorders>
              <w:bottom w:val="single" w:sz="8" w:color="auto"/>
              <w:right w:val="single" w:sz="8" w:color="auto"/>
            </w:tcBorders>
          </w:tcPr>
          <w:p>
            <w:pPr>
              <w:spacing w:after="0"/>
              <w:rPr>
                <w:sz w:val="6"/>
                <w:szCs w:val="6"/>
                <w:color w:val="auto"/>
              </w:rPr>
            </w:pPr>
          </w:p>
        </w:tc>
        <w:tc>
          <w:tcPr>
            <w:tcW w:w="49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7.2.1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Master list of cruise ships arriving and departing.</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24"/>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spacing w:after="0"/>
              <w:rPr>
                <w:sz w:val="19"/>
                <w:szCs w:val="19"/>
                <w:color w:val="auto"/>
              </w:rPr>
            </w:pP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4" w:lineRule="exact"/>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7.2.2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documenting cruise ship arrival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departure. Includes data sheets recording</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7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cargo, passenger numbers and length of stay.</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Includes non standard requests, e.g. wheelchair</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access availability, extra transport buses,</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additional security requirements and requests to</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local government for other arrangements e.g.</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fireworks displays.</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7.2.3</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documenting schedule of cruise ship</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visits to Port of Melbourne waters.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7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7.3.0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Services to Ships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provision of services to ships utilising the</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port facilities.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7.3.1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provision of electricity,</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lighting, telephones and water to ships utilising</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2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port facilities.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39" w:name="page40"/>
    <w:bookmarkEnd w:id="39"/>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40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662051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205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560.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662051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205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560.5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7: VESSEL MANAGEMENT</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1120" w:type="dxa"/>
            <w:vAlign w:val="bottom"/>
            <w:tcBorders>
              <w:bottom w:val="single" w:sz="8" w:color="auto"/>
              <w:right w:val="single" w:sz="8" w:color="auto"/>
            </w:tcBorders>
          </w:tcPr>
          <w:p>
            <w:pPr>
              <w:spacing w:after="0"/>
              <w:rPr>
                <w:sz w:val="6"/>
                <w:szCs w:val="6"/>
                <w:color w:val="auto"/>
              </w:rPr>
            </w:pPr>
          </w:p>
        </w:tc>
        <w:tc>
          <w:tcPr>
            <w:tcW w:w="49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7.4.0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Sewage and Discharge</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relating to the monitoring and</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subsequent maintenance of any sewage or</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discharge stemming from vessels and ships in</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port waters.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environmental incidents</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investigations, use the Environmental</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Management section of this RDA].</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7.4.1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sewage discharge. Records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 notifications and recovery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10</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appropriate disposal plans.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years after last</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88"/>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7.5.0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Wrecks and Dive Sites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related to the management of ship</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wrecks and dive sites which lie within Port of</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Melbourne waters.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7.5.1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wrecks including surveys,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protection, recovery and determination of</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ownership.</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records relating to salvage operations,</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movement and transfer of wreck from port</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waters such as salvage schedules, plans and</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process for operation and records</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documenting subsequent matters which arise</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from the operation.</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40" w:name="page41"/>
    <w:bookmarkEnd w:id="40"/>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41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710184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0184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598.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710184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0184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598.4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8: CHANNEL DEEPENING PROJECT (CDP)</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524"/>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74"/>
        </w:trPr>
        <w:tc>
          <w:tcPr>
            <w:tcW w:w="1120" w:type="dxa"/>
            <w:vAlign w:val="bottom"/>
            <w:tcBorders>
              <w:right w:val="single" w:sz="8" w:color="auto"/>
            </w:tcBorders>
            <w:vMerge w:val="continue"/>
          </w:tcPr>
          <w:p>
            <w:pPr>
              <w:spacing w:after="0"/>
              <w:rPr>
                <w:sz w:val="6"/>
                <w:szCs w:val="6"/>
                <w:color w:val="auto"/>
              </w:rPr>
            </w:pPr>
          </w:p>
        </w:tc>
        <w:tc>
          <w:tcPr>
            <w:tcW w:w="4960" w:type="dxa"/>
            <w:vAlign w:val="bottom"/>
            <w:tcBorders>
              <w:bottom w:val="single" w:sz="8" w:color="auto"/>
              <w:right w:val="single" w:sz="8" w:color="auto"/>
            </w:tcBorders>
            <w:vMerge w:val="continue"/>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120" w:type="dxa"/>
            <w:vAlign w:val="bottom"/>
            <w:tcBorders>
              <w:right w:val="single" w:sz="8" w:color="auto"/>
            </w:tcBorders>
          </w:tcPr>
          <w:p>
            <w:pPr>
              <w:spacing w:after="0"/>
              <w:rPr>
                <w:sz w:val="12"/>
                <w:szCs w:val="12"/>
                <w:color w:val="auto"/>
              </w:rPr>
            </w:pPr>
          </w:p>
        </w:tc>
        <w:tc>
          <w:tcPr>
            <w:tcW w:w="49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vMerge w:val="continue"/>
          </w:tcPr>
          <w:p>
            <w:pPr>
              <w:spacing w:after="0"/>
              <w:rPr>
                <w:sz w:val="12"/>
                <w:szCs w:val="12"/>
                <w:color w:val="auto"/>
              </w:rPr>
            </w:pPr>
          </w:p>
        </w:tc>
        <w:tc>
          <w:tcPr>
            <w:tcW w:w="21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2"/>
        </w:trPr>
        <w:tc>
          <w:tcPr>
            <w:tcW w:w="1120" w:type="dxa"/>
            <w:vAlign w:val="bottom"/>
            <w:tcBorders>
              <w:bottom w:val="single" w:sz="8" w:color="auto"/>
              <w:right w:val="single" w:sz="8" w:color="auto"/>
            </w:tcBorders>
          </w:tcPr>
          <w:p>
            <w:pPr>
              <w:spacing w:after="0"/>
              <w:rPr>
                <w:sz w:val="6"/>
                <w:szCs w:val="6"/>
                <w:color w:val="auto"/>
              </w:rPr>
            </w:pPr>
          </w:p>
        </w:tc>
        <w:tc>
          <w:tcPr>
            <w:tcW w:w="4960" w:type="dxa"/>
            <w:vAlign w:val="bottom"/>
            <w:tcBorders>
              <w:bottom w:val="single" w:sz="8" w:color="auto"/>
              <w:right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8.0.0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CHANNEL DEEPENING PROJECT (CDP)</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management of the CDP to deepen</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sections of existing shipping channels to provide</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access for 14m draft vessels to Port of</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Melbourne waters at all states of tide.</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committees, use the</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Committees section of the General Retention &amp;</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Disposal Authority for Records of Common</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8.1.0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Channel Design</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2"/>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Investigations and studies on natural factors</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involved in the sea transit of vessels, including</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swell, tidal and current movements. Also</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assessment of the new channel design,</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involving 3D modelling; and transit simulations.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8.1.1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documenting submissions for work,</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final reports, external data, statistics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findings.</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bund and berth design and certification,</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capacity analysis, simulation models and</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analysis, engineering reports, ground stability</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documentation, geotechnical studies and</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reports, drawings and data on berths and</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wharves.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8.1.2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Supplementary data and draft documents in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relation to the channel design. These records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15</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are for internal use only and have been collated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years after last</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formed part of final reports and findings.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41" w:name="page42"/>
    <w:bookmarkEnd w:id="41"/>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42</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501650</wp:posOffset>
                </wp:positionV>
                <wp:extent cx="6360795"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pt" to="500.85pt,39.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498475</wp:posOffset>
                </wp:positionV>
                <wp:extent cx="0" cy="726821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682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9.25pt" to="0.2pt,611.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498475</wp:posOffset>
                </wp:positionV>
                <wp:extent cx="0" cy="726821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682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39.25pt" to="500.6pt,611.5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8: CHANNEL DEEPENING PROJECT (CDP)</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478"/>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26"/>
        </w:trPr>
        <w:tc>
          <w:tcPr>
            <w:tcW w:w="1120" w:type="dxa"/>
            <w:vAlign w:val="bottom"/>
            <w:tcBorders>
              <w:right w:val="single" w:sz="8" w:color="auto"/>
            </w:tcBorders>
            <w:vMerge w:val="continue"/>
          </w:tcPr>
          <w:p>
            <w:pPr>
              <w:spacing w:after="0"/>
              <w:rPr>
                <w:sz w:val="2"/>
                <w:szCs w:val="2"/>
                <w:color w:val="auto"/>
              </w:rPr>
            </w:pPr>
          </w:p>
        </w:tc>
        <w:tc>
          <w:tcPr>
            <w:tcW w:w="4960" w:type="dxa"/>
            <w:vAlign w:val="bottom"/>
            <w:tcBorders>
              <w:bottom w:val="single" w:sz="8" w:color="auto"/>
              <w:right w:val="single" w:sz="8" w:color="auto"/>
            </w:tcBorders>
            <w:vMerge w:val="continue"/>
          </w:tcPr>
          <w:p>
            <w:pPr>
              <w:spacing w:after="0"/>
              <w:rPr>
                <w:sz w:val="2"/>
                <w:szCs w:val="2"/>
                <w:color w:val="auto"/>
              </w:rPr>
            </w:pPr>
          </w:p>
        </w:tc>
        <w:tc>
          <w:tcPr>
            <w:tcW w:w="1840" w:type="dxa"/>
            <w:vAlign w:val="bottom"/>
            <w:tcBorders>
              <w:bottom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61"/>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1"/>
        </w:trPr>
        <w:tc>
          <w:tcPr>
            <w:tcW w:w="1120" w:type="dxa"/>
            <w:vAlign w:val="bottom"/>
            <w:tcBorders>
              <w:right w:val="single" w:sz="8" w:color="auto"/>
            </w:tcBorders>
          </w:tcPr>
          <w:p>
            <w:pPr>
              <w:spacing w:after="0"/>
              <w:rPr>
                <w:sz w:val="7"/>
                <w:szCs w:val="7"/>
                <w:color w:val="auto"/>
              </w:rPr>
            </w:pPr>
          </w:p>
        </w:tc>
        <w:tc>
          <w:tcPr>
            <w:tcW w:w="4960" w:type="dxa"/>
            <w:vAlign w:val="bottom"/>
            <w:tcBorders>
              <w:right w:val="single" w:sz="8" w:color="auto"/>
            </w:tcBorders>
          </w:tcPr>
          <w:p>
            <w:pPr>
              <w:spacing w:after="0"/>
              <w:rPr>
                <w:sz w:val="7"/>
                <w:szCs w:val="7"/>
                <w:color w:val="auto"/>
              </w:rPr>
            </w:pPr>
          </w:p>
        </w:tc>
        <w:tc>
          <w:tcPr>
            <w:tcW w:w="1840" w:type="dxa"/>
            <w:vAlign w:val="bottom"/>
            <w:tcBorders>
              <w:right w:val="single" w:sz="8" w:color="auto"/>
            </w:tcBorders>
            <w:vMerge w:val="continue"/>
          </w:tcPr>
          <w:p>
            <w:pPr>
              <w:spacing w:after="0"/>
              <w:rPr>
                <w:sz w:val="7"/>
                <w:szCs w:val="7"/>
                <w:color w:val="auto"/>
              </w:rPr>
            </w:pPr>
          </w:p>
        </w:tc>
        <w:tc>
          <w:tcPr>
            <w:tcW w:w="21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6"/>
        </w:trPr>
        <w:tc>
          <w:tcPr>
            <w:tcW w:w="1120" w:type="dxa"/>
            <w:vAlign w:val="bottom"/>
            <w:tcBorders>
              <w:bottom w:val="single" w:sz="8" w:color="auto"/>
              <w:right w:val="single" w:sz="8" w:color="auto"/>
            </w:tcBorders>
          </w:tcPr>
          <w:p>
            <w:pPr>
              <w:spacing w:after="0"/>
              <w:rPr>
                <w:sz w:val="2"/>
                <w:szCs w:val="2"/>
                <w:color w:val="auto"/>
              </w:rPr>
            </w:pPr>
          </w:p>
        </w:tc>
        <w:tc>
          <w:tcPr>
            <w:tcW w:w="49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8.2.0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Environmental Management and Monitoring</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management and monitoring of the marine</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and coastal environment surrounding the CDP</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the environmental indicators associated with</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dredging, such as the intensity and extent of</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plume and noise emissions, as well as key</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species, habitats and ecological processes (e.g.:</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seagrasses, fish and water quality).</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8.2.1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Environment Effects Statement (EES)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Supplementary Environment Effects Statement</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(SEES). The statements detail the</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24"/>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4" w:lineRule="exact"/>
              <w:rPr>
                <w:sz w:val="20"/>
                <w:szCs w:val="20"/>
                <w:color w:val="auto"/>
              </w:rPr>
            </w:pPr>
            <w:r>
              <w:rPr>
                <w:rFonts w:ascii="Arial" w:cs="Arial" w:eastAsia="Arial" w:hAnsi="Arial"/>
                <w:sz w:val="22"/>
                <w:szCs w:val="22"/>
                <w:color w:val="auto"/>
              </w:rPr>
              <w:t>environmental effects from the deepening of the</w:t>
            </w: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4" w:lineRule="exact"/>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shipping channels in Port Phillip Bay.</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72"/>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8.2.2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Data recorded on the environmental database.</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Data sourced from this database forms part of</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formal or published documentation.</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Archives.</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Also includes records relating to the</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environmental monitoring program such as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design documents, data and final reports,</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quarterly reports, monitoring studies, final</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reports, findings, external data, drawings and</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diagrams, statistics and findings.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8.2.3</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Draft documentation sourced from the</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environmental database in relation to the</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10</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environmental monitoring program, which have</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years after last</w:t>
            </w: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been collated and formed part of the final</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84"/>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findings.</w:t>
            </w: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42" w:name="page43"/>
    <w:bookmarkEnd w:id="42"/>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43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341630</wp:posOffset>
                </wp:positionV>
                <wp:extent cx="6360795"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07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9pt" to="500.85pt,26.9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338455</wp:posOffset>
                </wp:positionV>
                <wp:extent cx="0" cy="8109585"/>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0958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26.65pt" to="0.2pt,665.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6357620</wp:posOffset>
                </wp:positionH>
                <wp:positionV relativeFrom="paragraph">
                  <wp:posOffset>338455</wp:posOffset>
                </wp:positionV>
                <wp:extent cx="0" cy="8109585"/>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0958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6pt,26.65pt" to="500.6pt,665.2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008080"/>
        </w:rPr>
        <w:t>8: CHANNEL DEEPENING PROJECT (CDP)</w:t>
      </w:r>
    </w:p>
    <w:p>
      <w:pPr>
        <w:spacing w:after="0" w:line="107" w:lineRule="exact"/>
        <w:rPr>
          <w:sz w:val="20"/>
          <w:szCs w:val="20"/>
          <w:color w:val="auto"/>
        </w:rPr>
      </w:pPr>
    </w:p>
    <w:tbl>
      <w:tblPr>
        <w:tblLayout w:type="fixed"/>
        <w:tblInd w:w="0" w:type="dxa"/>
        <w:tblCellMar>
          <w:top w:w="0" w:type="dxa"/>
          <w:left w:w="0" w:type="dxa"/>
          <w:bottom w:w="0" w:type="dxa"/>
          <w:right w:w="0" w:type="dxa"/>
        </w:tblCellMar>
      </w:tblPr>
      <w:tr>
        <w:trPr>
          <w:trHeight w:val="478"/>
        </w:trPr>
        <w:tc>
          <w:tcPr>
            <w:tcW w:w="1120" w:type="dxa"/>
            <w:vAlign w:val="bottom"/>
            <w:tcBorders>
              <w:top w:val="single" w:sz="8" w:color="auto"/>
              <w:right w:val="single" w:sz="8" w:color="auto"/>
            </w:tcBorders>
            <w:vMerge w:val="restart"/>
          </w:tcPr>
          <w:p>
            <w:pPr>
              <w:jc w:val="right"/>
              <w:ind w:right="90"/>
              <w:spacing w:after="0"/>
              <w:rPr>
                <w:sz w:val="20"/>
                <w:szCs w:val="20"/>
                <w:color w:val="auto"/>
              </w:rPr>
            </w:pPr>
            <w:r>
              <w:rPr>
                <w:rFonts w:ascii="Arial" w:cs="Arial" w:eastAsia="Arial" w:hAnsi="Arial"/>
                <w:sz w:val="22"/>
                <w:szCs w:val="22"/>
                <w:b w:val="1"/>
                <w:bCs w:val="1"/>
                <w:color w:val="008080"/>
              </w:rPr>
              <w:t>CLASS</w:t>
            </w:r>
          </w:p>
        </w:tc>
        <w:tc>
          <w:tcPr>
            <w:tcW w:w="4960" w:type="dxa"/>
            <w:vAlign w:val="bottom"/>
            <w:tcBorders>
              <w:top w:val="single" w:sz="8" w:color="auto"/>
              <w:right w:val="single" w:sz="8" w:color="auto"/>
            </w:tcBorders>
            <w:vMerge w:val="restart"/>
          </w:tcPr>
          <w:p>
            <w:pPr>
              <w:ind w:left="1720"/>
              <w:spacing w:after="0"/>
              <w:rPr>
                <w:sz w:val="20"/>
                <w:szCs w:val="20"/>
                <w:color w:val="auto"/>
              </w:rPr>
            </w:pPr>
            <w:r>
              <w:rPr>
                <w:rFonts w:ascii="Arial" w:cs="Arial" w:eastAsia="Arial" w:hAnsi="Arial"/>
                <w:sz w:val="22"/>
                <w:szCs w:val="22"/>
                <w:b w:val="1"/>
                <w:bCs w:val="1"/>
                <w:color w:val="008080"/>
              </w:rPr>
              <w:t>DESCRIPTION</w:t>
            </w:r>
          </w:p>
        </w:tc>
        <w:tc>
          <w:tcPr>
            <w:tcW w:w="3940" w:type="dxa"/>
            <w:vAlign w:val="bottom"/>
            <w:tcBorders>
              <w:top w:val="single" w:sz="8" w:color="auto"/>
            </w:tcBorders>
            <w:gridSpan w:val="2"/>
          </w:tcPr>
          <w:p>
            <w:pPr>
              <w:ind w:left="940"/>
              <w:spacing w:after="0"/>
              <w:rPr>
                <w:sz w:val="20"/>
                <w:szCs w:val="20"/>
                <w:color w:val="auto"/>
              </w:rPr>
            </w:pPr>
            <w:r>
              <w:rPr>
                <w:rFonts w:ascii="Arial" w:cs="Arial" w:eastAsia="Arial" w:hAnsi="Arial"/>
                <w:sz w:val="22"/>
                <w:szCs w:val="22"/>
                <w:b w:val="1"/>
                <w:bCs w:val="1"/>
                <w:color w:val="008080"/>
              </w:rPr>
              <w:t>DISPOSAL ACTION</w:t>
            </w:r>
          </w:p>
        </w:tc>
        <w:tc>
          <w:tcPr>
            <w:tcW w:w="0" w:type="dxa"/>
            <w:vAlign w:val="bottom"/>
          </w:tcPr>
          <w:p>
            <w:pPr>
              <w:spacing w:after="0"/>
              <w:rPr>
                <w:sz w:val="1"/>
                <w:szCs w:val="1"/>
                <w:color w:val="auto"/>
              </w:rPr>
            </w:pPr>
          </w:p>
        </w:tc>
      </w:tr>
      <w:tr>
        <w:trPr>
          <w:trHeight w:val="26"/>
        </w:trPr>
        <w:tc>
          <w:tcPr>
            <w:tcW w:w="1120" w:type="dxa"/>
            <w:vAlign w:val="bottom"/>
            <w:tcBorders>
              <w:right w:val="single" w:sz="8" w:color="auto"/>
            </w:tcBorders>
            <w:vMerge w:val="continue"/>
          </w:tcPr>
          <w:p>
            <w:pPr>
              <w:spacing w:after="0"/>
              <w:rPr>
                <w:sz w:val="2"/>
                <w:szCs w:val="2"/>
                <w:color w:val="auto"/>
              </w:rPr>
            </w:pPr>
          </w:p>
        </w:tc>
        <w:tc>
          <w:tcPr>
            <w:tcW w:w="4960" w:type="dxa"/>
            <w:vAlign w:val="bottom"/>
            <w:tcBorders>
              <w:bottom w:val="single" w:sz="8" w:color="auto"/>
              <w:right w:val="single" w:sz="8" w:color="auto"/>
            </w:tcBorders>
            <w:vMerge w:val="continue"/>
          </w:tcPr>
          <w:p>
            <w:pPr>
              <w:spacing w:after="0"/>
              <w:rPr>
                <w:sz w:val="2"/>
                <w:szCs w:val="2"/>
                <w:color w:val="auto"/>
              </w:rPr>
            </w:pPr>
          </w:p>
        </w:tc>
        <w:tc>
          <w:tcPr>
            <w:tcW w:w="1840" w:type="dxa"/>
            <w:vAlign w:val="bottom"/>
            <w:tcBorders>
              <w:bottom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6"/>
        </w:trPr>
        <w:tc>
          <w:tcPr>
            <w:tcW w:w="1120" w:type="dxa"/>
            <w:vAlign w:val="bottom"/>
            <w:tcBorders>
              <w:right w:val="single" w:sz="8" w:color="auto"/>
            </w:tcBorders>
            <w:vMerge w:val="restart"/>
          </w:tcPr>
          <w:p>
            <w:pPr>
              <w:jc w:val="right"/>
              <w:ind w:right="250"/>
              <w:spacing w:after="0"/>
              <w:rPr>
                <w:sz w:val="20"/>
                <w:szCs w:val="20"/>
                <w:color w:val="auto"/>
              </w:rPr>
            </w:pPr>
            <w:r>
              <w:rPr>
                <w:rFonts w:ascii="Arial" w:cs="Arial" w:eastAsia="Arial" w:hAnsi="Arial"/>
                <w:sz w:val="22"/>
                <w:szCs w:val="22"/>
                <w:b w:val="1"/>
                <w:bCs w:val="1"/>
                <w:color w:val="008080"/>
              </w:rPr>
              <w:t>NO.</w:t>
            </w:r>
          </w:p>
        </w:tc>
        <w:tc>
          <w:tcPr>
            <w:tcW w:w="4960" w:type="dxa"/>
            <w:vAlign w:val="bottom"/>
            <w:tcBorders>
              <w:right w:val="single" w:sz="8" w:color="auto"/>
            </w:tcBorders>
            <w:vMerge w:val="continue"/>
          </w:tcPr>
          <w:p>
            <w:pPr>
              <w:spacing w:after="0"/>
              <w:rPr>
                <w:sz w:val="17"/>
                <w:szCs w:val="17"/>
                <w:color w:val="auto"/>
              </w:rPr>
            </w:pPr>
          </w:p>
        </w:tc>
        <w:tc>
          <w:tcPr>
            <w:tcW w:w="18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2"/>
                <w:szCs w:val="22"/>
                <w:b w:val="1"/>
                <w:bCs w:val="1"/>
                <w:color w:val="008080"/>
              </w:rPr>
              <w:t>STATUS</w:t>
            </w:r>
          </w:p>
        </w:tc>
        <w:tc>
          <w:tcPr>
            <w:tcW w:w="2120" w:type="dxa"/>
            <w:vAlign w:val="bottom"/>
            <w:vMerge w:val="restart"/>
          </w:tcPr>
          <w:p>
            <w:pPr>
              <w:ind w:left="500"/>
              <w:spacing w:after="0"/>
              <w:rPr>
                <w:sz w:val="20"/>
                <w:szCs w:val="20"/>
                <w:color w:val="auto"/>
              </w:rPr>
            </w:pPr>
            <w:r>
              <w:rPr>
                <w:rFonts w:ascii="Arial" w:cs="Arial" w:eastAsia="Arial" w:hAnsi="Arial"/>
                <w:sz w:val="22"/>
                <w:szCs w:val="22"/>
                <w:b w:val="1"/>
                <w:bCs w:val="1"/>
                <w:color w:val="008080"/>
              </w:rPr>
              <w:t>CUSTODY</w:t>
            </w:r>
          </w:p>
        </w:tc>
        <w:tc>
          <w:tcPr>
            <w:tcW w:w="0" w:type="dxa"/>
            <w:vAlign w:val="bottom"/>
          </w:tcPr>
          <w:p>
            <w:pPr>
              <w:spacing w:after="0"/>
              <w:rPr>
                <w:sz w:val="1"/>
                <w:szCs w:val="1"/>
                <w:color w:val="auto"/>
              </w:rPr>
            </w:pPr>
          </w:p>
        </w:tc>
      </w:tr>
      <w:tr>
        <w:trPr>
          <w:trHeight w:val="158"/>
        </w:trPr>
        <w:tc>
          <w:tcPr>
            <w:tcW w:w="1120" w:type="dxa"/>
            <w:vAlign w:val="bottom"/>
            <w:tcBorders>
              <w:right w:val="single" w:sz="8" w:color="auto"/>
            </w:tcBorders>
            <w:vMerge w:val="continue"/>
          </w:tcPr>
          <w:p>
            <w:pPr>
              <w:spacing w:after="0"/>
              <w:rPr>
                <w:sz w:val="13"/>
                <w:szCs w:val="13"/>
                <w:color w:val="auto"/>
              </w:rPr>
            </w:pPr>
          </w:p>
        </w:tc>
        <w:tc>
          <w:tcPr>
            <w:tcW w:w="4960" w:type="dxa"/>
            <w:vAlign w:val="bottom"/>
            <w:tcBorders>
              <w:right w:val="single" w:sz="8" w:color="auto"/>
            </w:tcBorders>
          </w:tcPr>
          <w:p>
            <w:pPr>
              <w:spacing w:after="0"/>
              <w:rPr>
                <w:sz w:val="13"/>
                <w:szCs w:val="13"/>
                <w:color w:val="auto"/>
              </w:rPr>
            </w:pPr>
          </w:p>
        </w:tc>
        <w:tc>
          <w:tcPr>
            <w:tcW w:w="1840" w:type="dxa"/>
            <w:vAlign w:val="bottom"/>
            <w:tcBorders>
              <w:right w:val="single" w:sz="8" w:color="auto"/>
            </w:tcBorders>
            <w:vMerge w:val="continue"/>
          </w:tcPr>
          <w:p>
            <w:pPr>
              <w:spacing w:after="0"/>
              <w:rPr>
                <w:sz w:val="13"/>
                <w:szCs w:val="13"/>
                <w:color w:val="auto"/>
              </w:rPr>
            </w:pPr>
          </w:p>
        </w:tc>
        <w:tc>
          <w:tcPr>
            <w:tcW w:w="2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94"/>
        </w:trPr>
        <w:tc>
          <w:tcPr>
            <w:tcW w:w="1120" w:type="dxa"/>
            <w:vAlign w:val="bottom"/>
            <w:tcBorders>
              <w:right w:val="single" w:sz="8" w:color="auto"/>
            </w:tcBorders>
          </w:tcPr>
          <w:p>
            <w:pPr>
              <w:spacing w:after="0"/>
              <w:rPr>
                <w:sz w:val="8"/>
                <w:szCs w:val="8"/>
                <w:color w:val="auto"/>
              </w:rPr>
            </w:pPr>
          </w:p>
        </w:tc>
        <w:tc>
          <w:tcPr>
            <w:tcW w:w="4960" w:type="dxa"/>
            <w:vAlign w:val="bottom"/>
            <w:tcBorders>
              <w:right w:val="single" w:sz="8" w:color="auto"/>
            </w:tcBorders>
          </w:tcPr>
          <w:p>
            <w:pPr>
              <w:spacing w:after="0"/>
              <w:rPr>
                <w:sz w:val="8"/>
                <w:szCs w:val="8"/>
                <w:color w:val="auto"/>
              </w:rPr>
            </w:pPr>
          </w:p>
        </w:tc>
        <w:tc>
          <w:tcPr>
            <w:tcW w:w="1840" w:type="dxa"/>
            <w:vAlign w:val="bottom"/>
            <w:tcBorders>
              <w:right w:val="single" w:sz="8" w:color="auto"/>
            </w:tcBorders>
            <w:vMerge w:val="continue"/>
          </w:tcPr>
          <w:p>
            <w:pPr>
              <w:spacing w:after="0"/>
              <w:rPr>
                <w:sz w:val="8"/>
                <w:szCs w:val="8"/>
                <w:color w:val="auto"/>
              </w:rPr>
            </w:pPr>
          </w:p>
        </w:tc>
        <w:tc>
          <w:tcPr>
            <w:tcW w:w="21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6"/>
        </w:trPr>
        <w:tc>
          <w:tcPr>
            <w:tcW w:w="1120" w:type="dxa"/>
            <w:vAlign w:val="bottom"/>
            <w:tcBorders>
              <w:bottom w:val="single" w:sz="8" w:color="auto"/>
              <w:right w:val="single" w:sz="8" w:color="auto"/>
            </w:tcBorders>
          </w:tcPr>
          <w:p>
            <w:pPr>
              <w:spacing w:after="0"/>
              <w:rPr>
                <w:sz w:val="2"/>
                <w:szCs w:val="2"/>
                <w:color w:val="auto"/>
              </w:rPr>
            </w:pPr>
          </w:p>
        </w:tc>
        <w:tc>
          <w:tcPr>
            <w:tcW w:w="49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8.3.0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Financial Management</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2"/>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function of managing the CDP financial</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resources. This includes records relating to the</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input and preparation of the CDP financial</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program, bond arrangements, budget, foreign</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currency, customs tariffs and insurance</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programs.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financial records, use the Financial</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Management section of the General Retention &amp;</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Disposal Authority for Records of Common</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Administrative Functions].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9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8.4.0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Infrastructure Protection</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activities relating to protecting existing port</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infrastructure and services within the Port of</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Melbourne waters which may be affected by</w:t>
            </w:r>
          </w:p>
        </w:tc>
        <w:tc>
          <w:tcPr>
            <w:tcW w:w="1840" w:type="dxa"/>
            <w:vAlign w:val="bottom"/>
            <w:tcBorders>
              <w:right w:val="single" w:sz="8" w:color="auto"/>
            </w:tcBorders>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dredging works.</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incidents affecting infrastructure, use the</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Safety, Security and Emergency Management</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section of this RDA].</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2"/>
        </w:trPr>
        <w:tc>
          <w:tcPr>
            <w:tcW w:w="1120" w:type="dxa"/>
            <w:vAlign w:val="bottom"/>
            <w:tcBorders>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the construction and</w:t>
            </w:r>
          </w:p>
        </w:tc>
        <w:tc>
          <w:tcPr>
            <w:tcW w:w="1840" w:type="dxa"/>
            <w:vAlign w:val="bottom"/>
            <w:tcBorders>
              <w:right w:val="single" w:sz="8" w:color="auto"/>
            </w:tcBorders>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maintenance of navigation aids, use Port</w:t>
            </w:r>
          </w:p>
        </w:tc>
        <w:tc>
          <w:tcPr>
            <w:tcW w:w="1840" w:type="dxa"/>
            <w:vAlign w:val="bottom"/>
            <w:tcBorders>
              <w:right w:val="single" w:sz="8" w:color="auto"/>
            </w:tcBorders>
          </w:tcPr>
          <w:p>
            <w:pPr>
              <w:spacing w:after="0"/>
              <w:rPr>
                <w:sz w:val="22"/>
                <w:szCs w:val="22"/>
                <w:color w:val="auto"/>
              </w:rPr>
            </w:pPr>
          </w:p>
        </w:tc>
        <w:tc>
          <w:tcPr>
            <w:tcW w:w="2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Operations section of this RDA].</w:t>
            </w:r>
          </w:p>
        </w:tc>
        <w:tc>
          <w:tcPr>
            <w:tcW w:w="184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8.4.1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documenting the activities related to</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protecting existing port infrastructure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30</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services situated within Port of Melbourne</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years after last</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waters which may be affected by channel</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action.</w:t>
            </w:r>
          </w:p>
        </w:tc>
        <w:tc>
          <w:tcPr>
            <w:tcW w:w="2120" w:type="dxa"/>
            <w:vAlign w:val="bottom"/>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24"/>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4" w:lineRule="exact"/>
              <w:rPr>
                <w:sz w:val="20"/>
                <w:szCs w:val="20"/>
                <w:color w:val="auto"/>
              </w:rPr>
            </w:pPr>
            <w:r>
              <w:rPr>
                <w:rFonts w:ascii="Arial" w:cs="Arial" w:eastAsia="Arial" w:hAnsi="Arial"/>
                <w:sz w:val="22"/>
                <w:szCs w:val="22"/>
                <w:color w:val="auto"/>
              </w:rPr>
              <w:t>deepening works.</w:t>
            </w: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4"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8.4.2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Supplementary records in relation to the</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protection of services, which have been collated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5 years</w:t>
            </w:r>
          </w:p>
        </w:tc>
        <w:tc>
          <w:tcPr>
            <w:tcW w:w="2120" w:type="dxa"/>
            <w:vAlign w:val="bottom"/>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and formed part of the final findings. Includes</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after last action.</w:t>
            </w: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24"/>
        </w:trPr>
        <w:tc>
          <w:tcPr>
            <w:tcW w:w="1120" w:type="dxa"/>
            <w:vAlign w:val="bottom"/>
            <w:tcBorders>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4" w:lineRule="exact"/>
              <w:rPr>
                <w:sz w:val="20"/>
                <w:szCs w:val="20"/>
                <w:color w:val="auto"/>
              </w:rPr>
            </w:pPr>
            <w:r>
              <w:rPr>
                <w:rFonts w:ascii="Arial" w:cs="Arial" w:eastAsia="Arial" w:hAnsi="Arial"/>
                <w:sz w:val="22"/>
                <w:szCs w:val="22"/>
                <w:color w:val="auto"/>
              </w:rPr>
              <w:t>copies of service invoices and working papers</w:t>
            </w:r>
          </w:p>
        </w:tc>
        <w:tc>
          <w:tcPr>
            <w:tcW w:w="1840" w:type="dxa"/>
            <w:vAlign w:val="bottom"/>
            <w:tcBorders>
              <w:right w:val="single" w:sz="8" w:color="auto"/>
            </w:tcBorders>
          </w:tcPr>
          <w:p>
            <w:pPr>
              <w:spacing w:after="0"/>
              <w:rPr>
                <w:sz w:val="19"/>
                <w:szCs w:val="19"/>
                <w:color w:val="auto"/>
              </w:rPr>
            </w:pPr>
          </w:p>
        </w:tc>
        <w:tc>
          <w:tcPr>
            <w:tcW w:w="2120" w:type="dxa"/>
            <w:vAlign w:val="bottom"/>
          </w:tcPr>
          <w:p>
            <w:pPr>
              <w:ind w:left="100"/>
              <w:spacing w:after="0" w:line="224" w:lineRule="exact"/>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which have been formalised in reports and final</w:t>
            </w: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recommendations.</w:t>
            </w: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5"/>
        </w:trPr>
        <w:tc>
          <w:tcPr>
            <w:tcW w:w="1120" w:type="dxa"/>
            <w:vAlign w:val="bottom"/>
            <w:tcBorders>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43" w:name="page44"/>
    <w:bookmarkEnd w:id="43"/>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44</w:t>
            </w:r>
          </w:p>
        </w:tc>
      </w:tr>
    </w:tbl>
    <w:p>
      <w:pPr>
        <w:spacing w:after="0" w:line="200" w:lineRule="exact"/>
        <w:rPr>
          <w:sz w:val="20"/>
          <w:szCs w:val="20"/>
          <w:color w:val="auto"/>
        </w:rPr>
      </w:pPr>
    </w:p>
    <w:p>
      <w:pPr>
        <w:spacing w:after="0" w:line="314" w:lineRule="exact"/>
        <w:rPr>
          <w:sz w:val="20"/>
          <w:szCs w:val="20"/>
          <w:color w:val="auto"/>
        </w:rPr>
      </w:pPr>
    </w:p>
    <w:tbl>
      <w:tblPr>
        <w:tblLayout w:type="fixed"/>
        <w:tblInd w:w="10" w:type="dxa"/>
        <w:tblCellMar>
          <w:top w:w="0" w:type="dxa"/>
          <w:left w:w="0" w:type="dxa"/>
          <w:bottom w:w="0" w:type="dxa"/>
          <w:right w:w="0" w:type="dxa"/>
        </w:tblCellMar>
      </w:tblPr>
      <w:tr>
        <w:trPr>
          <w:trHeight w:val="411"/>
        </w:trPr>
        <w:tc>
          <w:tcPr>
            <w:tcW w:w="1120" w:type="dxa"/>
            <w:vAlign w:val="bottom"/>
            <w:tcBorders>
              <w:top w:val="single" w:sz="8" w:color="auto"/>
              <w:left w:val="single" w:sz="8" w:color="auto"/>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8.5.0</w:t>
            </w:r>
          </w:p>
        </w:tc>
        <w:tc>
          <w:tcPr>
            <w:tcW w:w="496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2"/>
                <w:szCs w:val="22"/>
                <w:b w:val="1"/>
                <w:bCs w:val="1"/>
                <w:color w:val="auto"/>
              </w:rPr>
              <w:t>Integrated Management System</w:t>
            </w:r>
          </w:p>
        </w:tc>
        <w:tc>
          <w:tcPr>
            <w:tcW w:w="1840" w:type="dxa"/>
            <w:vAlign w:val="bottom"/>
            <w:tcBorders>
              <w:top w:val="single" w:sz="8" w:color="auto"/>
              <w:right w:val="single" w:sz="8" w:color="auto"/>
            </w:tcBorders>
          </w:tcPr>
          <w:p>
            <w:pPr>
              <w:spacing w:after="0"/>
              <w:rPr>
                <w:sz w:val="24"/>
                <w:szCs w:val="24"/>
                <w:color w:val="auto"/>
              </w:rPr>
            </w:pPr>
          </w:p>
        </w:tc>
        <w:tc>
          <w:tcPr>
            <w:tcW w:w="2120" w:type="dxa"/>
            <w:vAlign w:val="bottom"/>
            <w:tcBorders>
              <w:top w:val="single" w:sz="8" w:color="auto"/>
              <w:right w:val="single" w:sz="8" w:color="auto"/>
            </w:tcBorders>
          </w:tcPr>
          <w:p>
            <w:pPr>
              <w:spacing w:after="0"/>
              <w:rPr>
                <w:sz w:val="24"/>
                <w:szCs w:val="24"/>
                <w:color w:val="auto"/>
              </w:rPr>
            </w:pPr>
          </w:p>
        </w:tc>
      </w:tr>
      <w:tr>
        <w:trPr>
          <w:trHeight w:val="265"/>
        </w:trPr>
        <w:tc>
          <w:tcPr>
            <w:tcW w:w="1120" w:type="dxa"/>
            <w:vAlign w:val="bottom"/>
            <w:tcBorders>
              <w:left w:val="single" w:sz="8" w:color="auto"/>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activities related to the Integrated</w:t>
            </w:r>
          </w:p>
        </w:tc>
        <w:tc>
          <w:tcPr>
            <w:tcW w:w="1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spacing w:after="0"/>
              <w:rPr>
                <w:sz w:val="23"/>
                <w:szCs w:val="23"/>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Management System (IMS) which combines</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environmental management systems with quality</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spacing w:after="0"/>
              <w:rPr>
                <w:sz w:val="22"/>
                <w:szCs w:val="22"/>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and occupational health and safety (OH&amp;S)</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management systems to ensure effective overall</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management of the project.</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38"/>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r>
      <w:tr>
        <w:trPr>
          <w:trHeight w:val="341"/>
        </w:trPr>
        <w:tc>
          <w:tcPr>
            <w:tcW w:w="1120" w:type="dxa"/>
            <w:vAlign w:val="bottom"/>
            <w:tcBorders>
              <w:left w:val="single" w:sz="8" w:color="auto"/>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8.5.1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management of</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Hold in agency or</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performance measures implemented to ensure</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Destroy 15</w:t>
            </w:r>
          </w:p>
        </w:tc>
        <w:tc>
          <w:tcPr>
            <w:tcW w:w="212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APROSS pending</w:t>
            </w:r>
          </w:p>
        </w:tc>
      </w:tr>
      <w:tr>
        <w:trPr>
          <w:trHeight w:val="28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that the work related to the CDP complies with</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years after last</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destruction.</w:t>
            </w: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relevant quality systems, standards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action.</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Electronic records</w:t>
            </w:r>
          </w:p>
        </w:tc>
      </w:tr>
      <w:tr>
        <w:trPr>
          <w:trHeight w:val="28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conditions of approval.</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should be</w:t>
            </w: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final and endorsed audit</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maintained in</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documentation, compliance reports and findings,</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readable format</w:t>
            </w:r>
          </w:p>
        </w:tc>
      </w:tr>
      <w:tr>
        <w:trPr>
          <w:trHeight w:val="255"/>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procedures, management plans and training</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pending</w:t>
            </w: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destruction.</w:t>
            </w:r>
          </w:p>
        </w:tc>
      </w:tr>
      <w:tr>
        <w:trPr>
          <w:trHeight w:val="36"/>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r>
      <w:tr>
        <w:trPr>
          <w:trHeight w:val="391"/>
        </w:trPr>
        <w:tc>
          <w:tcPr>
            <w:tcW w:w="1120" w:type="dxa"/>
            <w:vAlign w:val="bottom"/>
            <w:tcBorders>
              <w:left w:val="single" w:sz="8" w:color="auto"/>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8.6.0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Partnership Relations</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265"/>
        </w:trPr>
        <w:tc>
          <w:tcPr>
            <w:tcW w:w="1120" w:type="dxa"/>
            <w:vAlign w:val="bottom"/>
            <w:tcBorders>
              <w:left w:val="single" w:sz="8" w:color="auto"/>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activities related to the management of</w:t>
            </w:r>
          </w:p>
        </w:tc>
        <w:tc>
          <w:tcPr>
            <w:tcW w:w="1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spacing w:after="0"/>
              <w:rPr>
                <w:sz w:val="23"/>
                <w:szCs w:val="23"/>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partnerships formed with contractors (e.g. the</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contractors, known as the Alliance Group)</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engaged to undertake the majority of works</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spacing w:after="0"/>
              <w:rPr>
                <w:sz w:val="22"/>
                <w:szCs w:val="22"/>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required as part of the channel deepening</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project.</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274"/>
        </w:trPr>
        <w:tc>
          <w:tcPr>
            <w:tcW w:w="1120" w:type="dxa"/>
            <w:vAlign w:val="bottom"/>
            <w:tcBorders>
              <w:left w:val="single" w:sz="8" w:color="auto"/>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the formulation and</w:t>
            </w:r>
          </w:p>
        </w:tc>
        <w:tc>
          <w:tcPr>
            <w:tcW w:w="1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spacing w:after="0"/>
              <w:rPr>
                <w:sz w:val="23"/>
                <w:szCs w:val="23"/>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execution of contracts, use the Contracting –Out</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section of the General Retention &amp; Disposal</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spacing w:after="0"/>
              <w:rPr>
                <w:sz w:val="22"/>
                <w:szCs w:val="22"/>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Authority for Records of Common Administrative</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Functions].</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36"/>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r>
      <w:tr>
        <w:trPr>
          <w:trHeight w:val="343"/>
        </w:trPr>
        <w:tc>
          <w:tcPr>
            <w:tcW w:w="1120" w:type="dxa"/>
            <w:vAlign w:val="bottom"/>
            <w:tcBorders>
              <w:left w:val="single" w:sz="8" w:color="auto"/>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8.6.1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associated with the management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Hold in agency or</w:t>
            </w:r>
          </w:p>
        </w:tc>
      </w:tr>
      <w:tr>
        <w:trPr>
          <w:trHeight w:val="28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delivery of CDP work by the contractors.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15</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APROSS pending</w:t>
            </w:r>
          </w:p>
        </w:tc>
      </w:tr>
      <w:tr>
        <w:trPr>
          <w:trHeight w:val="284"/>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operational records associated with</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years after last</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destruction.</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dredging and services protection.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action.</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Electronic records</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should be</w:t>
            </w: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maintained in</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readable format</w:t>
            </w:r>
          </w:p>
        </w:tc>
      </w:tr>
      <w:tr>
        <w:trPr>
          <w:trHeight w:val="255"/>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pending</w:t>
            </w: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destruction.</w:t>
            </w:r>
          </w:p>
        </w:tc>
      </w:tr>
      <w:tr>
        <w:trPr>
          <w:trHeight w:val="36"/>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r>
      <w:tr>
        <w:trPr>
          <w:trHeight w:val="341"/>
        </w:trPr>
        <w:tc>
          <w:tcPr>
            <w:tcW w:w="1120" w:type="dxa"/>
            <w:vAlign w:val="bottom"/>
            <w:tcBorders>
              <w:left w:val="single" w:sz="8" w:color="auto"/>
              <w:right w:val="single" w:sz="8" w:color="auto"/>
            </w:tcBorders>
          </w:tcPr>
          <w:p>
            <w:pPr>
              <w:jc w:val="right"/>
              <w:ind w:right="410"/>
              <w:spacing w:after="0"/>
              <w:rPr>
                <w:sz w:val="20"/>
                <w:szCs w:val="20"/>
                <w:color w:val="auto"/>
              </w:rPr>
            </w:pPr>
            <w:r>
              <w:rPr>
                <w:rFonts w:ascii="Arial" w:cs="Arial" w:eastAsia="Arial" w:hAnsi="Arial"/>
                <w:sz w:val="22"/>
                <w:szCs w:val="22"/>
                <w:b w:val="1"/>
                <w:bCs w:val="1"/>
                <w:color w:val="auto"/>
              </w:rPr>
              <w:t>8.6.2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systems and operational</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Hold in agency or</w:t>
            </w:r>
          </w:p>
        </w:tc>
      </w:tr>
      <w:tr>
        <w:trPr>
          <w:trHeight w:val="28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processes in place.</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5 years</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APROSS pending</w:t>
            </w:r>
          </w:p>
        </w:tc>
      </w:tr>
      <w:tr>
        <w:trPr>
          <w:trHeight w:val="284"/>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procedures, work method statements,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destruction.</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operational reports and training records.</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Electronic records</w:t>
            </w: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should be</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maintained in</w:t>
            </w: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readable format</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pending</w:t>
            </w: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destruction.</w:t>
            </w:r>
          </w:p>
        </w:tc>
      </w:tr>
      <w:tr>
        <w:trPr>
          <w:trHeight w:val="36"/>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44" w:name="page45"/>
    <w:bookmarkEnd w:id="44"/>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45</w:t>
            </w:r>
          </w:p>
        </w:tc>
      </w:tr>
    </w:tbl>
    <w:p>
      <w:pPr>
        <w:spacing w:after="0" w:line="200" w:lineRule="exact"/>
        <w:rPr>
          <w:sz w:val="20"/>
          <w:szCs w:val="20"/>
          <w:color w:val="auto"/>
        </w:rPr>
      </w:pPr>
    </w:p>
    <w:p>
      <w:pPr>
        <w:spacing w:after="0" w:line="314" w:lineRule="exact"/>
        <w:rPr>
          <w:sz w:val="20"/>
          <w:szCs w:val="20"/>
          <w:color w:val="auto"/>
        </w:rPr>
      </w:pPr>
    </w:p>
    <w:tbl>
      <w:tblPr>
        <w:tblLayout w:type="fixed"/>
        <w:tblInd w:w="10" w:type="dxa"/>
        <w:tblCellMar>
          <w:top w:w="0" w:type="dxa"/>
          <w:left w:w="0" w:type="dxa"/>
          <w:bottom w:w="0" w:type="dxa"/>
          <w:right w:w="0" w:type="dxa"/>
        </w:tblCellMar>
      </w:tblPr>
      <w:tr>
        <w:trPr>
          <w:trHeight w:val="411"/>
        </w:trPr>
        <w:tc>
          <w:tcPr>
            <w:tcW w:w="1120" w:type="dxa"/>
            <w:vAlign w:val="bottom"/>
            <w:tcBorders>
              <w:top w:val="single" w:sz="8" w:color="auto"/>
              <w:left w:val="single" w:sz="8" w:color="auto"/>
              <w:right w:val="single" w:sz="8" w:color="auto"/>
            </w:tcBorders>
          </w:tcPr>
          <w:p>
            <w:pPr>
              <w:ind w:left="120"/>
              <w:spacing w:after="0"/>
              <w:rPr>
                <w:sz w:val="20"/>
                <w:szCs w:val="20"/>
                <w:color w:val="auto"/>
              </w:rPr>
            </w:pPr>
            <w:r>
              <w:rPr>
                <w:rFonts w:ascii="Arial" w:cs="Arial" w:eastAsia="Arial" w:hAnsi="Arial"/>
                <w:sz w:val="22"/>
                <w:szCs w:val="22"/>
                <w:b w:val="1"/>
                <w:bCs w:val="1"/>
                <w:color w:val="auto"/>
              </w:rPr>
              <w:t>8.7.0</w:t>
            </w:r>
          </w:p>
        </w:tc>
        <w:tc>
          <w:tcPr>
            <w:tcW w:w="496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2"/>
                <w:szCs w:val="22"/>
                <w:b w:val="1"/>
                <w:bCs w:val="1"/>
                <w:color w:val="auto"/>
              </w:rPr>
              <w:t>Project Management and Governance</w:t>
            </w:r>
          </w:p>
        </w:tc>
        <w:tc>
          <w:tcPr>
            <w:tcW w:w="1840" w:type="dxa"/>
            <w:vAlign w:val="bottom"/>
            <w:tcBorders>
              <w:top w:val="single" w:sz="8" w:color="auto"/>
              <w:right w:val="single" w:sz="8" w:color="auto"/>
            </w:tcBorders>
          </w:tcPr>
          <w:p>
            <w:pPr>
              <w:spacing w:after="0"/>
              <w:rPr>
                <w:sz w:val="24"/>
                <w:szCs w:val="24"/>
                <w:color w:val="auto"/>
              </w:rPr>
            </w:pPr>
          </w:p>
        </w:tc>
        <w:tc>
          <w:tcPr>
            <w:tcW w:w="2120" w:type="dxa"/>
            <w:vAlign w:val="bottom"/>
            <w:tcBorders>
              <w:top w:val="single" w:sz="8" w:color="auto"/>
              <w:right w:val="single" w:sz="8" w:color="auto"/>
            </w:tcBorders>
          </w:tcPr>
          <w:p>
            <w:pPr>
              <w:spacing w:after="0"/>
              <w:rPr>
                <w:sz w:val="24"/>
                <w:szCs w:val="24"/>
                <w:color w:val="auto"/>
              </w:rPr>
            </w:pPr>
          </w:p>
        </w:tc>
      </w:tr>
      <w:tr>
        <w:trPr>
          <w:trHeight w:val="265"/>
        </w:trPr>
        <w:tc>
          <w:tcPr>
            <w:tcW w:w="1120" w:type="dxa"/>
            <w:vAlign w:val="bottom"/>
            <w:tcBorders>
              <w:left w:val="single" w:sz="8" w:color="auto"/>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relating to the overarching</w:t>
            </w:r>
          </w:p>
        </w:tc>
        <w:tc>
          <w:tcPr>
            <w:tcW w:w="1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spacing w:after="0"/>
              <w:rPr>
                <w:sz w:val="23"/>
                <w:szCs w:val="23"/>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endorsement, approval and management of the</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CDP.</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36"/>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r>
      <w:tr>
        <w:trPr>
          <w:trHeight w:val="343"/>
        </w:trPr>
        <w:tc>
          <w:tcPr>
            <w:tcW w:w="11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2"/>
                <w:szCs w:val="22"/>
                <w:b w:val="1"/>
                <w:bCs w:val="1"/>
                <w:color w:val="auto"/>
              </w:rPr>
              <w:t>8.7.1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project execution plan.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Transfer hardcopy</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Includes final copies of recommendations and</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Retain as State</w:t>
            </w:r>
          </w:p>
        </w:tc>
        <w:tc>
          <w:tcPr>
            <w:tcW w:w="212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or electronic copy</w:t>
            </w:r>
          </w:p>
        </w:tc>
      </w:tr>
      <w:tr>
        <w:trPr>
          <w:trHeight w:val="28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advice received from federal and state</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Archives.</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to PROV when</w:t>
            </w:r>
          </w:p>
        </w:tc>
      </w:tr>
      <w:tr>
        <w:trPr>
          <w:trHeight w:val="224"/>
        </w:trPr>
        <w:tc>
          <w:tcPr>
            <w:tcW w:w="1120" w:type="dxa"/>
            <w:vAlign w:val="bottom"/>
            <w:tcBorders>
              <w:left w:val="single" w:sz="8" w:color="auto"/>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4" w:lineRule="exact"/>
              <w:rPr>
                <w:sz w:val="20"/>
                <w:szCs w:val="20"/>
                <w:color w:val="auto"/>
              </w:rPr>
            </w:pPr>
            <w:r>
              <w:rPr>
                <w:rFonts w:ascii="Arial" w:cs="Arial" w:eastAsia="Arial" w:hAnsi="Arial"/>
                <w:sz w:val="22"/>
                <w:szCs w:val="22"/>
                <w:color w:val="auto"/>
              </w:rPr>
              <w:t>government.</w:t>
            </w:r>
          </w:p>
        </w:tc>
        <w:tc>
          <w:tcPr>
            <w:tcW w:w="1840" w:type="dxa"/>
            <w:vAlign w:val="bottom"/>
            <w:tcBorders>
              <w:right w:val="single" w:sz="8" w:color="auto"/>
            </w:tcBorders>
          </w:tcPr>
          <w:p>
            <w:pPr>
              <w:spacing w:after="0"/>
              <w:rPr>
                <w:sz w:val="19"/>
                <w:szCs w:val="19"/>
                <w:color w:val="auto"/>
              </w:rPr>
            </w:pPr>
          </w:p>
        </w:tc>
        <w:tc>
          <w:tcPr>
            <w:tcW w:w="2120" w:type="dxa"/>
            <w:vAlign w:val="bottom"/>
            <w:tcBorders>
              <w:right w:val="single" w:sz="8" w:color="auto"/>
            </w:tcBorders>
          </w:tcPr>
          <w:p>
            <w:pPr>
              <w:ind w:left="100"/>
              <w:spacing w:after="0" w:line="224" w:lineRule="exact"/>
              <w:rPr>
                <w:sz w:val="20"/>
                <w:szCs w:val="20"/>
                <w:color w:val="auto"/>
              </w:rPr>
            </w:pPr>
            <w:r>
              <w:rPr>
                <w:rFonts w:ascii="Arial" w:cs="Arial" w:eastAsia="Arial" w:hAnsi="Arial"/>
                <w:sz w:val="22"/>
                <w:szCs w:val="22"/>
                <w:color w:val="auto"/>
              </w:rPr>
              <w:t>administrative use</w:t>
            </w:r>
          </w:p>
        </w:tc>
      </w:tr>
      <w:tr>
        <w:trPr>
          <w:trHeight w:val="31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plans, sketches and drawings which</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has concluded.</w:t>
            </w:r>
          </w:p>
        </w:tc>
      </w:tr>
      <w:tr>
        <w:trPr>
          <w:trHeight w:val="255"/>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support the approved scope of works.</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Electronic records</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are to be</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transferred in VEO</w:t>
            </w: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format.</w:t>
            </w:r>
          </w:p>
        </w:tc>
      </w:tr>
      <w:tr>
        <w:trPr>
          <w:trHeight w:val="38"/>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r>
      <w:tr>
        <w:trPr>
          <w:trHeight w:val="391"/>
        </w:trPr>
        <w:tc>
          <w:tcPr>
            <w:tcW w:w="11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2"/>
                <w:szCs w:val="22"/>
                <w:b w:val="1"/>
                <w:bCs w:val="1"/>
                <w:color w:val="auto"/>
              </w:rPr>
              <w:t>8.8.0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Spatial Information Management</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262"/>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function of capturing and maintaining up to</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spacing w:after="0"/>
              <w:rPr>
                <w:sz w:val="22"/>
                <w:szCs w:val="22"/>
                <w:color w:val="auto"/>
              </w:rPr>
            </w:pP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date cadastral, topographic and other mapping</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spacing w:after="0"/>
              <w:rPr>
                <w:sz w:val="22"/>
                <w:szCs w:val="22"/>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details of Victorian lands and waterways in</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graphic and digital form associated with the</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spacing w:after="0"/>
              <w:rPr>
                <w:sz w:val="22"/>
                <w:szCs w:val="22"/>
                <w:color w:val="auto"/>
              </w:rPr>
            </w:pP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CDP.</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272"/>
        </w:trPr>
        <w:tc>
          <w:tcPr>
            <w:tcW w:w="1120" w:type="dxa"/>
            <w:vAlign w:val="bottom"/>
            <w:tcBorders>
              <w:left w:val="single" w:sz="8" w:color="auto"/>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relating to spatial information</w:t>
            </w:r>
          </w:p>
        </w:tc>
        <w:tc>
          <w:tcPr>
            <w:tcW w:w="1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spacing w:after="0"/>
              <w:rPr>
                <w:sz w:val="23"/>
                <w:szCs w:val="23"/>
                <w:color w:val="auto"/>
              </w:rPr>
            </w:pP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management, use the Port Operations section of</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spacing w:after="0"/>
              <w:rPr>
                <w:sz w:val="22"/>
                <w:szCs w:val="22"/>
                <w:color w:val="auto"/>
              </w:rPr>
            </w:pP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this RDA].</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36"/>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r>
      <w:tr>
        <w:trPr>
          <w:trHeight w:val="391"/>
        </w:trPr>
        <w:tc>
          <w:tcPr>
            <w:tcW w:w="11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2"/>
                <w:szCs w:val="22"/>
                <w:b w:val="1"/>
                <w:bCs w:val="1"/>
                <w:color w:val="auto"/>
              </w:rPr>
              <w:t>8.9.0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Stakeholder Relations</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265"/>
        </w:trPr>
        <w:tc>
          <w:tcPr>
            <w:tcW w:w="1120" w:type="dxa"/>
            <w:vAlign w:val="bottom"/>
            <w:tcBorders>
              <w:left w:val="single" w:sz="8" w:color="auto"/>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Information sessions and consultation with</w:t>
            </w:r>
          </w:p>
        </w:tc>
        <w:tc>
          <w:tcPr>
            <w:tcW w:w="1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spacing w:after="0"/>
              <w:rPr>
                <w:sz w:val="23"/>
                <w:szCs w:val="23"/>
                <w:color w:val="auto"/>
              </w:rPr>
            </w:pP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community or interest groups.</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31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274"/>
        </w:trPr>
        <w:tc>
          <w:tcPr>
            <w:tcW w:w="1120" w:type="dxa"/>
            <w:vAlign w:val="bottom"/>
            <w:tcBorders>
              <w:left w:val="single" w:sz="8" w:color="auto"/>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enquiries, use Community Relations section</w:t>
            </w:r>
          </w:p>
        </w:tc>
        <w:tc>
          <w:tcPr>
            <w:tcW w:w="1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spacing w:after="0"/>
              <w:rPr>
                <w:sz w:val="23"/>
                <w:szCs w:val="23"/>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of the General Retention &amp; Disposal Authority</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55"/>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 Records of Common Administrative</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spacing w:after="0"/>
              <w:rPr>
                <w:sz w:val="22"/>
                <w:szCs w:val="22"/>
                <w:color w:val="auto"/>
              </w:rPr>
            </w:pP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Functions].</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36"/>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r>
      <w:tr>
        <w:trPr>
          <w:trHeight w:val="341"/>
        </w:trPr>
        <w:tc>
          <w:tcPr>
            <w:tcW w:w="11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2"/>
                <w:szCs w:val="22"/>
                <w:b w:val="1"/>
                <w:bCs w:val="1"/>
                <w:color w:val="auto"/>
              </w:rPr>
              <w:t>8.9.1</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materials prepared for</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Transfer hardcopy</w:t>
            </w: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dissemination to community or interest groups,</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or electronic copy</w:t>
            </w:r>
          </w:p>
        </w:tc>
      </w:tr>
      <w:tr>
        <w:trPr>
          <w:trHeight w:val="28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as well as feedback and community comment</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Archives.</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to PROV when</w:t>
            </w:r>
          </w:p>
        </w:tc>
      </w:tr>
      <w:tr>
        <w:trPr>
          <w:trHeight w:val="222"/>
        </w:trPr>
        <w:tc>
          <w:tcPr>
            <w:tcW w:w="1120" w:type="dxa"/>
            <w:vAlign w:val="bottom"/>
            <w:tcBorders>
              <w:left w:val="single" w:sz="8" w:color="auto"/>
              <w:right w:val="single" w:sz="8" w:color="auto"/>
            </w:tcBorders>
          </w:tcPr>
          <w:p>
            <w:pPr>
              <w:spacing w:after="0"/>
              <w:rPr>
                <w:sz w:val="19"/>
                <w:szCs w:val="19"/>
                <w:color w:val="auto"/>
              </w:rPr>
            </w:pPr>
          </w:p>
        </w:tc>
        <w:tc>
          <w:tcPr>
            <w:tcW w:w="4960" w:type="dxa"/>
            <w:vAlign w:val="bottom"/>
            <w:tcBorders>
              <w:right w:val="single" w:sz="8" w:color="auto"/>
            </w:tcBorders>
          </w:tcPr>
          <w:p>
            <w:pPr>
              <w:ind w:left="100"/>
              <w:spacing w:after="0" w:line="222" w:lineRule="exact"/>
              <w:rPr>
                <w:sz w:val="20"/>
                <w:szCs w:val="20"/>
                <w:color w:val="auto"/>
              </w:rPr>
            </w:pPr>
            <w:r>
              <w:rPr>
                <w:rFonts w:ascii="Arial" w:cs="Arial" w:eastAsia="Arial" w:hAnsi="Arial"/>
                <w:sz w:val="22"/>
                <w:szCs w:val="22"/>
                <w:color w:val="auto"/>
              </w:rPr>
              <w:t>received from those groups.</w:t>
            </w:r>
          </w:p>
        </w:tc>
        <w:tc>
          <w:tcPr>
            <w:tcW w:w="1840" w:type="dxa"/>
            <w:vAlign w:val="bottom"/>
            <w:tcBorders>
              <w:right w:val="single" w:sz="8" w:color="auto"/>
            </w:tcBorders>
          </w:tcPr>
          <w:p>
            <w:pPr>
              <w:spacing w:after="0"/>
              <w:rPr>
                <w:sz w:val="19"/>
                <w:szCs w:val="19"/>
                <w:color w:val="auto"/>
              </w:rPr>
            </w:pPr>
          </w:p>
        </w:tc>
        <w:tc>
          <w:tcPr>
            <w:tcW w:w="2120" w:type="dxa"/>
            <w:vAlign w:val="bottom"/>
            <w:tcBorders>
              <w:right w:val="single" w:sz="8" w:color="auto"/>
            </w:tcBorders>
          </w:tcPr>
          <w:p>
            <w:pPr>
              <w:ind w:left="100"/>
              <w:spacing w:after="0" w:line="222" w:lineRule="exact"/>
              <w:rPr>
                <w:sz w:val="20"/>
                <w:szCs w:val="20"/>
                <w:color w:val="auto"/>
              </w:rPr>
            </w:pPr>
            <w:r>
              <w:rPr>
                <w:rFonts w:ascii="Arial" w:cs="Arial" w:eastAsia="Arial" w:hAnsi="Arial"/>
                <w:sz w:val="22"/>
                <w:szCs w:val="22"/>
                <w:color w:val="auto"/>
              </w:rPr>
              <w:t>administrative use</w:t>
            </w:r>
          </w:p>
        </w:tc>
      </w:tr>
      <w:tr>
        <w:trPr>
          <w:trHeight w:val="315"/>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notices, fact sheets, public bulletins,</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has concluded.</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information published on the internet,</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Electronic records</w:t>
            </w: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newsletters, presentations and notices for</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are to be</w:t>
            </w: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community information sessions.</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transferred in VEO</w:t>
            </w: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format.</w:t>
            </w:r>
          </w:p>
        </w:tc>
      </w:tr>
      <w:tr>
        <w:trPr>
          <w:trHeight w:val="36"/>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r>
      <w:tr>
        <w:trPr>
          <w:trHeight w:val="391"/>
        </w:trPr>
        <w:tc>
          <w:tcPr>
            <w:tcW w:w="11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2"/>
                <w:szCs w:val="22"/>
                <w:b w:val="1"/>
                <w:bCs w:val="1"/>
                <w:color w:val="auto"/>
              </w:rPr>
              <w:t>8.10.0</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Trial Dredge Program</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265"/>
        </w:trPr>
        <w:tc>
          <w:tcPr>
            <w:tcW w:w="1120" w:type="dxa"/>
            <w:vAlign w:val="bottom"/>
            <w:tcBorders>
              <w:left w:val="single" w:sz="8" w:color="auto"/>
              <w:right w:val="single" w:sz="8" w:color="auto"/>
            </w:tcBorders>
          </w:tcPr>
          <w:p>
            <w:pPr>
              <w:spacing w:after="0"/>
              <w:rPr>
                <w:sz w:val="23"/>
                <w:szCs w:val="23"/>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Activities related to the trial dredge program of</w:t>
            </w:r>
          </w:p>
        </w:tc>
        <w:tc>
          <w:tcPr>
            <w:tcW w:w="1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spacing w:after="0"/>
              <w:rPr>
                <w:sz w:val="23"/>
                <w:szCs w:val="23"/>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the bay took which place in 2005 to provide a</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better understanding of turbidity resulting from</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spacing w:after="0"/>
              <w:rPr>
                <w:sz w:val="22"/>
                <w:szCs w:val="22"/>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dredging as well as an opportunity to test</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spacing w:after="0"/>
              <w:rPr>
                <w:sz w:val="21"/>
                <w:szCs w:val="21"/>
                <w:color w:val="auto"/>
              </w:rPr>
            </w:pP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dredging technology on a small scale.</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38"/>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p>
      <w:pPr>
        <w:sectPr>
          <w:pgSz w:w="11900" w:h="16838" w:orient="portrait"/>
          <w:cols w:equalWidth="0" w:num="1">
            <w:col w:w="10020"/>
          </w:cols>
          <w:pgMar w:left="1020" w:top="692" w:right="866" w:bottom="160" w:gutter="0" w:footer="0" w:header="0"/>
          <w:type w:val="continuous"/>
        </w:sectPr>
      </w:pPr>
    </w:p>
    <w:bookmarkStart w:id="45" w:name="page46"/>
    <w:bookmarkEnd w:id="45"/>
    <w:tbl>
      <w:tblPr>
        <w:tblLayout w:type="fixed"/>
        <w:tblInd w:w="120" w:type="dxa"/>
        <w:tblCellMar>
          <w:top w:w="0" w:type="dxa"/>
          <w:left w:w="0" w:type="dxa"/>
          <w:bottom w:w="0" w:type="dxa"/>
          <w:right w:w="0" w:type="dxa"/>
        </w:tblCellMar>
      </w:tblPr>
      <w:tr>
        <w:trPr>
          <w:trHeight w:val="214"/>
        </w:trPr>
        <w:tc>
          <w:tcPr>
            <w:tcW w:w="7240" w:type="dxa"/>
            <w:vAlign w:val="bottom"/>
          </w:tcPr>
          <w:p>
            <w:pPr>
              <w:spacing w:after="0"/>
              <w:rPr>
                <w:sz w:val="20"/>
                <w:szCs w:val="20"/>
                <w:color w:val="auto"/>
              </w:rPr>
            </w:pPr>
            <w:r>
              <w:rPr>
                <w:rFonts w:ascii="Arial" w:cs="Arial" w:eastAsia="Arial" w:hAnsi="Arial"/>
                <w:sz w:val="16"/>
                <w:szCs w:val="16"/>
                <w:color w:val="008080"/>
              </w:rPr>
              <w:t>PROS 08/06 Retention &amp; Disposal Authority for Records of the Port of Melbourne</w:t>
            </w:r>
          </w:p>
        </w:tc>
        <w:tc>
          <w:tcPr>
            <w:tcW w:w="1700" w:type="dxa"/>
            <w:vAlign w:val="bottom"/>
          </w:tcPr>
          <w:p>
            <w:pPr>
              <w:jc w:val="right"/>
              <w:spacing w:after="0"/>
              <w:rPr>
                <w:sz w:val="20"/>
                <w:szCs w:val="20"/>
                <w:color w:val="auto"/>
              </w:rPr>
            </w:pPr>
            <w:r>
              <w:rPr>
                <w:rFonts w:ascii="Arial" w:cs="Arial" w:eastAsia="Arial" w:hAnsi="Arial"/>
                <w:sz w:val="16"/>
                <w:szCs w:val="16"/>
                <w:color w:val="008080"/>
              </w:rPr>
              <w:t>46</w:t>
            </w:r>
          </w:p>
        </w:tc>
      </w:tr>
    </w:tbl>
    <w:p>
      <w:pPr>
        <w:spacing w:after="0" w:line="200" w:lineRule="exact"/>
        <w:rPr>
          <w:sz w:val="20"/>
          <w:szCs w:val="20"/>
          <w:color w:val="auto"/>
        </w:rPr>
      </w:pPr>
    </w:p>
    <w:p>
      <w:pPr>
        <w:spacing w:after="0" w:line="314" w:lineRule="exact"/>
        <w:rPr>
          <w:sz w:val="20"/>
          <w:szCs w:val="20"/>
          <w:color w:val="auto"/>
        </w:rPr>
      </w:pPr>
    </w:p>
    <w:tbl>
      <w:tblPr>
        <w:tblLayout w:type="fixed"/>
        <w:tblInd w:w="10" w:type="dxa"/>
        <w:tblCellMar>
          <w:top w:w="0" w:type="dxa"/>
          <w:left w:w="0" w:type="dxa"/>
          <w:bottom w:w="0" w:type="dxa"/>
          <w:right w:w="0" w:type="dxa"/>
        </w:tblCellMar>
      </w:tblPr>
      <w:tr>
        <w:trPr>
          <w:trHeight w:val="361"/>
        </w:trPr>
        <w:tc>
          <w:tcPr>
            <w:tcW w:w="1120" w:type="dxa"/>
            <w:vAlign w:val="bottom"/>
            <w:tcBorders>
              <w:top w:val="single" w:sz="8" w:color="auto"/>
              <w:left w:val="single" w:sz="8" w:color="auto"/>
              <w:right w:val="single" w:sz="8" w:color="auto"/>
            </w:tcBorders>
          </w:tcPr>
          <w:p>
            <w:pPr>
              <w:jc w:val="right"/>
              <w:ind w:right="290"/>
              <w:spacing w:after="0"/>
              <w:rPr>
                <w:sz w:val="20"/>
                <w:szCs w:val="20"/>
                <w:color w:val="auto"/>
              </w:rPr>
            </w:pPr>
            <w:r>
              <w:rPr>
                <w:rFonts w:ascii="Arial" w:cs="Arial" w:eastAsia="Arial" w:hAnsi="Arial"/>
                <w:sz w:val="22"/>
                <w:szCs w:val="22"/>
                <w:b w:val="1"/>
                <w:bCs w:val="1"/>
                <w:color w:val="auto"/>
              </w:rPr>
              <w:t>8.10.1</w:t>
            </w:r>
          </w:p>
        </w:tc>
        <w:tc>
          <w:tcPr>
            <w:tcW w:w="496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2"/>
                <w:szCs w:val="22"/>
                <w:color w:val="auto"/>
              </w:rPr>
              <w:t>Records relating to the proposal and planning of</w:t>
            </w:r>
          </w:p>
        </w:tc>
        <w:tc>
          <w:tcPr>
            <w:tcW w:w="184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28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the trial dredge program.</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55"/>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consultant’s reports, environmental</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Archives.</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impact statements, scope of work</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84"/>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documentation, legal and government advice,</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approval for works and risk assessments.</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36"/>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left w:val="single" w:sz="8" w:color="auto"/>
              <w:right w:val="single" w:sz="8" w:color="auto"/>
            </w:tcBorders>
          </w:tcPr>
          <w:p>
            <w:pPr>
              <w:jc w:val="right"/>
              <w:ind w:right="290"/>
              <w:spacing w:after="0"/>
              <w:rPr>
                <w:sz w:val="20"/>
                <w:szCs w:val="20"/>
                <w:color w:val="auto"/>
              </w:rPr>
            </w:pPr>
            <w:r>
              <w:rPr>
                <w:rFonts w:ascii="Arial" w:cs="Arial" w:eastAsia="Arial" w:hAnsi="Arial"/>
                <w:sz w:val="22"/>
                <w:szCs w:val="22"/>
                <w:b w:val="1"/>
                <w:bCs w:val="1"/>
                <w:color w:val="auto"/>
              </w:rPr>
              <w:t>8.10.2</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relating to assessments, findings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Permanent</w:t>
            </w:r>
          </w:p>
        </w:tc>
        <w:tc>
          <w:tcPr>
            <w:tcW w:w="212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Transfer hardcopy</w:t>
            </w:r>
          </w:p>
        </w:tc>
        <w:tc>
          <w:tcPr>
            <w:tcW w:w="0" w:type="dxa"/>
            <w:vAlign w:val="bottom"/>
          </w:tcPr>
          <w:p>
            <w:pPr>
              <w:spacing w:after="0"/>
              <w:rPr>
                <w:sz w:val="1"/>
                <w:szCs w:val="1"/>
                <w:color w:val="auto"/>
              </w:rPr>
            </w:pPr>
          </w:p>
        </w:tc>
      </w:tr>
      <w:tr>
        <w:trPr>
          <w:trHeight w:val="125"/>
        </w:trPr>
        <w:tc>
          <w:tcPr>
            <w:tcW w:w="1120" w:type="dxa"/>
            <w:vAlign w:val="bottom"/>
            <w:tcBorders>
              <w:left w:val="single" w:sz="8" w:color="auto"/>
              <w:right w:val="single" w:sz="8" w:color="auto"/>
            </w:tcBorders>
          </w:tcPr>
          <w:p>
            <w:pPr>
              <w:spacing w:after="0"/>
              <w:rPr>
                <w:sz w:val="10"/>
                <w:szCs w:val="10"/>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recommendations in relation to the trial dredge</w:t>
            </w:r>
          </w:p>
        </w:tc>
        <w:tc>
          <w:tcPr>
            <w:tcW w:w="184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Retain as State</w:t>
            </w:r>
          </w:p>
        </w:tc>
        <w:tc>
          <w:tcPr>
            <w:tcW w:w="212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22"/>
        </w:trPr>
        <w:tc>
          <w:tcPr>
            <w:tcW w:w="1120" w:type="dxa"/>
            <w:vAlign w:val="bottom"/>
            <w:tcBorders>
              <w:left w:val="single" w:sz="8" w:color="auto"/>
              <w:right w:val="single" w:sz="8" w:color="auto"/>
            </w:tcBorders>
          </w:tcPr>
          <w:p>
            <w:pPr>
              <w:spacing w:after="0"/>
              <w:rPr>
                <w:sz w:val="19"/>
                <w:szCs w:val="19"/>
                <w:color w:val="auto"/>
              </w:rPr>
            </w:pPr>
          </w:p>
        </w:tc>
        <w:tc>
          <w:tcPr>
            <w:tcW w:w="4960" w:type="dxa"/>
            <w:vAlign w:val="bottom"/>
            <w:tcBorders>
              <w:right w:val="single" w:sz="8" w:color="auto"/>
            </w:tcBorders>
            <w:vMerge w:val="continue"/>
          </w:tcPr>
          <w:p>
            <w:pPr>
              <w:spacing w:after="0"/>
              <w:rPr>
                <w:sz w:val="19"/>
                <w:szCs w:val="19"/>
                <w:color w:val="auto"/>
              </w:rPr>
            </w:pPr>
          </w:p>
        </w:tc>
        <w:tc>
          <w:tcPr>
            <w:tcW w:w="1840" w:type="dxa"/>
            <w:vAlign w:val="bottom"/>
            <w:tcBorders>
              <w:right w:val="single" w:sz="8" w:color="auto"/>
            </w:tcBorders>
            <w:vMerge w:val="continue"/>
          </w:tcPr>
          <w:p>
            <w:pPr>
              <w:spacing w:after="0"/>
              <w:rPr>
                <w:sz w:val="19"/>
                <w:szCs w:val="19"/>
                <w:color w:val="auto"/>
              </w:rPr>
            </w:pPr>
          </w:p>
        </w:tc>
        <w:tc>
          <w:tcPr>
            <w:tcW w:w="2120" w:type="dxa"/>
            <w:vAlign w:val="bottom"/>
            <w:tcBorders>
              <w:right w:val="single" w:sz="8" w:color="auto"/>
            </w:tcBorders>
          </w:tcPr>
          <w:p>
            <w:pPr>
              <w:ind w:left="100"/>
              <w:spacing w:after="0" w:line="222" w:lineRule="exact"/>
              <w:rPr>
                <w:sz w:val="20"/>
                <w:szCs w:val="20"/>
                <w:color w:val="auto"/>
              </w:rPr>
            </w:pPr>
            <w:r>
              <w:rPr>
                <w:rFonts w:ascii="Arial" w:cs="Arial" w:eastAsia="Arial" w:hAnsi="Arial"/>
                <w:sz w:val="22"/>
                <w:szCs w:val="22"/>
                <w:color w:val="auto"/>
              </w:rPr>
              <w:t>or electronic copy</w:t>
            </w:r>
          </w:p>
        </w:tc>
        <w:tc>
          <w:tcPr>
            <w:tcW w:w="0" w:type="dxa"/>
            <w:vAlign w:val="bottom"/>
          </w:tcPr>
          <w:p>
            <w:pPr>
              <w:spacing w:after="0"/>
              <w:rPr>
                <w:sz w:val="1"/>
                <w:szCs w:val="1"/>
                <w:color w:val="auto"/>
              </w:rPr>
            </w:pP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program.</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Archives.</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to PROV when</w:t>
            </w:r>
          </w:p>
        </w:tc>
        <w:tc>
          <w:tcPr>
            <w:tcW w:w="0" w:type="dxa"/>
            <w:vAlign w:val="bottom"/>
          </w:tcPr>
          <w:p>
            <w:pPr>
              <w:spacing w:after="0"/>
              <w:rPr>
                <w:sz w:val="1"/>
                <w:szCs w:val="1"/>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Includes experimental summaries and reports,</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administrative use</w:t>
            </w:r>
          </w:p>
        </w:tc>
        <w:tc>
          <w:tcPr>
            <w:tcW w:w="0" w:type="dxa"/>
            <w:vAlign w:val="bottom"/>
          </w:tcPr>
          <w:p>
            <w:pPr>
              <w:spacing w:after="0"/>
              <w:rPr>
                <w:sz w:val="1"/>
                <w:szCs w:val="1"/>
                <w:color w:val="auto"/>
              </w:rPr>
            </w:pP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final and summary reports, program activity</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has concluded.</w:t>
            </w:r>
          </w:p>
        </w:tc>
        <w:tc>
          <w:tcPr>
            <w:tcW w:w="0" w:type="dxa"/>
            <w:vAlign w:val="bottom"/>
          </w:tcPr>
          <w:p>
            <w:pPr>
              <w:spacing w:after="0"/>
              <w:rPr>
                <w:sz w:val="1"/>
                <w:szCs w:val="1"/>
                <w:color w:val="auto"/>
              </w:rPr>
            </w:pPr>
          </w:p>
        </w:tc>
      </w:tr>
      <w:tr>
        <w:trPr>
          <w:trHeight w:val="217"/>
        </w:trPr>
        <w:tc>
          <w:tcPr>
            <w:tcW w:w="1120" w:type="dxa"/>
            <w:vAlign w:val="bottom"/>
            <w:tcBorders>
              <w:left w:val="single" w:sz="8" w:color="auto"/>
              <w:right w:val="single" w:sz="8" w:color="auto"/>
            </w:tcBorders>
          </w:tcPr>
          <w:p>
            <w:pPr>
              <w:spacing w:after="0"/>
              <w:rPr>
                <w:sz w:val="18"/>
                <w:szCs w:val="18"/>
                <w:color w:val="auto"/>
              </w:rPr>
            </w:pPr>
          </w:p>
        </w:tc>
        <w:tc>
          <w:tcPr>
            <w:tcW w:w="4960" w:type="dxa"/>
            <w:vAlign w:val="bottom"/>
            <w:tcBorders>
              <w:right w:val="single" w:sz="8" w:color="auto"/>
            </w:tcBorders>
          </w:tcPr>
          <w:p>
            <w:pPr>
              <w:ind w:left="100"/>
              <w:spacing w:after="0" w:line="218" w:lineRule="exact"/>
              <w:rPr>
                <w:sz w:val="20"/>
                <w:szCs w:val="20"/>
                <w:color w:val="auto"/>
              </w:rPr>
            </w:pPr>
            <w:r>
              <w:rPr>
                <w:rFonts w:ascii="Arial" w:cs="Arial" w:eastAsia="Arial" w:hAnsi="Arial"/>
                <w:sz w:val="22"/>
                <w:szCs w:val="22"/>
                <w:color w:val="auto"/>
              </w:rPr>
              <w:t>reports, trial dredge locations and schedules,</w:t>
            </w:r>
          </w:p>
        </w:tc>
        <w:tc>
          <w:tcPr>
            <w:tcW w:w="1840" w:type="dxa"/>
            <w:vAlign w:val="bottom"/>
            <w:tcBorders>
              <w:right w:val="single" w:sz="8" w:color="auto"/>
            </w:tcBorders>
          </w:tcPr>
          <w:p>
            <w:pPr>
              <w:spacing w:after="0"/>
              <w:rPr>
                <w:sz w:val="18"/>
                <w:szCs w:val="18"/>
                <w:color w:val="auto"/>
              </w:rPr>
            </w:pPr>
          </w:p>
        </w:tc>
        <w:tc>
          <w:tcPr>
            <w:tcW w:w="212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125"/>
        </w:trPr>
        <w:tc>
          <w:tcPr>
            <w:tcW w:w="1120" w:type="dxa"/>
            <w:vAlign w:val="bottom"/>
            <w:tcBorders>
              <w:left w:val="single" w:sz="8" w:color="auto"/>
              <w:right w:val="single" w:sz="8" w:color="auto"/>
            </w:tcBorders>
          </w:tcPr>
          <w:p>
            <w:pPr>
              <w:spacing w:after="0"/>
              <w:rPr>
                <w:sz w:val="10"/>
                <w:szCs w:val="10"/>
                <w:color w:val="auto"/>
              </w:rPr>
            </w:pPr>
          </w:p>
        </w:tc>
        <w:tc>
          <w:tcPr>
            <w:tcW w:w="4960" w:type="dxa"/>
            <w:vAlign w:val="bottom"/>
            <w:tcBorders>
              <w:right w:val="single" w:sz="8" w:color="auto"/>
            </w:tcBorders>
            <w:vMerge w:val="restart"/>
          </w:tcPr>
          <w:p>
            <w:pPr>
              <w:ind w:left="100"/>
              <w:spacing w:after="0" w:line="252" w:lineRule="exact"/>
              <w:rPr>
                <w:sz w:val="20"/>
                <w:szCs w:val="20"/>
                <w:color w:val="auto"/>
              </w:rPr>
            </w:pPr>
            <w:r>
              <w:rPr>
                <w:rFonts w:ascii="Arial" w:cs="Arial" w:eastAsia="Arial" w:hAnsi="Arial"/>
                <w:sz w:val="22"/>
                <w:szCs w:val="22"/>
                <w:color w:val="auto"/>
              </w:rPr>
              <w:t>field studies and monitoring, testing and</w:t>
            </w:r>
          </w:p>
        </w:tc>
        <w:tc>
          <w:tcPr>
            <w:tcW w:w="1840" w:type="dxa"/>
            <w:vAlign w:val="bottom"/>
            <w:tcBorders>
              <w:right w:val="single" w:sz="8" w:color="auto"/>
            </w:tcBorders>
          </w:tcPr>
          <w:p>
            <w:pPr>
              <w:spacing w:after="0"/>
              <w:rPr>
                <w:sz w:val="10"/>
                <w:szCs w:val="10"/>
                <w:color w:val="auto"/>
              </w:rPr>
            </w:pPr>
          </w:p>
        </w:tc>
        <w:tc>
          <w:tcPr>
            <w:tcW w:w="212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7"/>
        </w:trPr>
        <w:tc>
          <w:tcPr>
            <w:tcW w:w="1120" w:type="dxa"/>
            <w:vAlign w:val="bottom"/>
            <w:tcBorders>
              <w:left w:val="single" w:sz="8" w:color="auto"/>
              <w:right w:val="single" w:sz="8" w:color="auto"/>
            </w:tcBorders>
          </w:tcPr>
          <w:p>
            <w:pPr>
              <w:spacing w:after="0"/>
              <w:rPr>
                <w:sz w:val="11"/>
                <w:szCs w:val="11"/>
                <w:color w:val="auto"/>
              </w:rPr>
            </w:pPr>
          </w:p>
        </w:tc>
        <w:tc>
          <w:tcPr>
            <w:tcW w:w="4960" w:type="dxa"/>
            <w:vAlign w:val="bottom"/>
            <w:tcBorders>
              <w:right w:val="single" w:sz="8" w:color="auto"/>
            </w:tcBorders>
            <w:vMerge w:val="continue"/>
          </w:tcPr>
          <w:p>
            <w:pPr>
              <w:spacing w:after="0"/>
              <w:rPr>
                <w:sz w:val="11"/>
                <w:szCs w:val="11"/>
                <w:color w:val="auto"/>
              </w:rPr>
            </w:pPr>
          </w:p>
        </w:tc>
        <w:tc>
          <w:tcPr>
            <w:tcW w:w="1840" w:type="dxa"/>
            <w:vAlign w:val="bottom"/>
            <w:tcBorders>
              <w:right w:val="single" w:sz="8" w:color="auto"/>
            </w:tcBorders>
          </w:tcPr>
          <w:p>
            <w:pPr>
              <w:spacing w:after="0"/>
              <w:rPr>
                <w:sz w:val="11"/>
                <w:szCs w:val="11"/>
                <w:color w:val="auto"/>
              </w:rPr>
            </w:pPr>
          </w:p>
        </w:tc>
        <w:tc>
          <w:tcPr>
            <w:tcW w:w="212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are to be</w:t>
            </w:r>
          </w:p>
        </w:tc>
        <w:tc>
          <w:tcPr>
            <w:tcW w:w="0" w:type="dxa"/>
            <w:vAlign w:val="bottom"/>
          </w:tcPr>
          <w:p>
            <w:pPr>
              <w:spacing w:after="0"/>
              <w:rPr>
                <w:sz w:val="1"/>
                <w:szCs w:val="1"/>
                <w:color w:val="auto"/>
              </w:rPr>
            </w:pPr>
          </w:p>
        </w:tc>
      </w:tr>
      <w:tr>
        <w:trPr>
          <w:trHeight w:val="127"/>
        </w:trPr>
        <w:tc>
          <w:tcPr>
            <w:tcW w:w="1120" w:type="dxa"/>
            <w:vAlign w:val="bottom"/>
            <w:tcBorders>
              <w:left w:val="single" w:sz="8" w:color="auto"/>
              <w:right w:val="single" w:sz="8" w:color="auto"/>
            </w:tcBorders>
          </w:tcPr>
          <w:p>
            <w:pPr>
              <w:spacing w:after="0"/>
              <w:rPr>
                <w:sz w:val="11"/>
                <w:szCs w:val="11"/>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subsequent results, surveys of mammals,</w:t>
            </w:r>
          </w:p>
        </w:tc>
        <w:tc>
          <w:tcPr>
            <w:tcW w:w="1840" w:type="dxa"/>
            <w:vAlign w:val="bottom"/>
            <w:tcBorders>
              <w:right w:val="single" w:sz="8" w:color="auto"/>
            </w:tcBorders>
          </w:tcPr>
          <w:p>
            <w:pPr>
              <w:spacing w:after="0"/>
              <w:rPr>
                <w:sz w:val="11"/>
                <w:szCs w:val="11"/>
                <w:color w:val="auto"/>
              </w:rPr>
            </w:pPr>
          </w:p>
        </w:tc>
        <w:tc>
          <w:tcPr>
            <w:tcW w:w="212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7"/>
        </w:trPr>
        <w:tc>
          <w:tcPr>
            <w:tcW w:w="1120" w:type="dxa"/>
            <w:vAlign w:val="bottom"/>
            <w:tcBorders>
              <w:left w:val="single" w:sz="8" w:color="auto"/>
              <w:right w:val="single" w:sz="8" w:color="auto"/>
            </w:tcBorders>
          </w:tcPr>
          <w:p>
            <w:pPr>
              <w:spacing w:after="0"/>
              <w:rPr>
                <w:sz w:val="11"/>
                <w:szCs w:val="11"/>
                <w:color w:val="auto"/>
              </w:rPr>
            </w:pPr>
          </w:p>
        </w:tc>
        <w:tc>
          <w:tcPr>
            <w:tcW w:w="4960" w:type="dxa"/>
            <w:vAlign w:val="bottom"/>
            <w:tcBorders>
              <w:right w:val="single" w:sz="8" w:color="auto"/>
            </w:tcBorders>
            <w:vMerge w:val="continue"/>
          </w:tcPr>
          <w:p>
            <w:pPr>
              <w:spacing w:after="0"/>
              <w:rPr>
                <w:sz w:val="11"/>
                <w:szCs w:val="11"/>
                <w:color w:val="auto"/>
              </w:rPr>
            </w:pPr>
          </w:p>
        </w:tc>
        <w:tc>
          <w:tcPr>
            <w:tcW w:w="1840" w:type="dxa"/>
            <w:vAlign w:val="bottom"/>
            <w:tcBorders>
              <w:right w:val="single" w:sz="8" w:color="auto"/>
            </w:tcBorders>
          </w:tcPr>
          <w:p>
            <w:pPr>
              <w:spacing w:after="0"/>
              <w:rPr>
                <w:sz w:val="11"/>
                <w:szCs w:val="11"/>
                <w:color w:val="auto"/>
              </w:rPr>
            </w:pPr>
          </w:p>
        </w:tc>
        <w:tc>
          <w:tcPr>
            <w:tcW w:w="2120" w:type="dxa"/>
            <w:vAlign w:val="bottom"/>
            <w:tcBorders>
              <w:right w:val="single" w:sz="8" w:color="auto"/>
            </w:tcBorders>
            <w:vMerge w:val="restart"/>
          </w:tcPr>
          <w:p>
            <w:pPr>
              <w:ind w:left="100"/>
              <w:spacing w:after="0" w:line="252" w:lineRule="exact"/>
              <w:rPr>
                <w:sz w:val="20"/>
                <w:szCs w:val="20"/>
                <w:color w:val="auto"/>
              </w:rPr>
            </w:pPr>
            <w:r>
              <w:rPr>
                <w:rFonts w:ascii="Arial" w:cs="Arial" w:eastAsia="Arial" w:hAnsi="Arial"/>
                <w:sz w:val="22"/>
                <w:szCs w:val="22"/>
                <w:color w:val="auto"/>
              </w:rPr>
              <w:t>transferred in VEO</w:t>
            </w:r>
          </w:p>
        </w:tc>
        <w:tc>
          <w:tcPr>
            <w:tcW w:w="0" w:type="dxa"/>
            <w:vAlign w:val="bottom"/>
          </w:tcPr>
          <w:p>
            <w:pPr>
              <w:spacing w:after="0"/>
              <w:rPr>
                <w:sz w:val="1"/>
                <w:szCs w:val="1"/>
                <w:color w:val="auto"/>
              </w:rPr>
            </w:pPr>
          </w:p>
        </w:tc>
      </w:tr>
      <w:tr>
        <w:trPr>
          <w:trHeight w:val="125"/>
        </w:trPr>
        <w:tc>
          <w:tcPr>
            <w:tcW w:w="1120" w:type="dxa"/>
            <w:vAlign w:val="bottom"/>
            <w:tcBorders>
              <w:left w:val="single" w:sz="8" w:color="auto"/>
              <w:right w:val="single" w:sz="8" w:color="auto"/>
            </w:tcBorders>
          </w:tcPr>
          <w:p>
            <w:pPr>
              <w:spacing w:after="0"/>
              <w:rPr>
                <w:sz w:val="10"/>
                <w:szCs w:val="10"/>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sediment trap surveys and maps of program</w:t>
            </w:r>
          </w:p>
        </w:tc>
        <w:tc>
          <w:tcPr>
            <w:tcW w:w="1840" w:type="dxa"/>
            <w:vAlign w:val="bottom"/>
            <w:tcBorders>
              <w:right w:val="single" w:sz="8" w:color="auto"/>
            </w:tcBorders>
          </w:tcPr>
          <w:p>
            <w:pPr>
              <w:spacing w:after="0"/>
              <w:rPr>
                <w:sz w:val="10"/>
                <w:szCs w:val="10"/>
                <w:color w:val="auto"/>
              </w:rPr>
            </w:pPr>
          </w:p>
        </w:tc>
        <w:tc>
          <w:tcPr>
            <w:tcW w:w="212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8"/>
        </w:trPr>
        <w:tc>
          <w:tcPr>
            <w:tcW w:w="1120" w:type="dxa"/>
            <w:vAlign w:val="bottom"/>
            <w:tcBorders>
              <w:left w:val="single" w:sz="8" w:color="auto"/>
              <w:right w:val="single" w:sz="8" w:color="auto"/>
            </w:tcBorders>
          </w:tcPr>
          <w:p>
            <w:pPr>
              <w:spacing w:after="0"/>
              <w:rPr>
                <w:sz w:val="11"/>
                <w:szCs w:val="11"/>
                <w:color w:val="auto"/>
              </w:rPr>
            </w:pPr>
          </w:p>
        </w:tc>
        <w:tc>
          <w:tcPr>
            <w:tcW w:w="4960" w:type="dxa"/>
            <w:vAlign w:val="bottom"/>
            <w:tcBorders>
              <w:right w:val="single" w:sz="8" w:color="auto"/>
            </w:tcBorders>
            <w:vMerge w:val="continue"/>
          </w:tcPr>
          <w:p>
            <w:pPr>
              <w:spacing w:after="0"/>
              <w:rPr>
                <w:sz w:val="11"/>
                <w:szCs w:val="11"/>
                <w:color w:val="auto"/>
              </w:rPr>
            </w:pPr>
          </w:p>
        </w:tc>
        <w:tc>
          <w:tcPr>
            <w:tcW w:w="1840" w:type="dxa"/>
            <w:vAlign w:val="bottom"/>
            <w:tcBorders>
              <w:right w:val="single" w:sz="8" w:color="auto"/>
            </w:tcBorders>
          </w:tcPr>
          <w:p>
            <w:pPr>
              <w:spacing w:after="0"/>
              <w:rPr>
                <w:sz w:val="11"/>
                <w:szCs w:val="11"/>
                <w:color w:val="auto"/>
              </w:rPr>
            </w:pPr>
          </w:p>
        </w:tc>
        <w:tc>
          <w:tcPr>
            <w:tcW w:w="212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format.</w:t>
            </w:r>
          </w:p>
        </w:tc>
        <w:tc>
          <w:tcPr>
            <w:tcW w:w="0" w:type="dxa"/>
            <w:vAlign w:val="bottom"/>
          </w:tcPr>
          <w:p>
            <w:pPr>
              <w:spacing w:after="0"/>
              <w:rPr>
                <w:sz w:val="1"/>
                <w:szCs w:val="1"/>
                <w:color w:val="auto"/>
              </w:rPr>
            </w:pPr>
          </w:p>
        </w:tc>
      </w:tr>
      <w:tr>
        <w:trPr>
          <w:trHeight w:val="165"/>
        </w:trPr>
        <w:tc>
          <w:tcPr>
            <w:tcW w:w="1120" w:type="dxa"/>
            <w:vAlign w:val="bottom"/>
            <w:tcBorders>
              <w:left w:val="single" w:sz="8" w:color="auto"/>
              <w:right w:val="single" w:sz="8" w:color="auto"/>
            </w:tcBorders>
          </w:tcPr>
          <w:p>
            <w:pPr>
              <w:spacing w:after="0"/>
              <w:rPr>
                <w:sz w:val="14"/>
                <w:szCs w:val="14"/>
                <w:color w:val="auto"/>
              </w:rPr>
            </w:pPr>
          </w:p>
        </w:tc>
        <w:tc>
          <w:tcPr>
            <w:tcW w:w="4960" w:type="dxa"/>
            <w:vAlign w:val="bottom"/>
            <w:tcBorders>
              <w:right w:val="single" w:sz="8" w:color="auto"/>
            </w:tcBorders>
            <w:vMerge w:val="restart"/>
          </w:tcPr>
          <w:p>
            <w:pPr>
              <w:ind w:left="100"/>
              <w:spacing w:after="0"/>
              <w:rPr>
                <w:sz w:val="20"/>
                <w:szCs w:val="20"/>
                <w:color w:val="auto"/>
              </w:rPr>
            </w:pPr>
            <w:r>
              <w:rPr>
                <w:rFonts w:ascii="Arial" w:cs="Arial" w:eastAsia="Arial" w:hAnsi="Arial"/>
                <w:sz w:val="22"/>
                <w:szCs w:val="22"/>
                <w:color w:val="auto"/>
              </w:rPr>
              <w:t>works</w:t>
            </w:r>
          </w:p>
        </w:tc>
        <w:tc>
          <w:tcPr>
            <w:tcW w:w="1840" w:type="dxa"/>
            <w:vAlign w:val="bottom"/>
            <w:tcBorders>
              <w:right w:val="single" w:sz="8" w:color="auto"/>
            </w:tcBorders>
          </w:tcPr>
          <w:p>
            <w:pPr>
              <w:spacing w:after="0"/>
              <w:rPr>
                <w:sz w:val="14"/>
                <w:szCs w:val="14"/>
                <w:color w:val="auto"/>
              </w:rPr>
            </w:pPr>
          </w:p>
        </w:tc>
        <w:tc>
          <w:tcPr>
            <w:tcW w:w="2120" w:type="dxa"/>
            <w:vAlign w:val="bottom"/>
            <w:tcBorders>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28"/>
        </w:trPr>
        <w:tc>
          <w:tcPr>
            <w:tcW w:w="1120" w:type="dxa"/>
            <w:vAlign w:val="bottom"/>
            <w:tcBorders>
              <w:left w:val="single" w:sz="8" w:color="auto"/>
              <w:right w:val="single" w:sz="8" w:color="auto"/>
            </w:tcBorders>
          </w:tcPr>
          <w:p>
            <w:pPr>
              <w:spacing w:after="0"/>
              <w:rPr>
                <w:sz w:val="11"/>
                <w:szCs w:val="11"/>
                <w:color w:val="auto"/>
              </w:rPr>
            </w:pPr>
          </w:p>
        </w:tc>
        <w:tc>
          <w:tcPr>
            <w:tcW w:w="4960" w:type="dxa"/>
            <w:vAlign w:val="bottom"/>
            <w:tcBorders>
              <w:right w:val="single" w:sz="8" w:color="auto"/>
            </w:tcBorders>
            <w:vMerge w:val="continue"/>
          </w:tcPr>
          <w:p>
            <w:pPr>
              <w:spacing w:after="0"/>
              <w:rPr>
                <w:sz w:val="11"/>
                <w:szCs w:val="11"/>
                <w:color w:val="auto"/>
              </w:rPr>
            </w:pPr>
          </w:p>
        </w:tc>
        <w:tc>
          <w:tcPr>
            <w:tcW w:w="1840" w:type="dxa"/>
            <w:vAlign w:val="bottom"/>
            <w:tcBorders>
              <w:right w:val="single" w:sz="8" w:color="auto"/>
            </w:tcBorders>
          </w:tcPr>
          <w:p>
            <w:pPr>
              <w:spacing w:after="0"/>
              <w:rPr>
                <w:sz w:val="11"/>
                <w:szCs w:val="11"/>
                <w:color w:val="auto"/>
              </w:rPr>
            </w:pPr>
          </w:p>
        </w:tc>
        <w:tc>
          <w:tcPr>
            <w:tcW w:w="2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6"/>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1"/>
        </w:trPr>
        <w:tc>
          <w:tcPr>
            <w:tcW w:w="1120" w:type="dxa"/>
            <w:vAlign w:val="bottom"/>
            <w:tcBorders>
              <w:left w:val="single" w:sz="8" w:color="auto"/>
              <w:right w:val="single" w:sz="8" w:color="auto"/>
            </w:tcBorders>
          </w:tcPr>
          <w:p>
            <w:pPr>
              <w:jc w:val="right"/>
              <w:ind w:right="290"/>
              <w:spacing w:after="0"/>
              <w:rPr>
                <w:sz w:val="20"/>
                <w:szCs w:val="20"/>
                <w:color w:val="auto"/>
              </w:rPr>
            </w:pPr>
            <w:r>
              <w:rPr>
                <w:rFonts w:ascii="Arial" w:cs="Arial" w:eastAsia="Arial" w:hAnsi="Arial"/>
                <w:sz w:val="22"/>
                <w:szCs w:val="22"/>
                <w:b w:val="1"/>
                <w:bCs w:val="1"/>
                <w:color w:val="auto"/>
              </w:rPr>
              <w:t>8.10.3</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Records documenting the maintenance and</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repair of machinery and technology used for the</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7 years</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84"/>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Trial Dredge Program.</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after last action.</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Includes findings and recommendations for</w:t>
            </w: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repair as required and reports advising of usage</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and functionality.</w:t>
            </w: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3"/>
        </w:trPr>
        <w:tc>
          <w:tcPr>
            <w:tcW w:w="1120" w:type="dxa"/>
            <w:vAlign w:val="bottom"/>
            <w:tcBorders>
              <w:left w:val="single" w:sz="8" w:color="auto"/>
              <w:right w:val="single" w:sz="8" w:color="auto"/>
            </w:tcBorders>
          </w:tcPr>
          <w:p>
            <w:pPr>
              <w:jc w:val="right"/>
              <w:ind w:right="290"/>
              <w:spacing w:after="0"/>
              <w:rPr>
                <w:sz w:val="20"/>
                <w:szCs w:val="20"/>
                <w:color w:val="auto"/>
              </w:rPr>
            </w:pPr>
            <w:r>
              <w:rPr>
                <w:rFonts w:ascii="Arial" w:cs="Arial" w:eastAsia="Arial" w:hAnsi="Arial"/>
                <w:sz w:val="22"/>
                <w:szCs w:val="22"/>
                <w:b w:val="1"/>
                <w:bCs w:val="1"/>
                <w:color w:val="auto"/>
              </w:rPr>
              <w:t>8.10.4</w:t>
            </w: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Draft and supporting documentation in relation</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Temporary</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Hold in agency or</w:t>
            </w:r>
          </w:p>
        </w:tc>
        <w:tc>
          <w:tcPr>
            <w:tcW w:w="0" w:type="dxa"/>
            <w:vAlign w:val="bottom"/>
          </w:tcPr>
          <w:p>
            <w:pPr>
              <w:spacing w:after="0"/>
              <w:rPr>
                <w:sz w:val="1"/>
                <w:szCs w:val="1"/>
                <w:color w:val="auto"/>
              </w:rPr>
            </w:pPr>
          </w:p>
        </w:tc>
      </w:tr>
      <w:tr>
        <w:trPr>
          <w:trHeight w:val="28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to the trial dredge program. These records have</w:t>
            </w:r>
          </w:p>
        </w:tc>
        <w:tc>
          <w:tcPr>
            <w:tcW w:w="184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Destroy 7 years</w:t>
            </w: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APROSS pending</w:t>
            </w:r>
          </w:p>
        </w:tc>
        <w:tc>
          <w:tcPr>
            <w:tcW w:w="0" w:type="dxa"/>
            <w:vAlign w:val="bottom"/>
          </w:tcPr>
          <w:p>
            <w:pPr>
              <w:spacing w:after="0"/>
              <w:rPr>
                <w:sz w:val="1"/>
                <w:szCs w:val="1"/>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been collated and formed part of final</w:t>
            </w:r>
          </w:p>
        </w:tc>
        <w:tc>
          <w:tcPr>
            <w:tcW w:w="184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after last action.</w:t>
            </w:r>
          </w:p>
        </w:tc>
        <w:tc>
          <w:tcPr>
            <w:tcW w:w="212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284"/>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documentation.</w:t>
            </w: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Electronic records</w:t>
            </w:r>
          </w:p>
        </w:tc>
        <w:tc>
          <w:tcPr>
            <w:tcW w:w="0" w:type="dxa"/>
            <w:vAlign w:val="bottom"/>
          </w:tcPr>
          <w:p>
            <w:pPr>
              <w:spacing w:after="0"/>
              <w:rPr>
                <w:sz w:val="1"/>
                <w:szCs w:val="1"/>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should be</w:t>
            </w:r>
          </w:p>
        </w:tc>
        <w:tc>
          <w:tcPr>
            <w:tcW w:w="0" w:type="dxa"/>
            <w:vAlign w:val="bottom"/>
          </w:tcPr>
          <w:p>
            <w:pPr>
              <w:spacing w:after="0"/>
              <w:rPr>
                <w:sz w:val="1"/>
                <w:szCs w:val="1"/>
                <w:color w:val="auto"/>
              </w:rPr>
            </w:pPr>
          </w:p>
        </w:tc>
      </w:tr>
      <w:tr>
        <w:trPr>
          <w:trHeight w:val="254"/>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maintained in</w:t>
            </w:r>
          </w:p>
        </w:tc>
        <w:tc>
          <w:tcPr>
            <w:tcW w:w="0" w:type="dxa"/>
            <w:vAlign w:val="bottom"/>
          </w:tcPr>
          <w:p>
            <w:pPr>
              <w:spacing w:after="0"/>
              <w:rPr>
                <w:sz w:val="1"/>
                <w:szCs w:val="1"/>
                <w:color w:val="auto"/>
              </w:rPr>
            </w:pPr>
          </w:p>
        </w:tc>
      </w:tr>
      <w:tr>
        <w:trPr>
          <w:trHeight w:val="252"/>
        </w:trPr>
        <w:tc>
          <w:tcPr>
            <w:tcW w:w="1120" w:type="dxa"/>
            <w:vAlign w:val="bottom"/>
            <w:tcBorders>
              <w:left w:val="single" w:sz="8" w:color="auto"/>
              <w:right w:val="single" w:sz="8" w:color="auto"/>
            </w:tcBorders>
          </w:tcPr>
          <w:p>
            <w:pPr>
              <w:spacing w:after="0"/>
              <w:rPr>
                <w:sz w:val="21"/>
                <w:szCs w:val="21"/>
                <w:color w:val="auto"/>
              </w:rPr>
            </w:pPr>
          </w:p>
        </w:tc>
        <w:tc>
          <w:tcPr>
            <w:tcW w:w="4960" w:type="dxa"/>
            <w:vAlign w:val="bottom"/>
            <w:tcBorders>
              <w:right w:val="single" w:sz="8" w:color="auto"/>
            </w:tcBorders>
          </w:tcPr>
          <w:p>
            <w:pPr>
              <w:spacing w:after="0"/>
              <w:rPr>
                <w:sz w:val="21"/>
                <w:szCs w:val="21"/>
                <w:color w:val="auto"/>
              </w:rPr>
            </w:pPr>
          </w:p>
        </w:tc>
        <w:tc>
          <w:tcPr>
            <w:tcW w:w="184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line="252" w:lineRule="exact"/>
              <w:rPr>
                <w:sz w:val="20"/>
                <w:szCs w:val="20"/>
                <w:color w:val="auto"/>
              </w:rPr>
            </w:pPr>
            <w:r>
              <w:rPr>
                <w:rFonts w:ascii="Arial" w:cs="Arial" w:eastAsia="Arial" w:hAnsi="Arial"/>
                <w:sz w:val="22"/>
                <w:szCs w:val="22"/>
                <w:color w:val="auto"/>
              </w:rPr>
              <w:t>readable format</w:t>
            </w:r>
          </w:p>
        </w:tc>
        <w:tc>
          <w:tcPr>
            <w:tcW w:w="0" w:type="dxa"/>
            <w:vAlign w:val="bottom"/>
          </w:tcPr>
          <w:p>
            <w:pPr>
              <w:spacing w:after="0"/>
              <w:rPr>
                <w:sz w:val="1"/>
                <w:szCs w:val="1"/>
                <w:color w:val="auto"/>
              </w:rPr>
            </w:pPr>
          </w:p>
        </w:tc>
      </w:tr>
      <w:tr>
        <w:trPr>
          <w:trHeight w:val="255"/>
        </w:trPr>
        <w:tc>
          <w:tcPr>
            <w:tcW w:w="1120" w:type="dxa"/>
            <w:vAlign w:val="bottom"/>
            <w:tcBorders>
              <w:left w:val="single" w:sz="8" w:color="auto"/>
              <w:right w:val="single" w:sz="8" w:color="auto"/>
            </w:tcBorders>
          </w:tcPr>
          <w:p>
            <w:pPr>
              <w:spacing w:after="0"/>
              <w:rPr>
                <w:sz w:val="22"/>
                <w:szCs w:val="22"/>
                <w:color w:val="auto"/>
              </w:rPr>
            </w:pPr>
          </w:p>
        </w:tc>
        <w:tc>
          <w:tcPr>
            <w:tcW w:w="496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pending</w:t>
            </w:r>
          </w:p>
        </w:tc>
        <w:tc>
          <w:tcPr>
            <w:tcW w:w="0" w:type="dxa"/>
            <w:vAlign w:val="bottom"/>
          </w:tcPr>
          <w:p>
            <w:pPr>
              <w:spacing w:after="0"/>
              <w:rPr>
                <w:sz w:val="1"/>
                <w:szCs w:val="1"/>
                <w:color w:val="auto"/>
              </w:rPr>
            </w:pPr>
          </w:p>
        </w:tc>
      </w:tr>
      <w:tr>
        <w:trPr>
          <w:trHeight w:val="292"/>
        </w:trPr>
        <w:tc>
          <w:tcPr>
            <w:tcW w:w="1120" w:type="dxa"/>
            <w:vAlign w:val="bottom"/>
            <w:tcBorders>
              <w:left w:val="single" w:sz="8" w:color="auto"/>
              <w:right w:val="single" w:sz="8" w:color="auto"/>
            </w:tcBorders>
          </w:tcPr>
          <w:p>
            <w:pPr>
              <w:spacing w:after="0"/>
              <w:rPr>
                <w:sz w:val="24"/>
                <w:szCs w:val="24"/>
                <w:color w:val="auto"/>
              </w:rPr>
            </w:pPr>
          </w:p>
        </w:tc>
        <w:tc>
          <w:tcPr>
            <w:tcW w:w="49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Arial" w:cs="Arial" w:eastAsia="Arial" w:hAnsi="Arial"/>
                <w:sz w:val="22"/>
                <w:szCs w:val="22"/>
                <w:color w:val="auto"/>
              </w:rPr>
              <w:t>destruction.</w:t>
            </w:r>
          </w:p>
        </w:tc>
        <w:tc>
          <w:tcPr>
            <w:tcW w:w="0" w:type="dxa"/>
            <w:vAlign w:val="bottom"/>
          </w:tcPr>
          <w:p>
            <w:pPr>
              <w:spacing w:after="0"/>
              <w:rPr>
                <w:sz w:val="1"/>
                <w:szCs w:val="1"/>
                <w:color w:val="auto"/>
              </w:rPr>
            </w:pPr>
          </w:p>
        </w:tc>
      </w:tr>
      <w:tr>
        <w:trPr>
          <w:trHeight w:val="36"/>
        </w:trPr>
        <w:tc>
          <w:tcPr>
            <w:tcW w:w="1120" w:type="dxa"/>
            <w:vAlign w:val="bottom"/>
            <w:tcBorders>
              <w:left w:val="single" w:sz="8" w:color="auto"/>
              <w:bottom w:val="single" w:sz="8" w:color="auto"/>
              <w:right w:val="single" w:sz="8" w:color="auto"/>
            </w:tcBorders>
          </w:tcPr>
          <w:p>
            <w:pPr>
              <w:spacing w:after="0"/>
              <w:rPr>
                <w:sz w:val="3"/>
                <w:szCs w:val="3"/>
                <w:color w:val="auto"/>
              </w:rPr>
            </w:pPr>
          </w:p>
        </w:tc>
        <w:tc>
          <w:tcPr>
            <w:tcW w:w="496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525"/>
        </w:trPr>
        <w:tc>
          <w:tcPr>
            <w:tcW w:w="1120" w:type="dxa"/>
            <w:vAlign w:val="bottom"/>
          </w:tcPr>
          <w:p>
            <w:pPr>
              <w:spacing w:after="0"/>
              <w:rPr>
                <w:sz w:val="24"/>
                <w:szCs w:val="24"/>
                <w:color w:val="auto"/>
              </w:rPr>
            </w:pPr>
          </w:p>
        </w:tc>
        <w:tc>
          <w:tcPr>
            <w:tcW w:w="4960" w:type="dxa"/>
            <w:vAlign w:val="bottom"/>
          </w:tcPr>
          <w:p>
            <w:pPr>
              <w:ind w:left="2760"/>
              <w:spacing w:after="0"/>
              <w:rPr>
                <w:sz w:val="20"/>
                <w:szCs w:val="20"/>
                <w:color w:val="auto"/>
              </w:rPr>
            </w:pPr>
            <w:r>
              <w:rPr>
                <w:rFonts w:ascii="Arial" w:cs="Arial" w:eastAsia="Arial" w:hAnsi="Arial"/>
                <w:sz w:val="22"/>
                <w:szCs w:val="22"/>
                <w:b w:val="1"/>
                <w:bCs w:val="1"/>
                <w:color w:val="auto"/>
              </w:rPr>
              <w:t>End of Document</w:t>
            </w:r>
          </w:p>
        </w:tc>
        <w:tc>
          <w:tcPr>
            <w:tcW w:w="1840" w:type="dxa"/>
            <w:vAlign w:val="bottom"/>
          </w:tcPr>
          <w:p>
            <w:pPr>
              <w:spacing w:after="0"/>
              <w:rPr>
                <w:sz w:val="24"/>
                <w:szCs w:val="24"/>
                <w:color w:val="auto"/>
              </w:rPr>
            </w:pPr>
          </w:p>
        </w:tc>
        <w:tc>
          <w:tcPr>
            <w:tcW w:w="21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020"/>
          </w:cols>
          <w:pgMar w:left="1020" w:top="692" w:right="866" w:bottom="1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120"/>
        <w:spacing w:after="0"/>
        <w:rPr>
          <w:sz w:val="20"/>
          <w:szCs w:val="20"/>
          <w:color w:val="auto"/>
        </w:rPr>
      </w:pPr>
      <w:r>
        <w:rPr>
          <w:rFonts w:ascii="Arial" w:cs="Arial" w:eastAsia="Arial" w:hAnsi="Arial"/>
          <w:sz w:val="16"/>
          <w:szCs w:val="16"/>
          <w:color w:val="008080"/>
        </w:rPr>
        <w:t>Public Record Office Victoria</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i w:val="1"/>
          <w:iCs w:val="1"/>
          <w:color w:val="008080"/>
        </w:rPr>
        <w:t>©</w:t>
      </w:r>
      <w:r>
        <w:rPr>
          <w:rFonts w:ascii="Arial" w:cs="Arial" w:eastAsia="Arial" w:hAnsi="Arial"/>
          <w:sz w:val="16"/>
          <w:szCs w:val="16"/>
          <w:color w:val="008080"/>
        </w:rPr>
        <w:t xml:space="preserve"> State of Victoria 2018</w:t>
      </w:r>
    </w:p>
    <w:sectPr>
      <w:pgSz w:w="11900" w:h="16838" w:orient="portrait"/>
      <w:cols w:equalWidth="0" w:num="1">
        <w:col w:w="10020"/>
      </w:cols>
      <w:pgMar w:left="1020" w:top="692" w:right="866" w:bottom="16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1."/>
      <w:numFmt w:val="decimal"/>
      <w:start w:val="7"/>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5" Type="http://schemas.openxmlformats.org/officeDocument/2006/relationships/image" Target="media/image3.jpeg"/><Relationship Id="rId14" Type="http://schemas.openxmlformats.org/officeDocument/2006/relationships/hyperlink" Target="http://creativecommons.org/licenses/by/4.0/" TargetMode="External"/><Relationship Id="rId16" Type="http://schemas.openxmlformats.org/officeDocument/2006/relationships/hyperlink" Target="http://www.prov.vic.gov.au/" TargetMode="External"/><Relationship Id="rId17" Type="http://schemas.openxmlformats.org/officeDocument/2006/relationships/hyperlink" Target="mailto:agency.queries@prov.vic.gov.au" TargetMode="External"/><Relationship Id="rId18" Type="http://schemas.openxmlformats.org/officeDocument/2006/relationships/hyperlink" Target="/DVC10/RobertA$/PROVide/www.prov.vic.gov.au"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2023-01-04T11:01:57Z</dcterms:created>
  <dcterms:modified xsi:type="dcterms:W3CDTF">2023-01-04T11:01:57Z</dcterms:modified>
</cp:coreProperties>
</file>