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00"/>
        <w:spacing w:after="0"/>
        <w:rPr>
          <w:sz w:val="20"/>
          <w:szCs w:val="20"/>
          <w:color w:val="auto"/>
        </w:rPr>
      </w:pPr>
      <w:r>
        <w:rPr>
          <w:rFonts w:ascii="Verdana" w:cs="Verdana" w:eastAsia="Verdana" w:hAnsi="Verdana"/>
          <w:sz w:val="24"/>
          <w:szCs w:val="24"/>
          <w:b w:val="1"/>
          <w:bCs w:val="1"/>
          <w:color w:val="auto"/>
        </w:rPr>
        <w:t>Retention and Disposal Authority for Records of the Emergency Services Telecommunications Authority</w:t>
      </w:r>
    </w:p>
    <w:p>
      <w:pPr>
        <w:spacing w:after="0" w:line="123" w:lineRule="exact"/>
        <w:rPr>
          <w:sz w:val="24"/>
          <w:szCs w:val="24"/>
          <w:color w:val="auto"/>
        </w:rPr>
      </w:pPr>
    </w:p>
    <w:p>
      <w:pPr>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516890</wp:posOffset>
            </wp:positionH>
            <wp:positionV relativeFrom="paragraph">
              <wp:posOffset>153035</wp:posOffset>
            </wp:positionV>
            <wp:extent cx="8228965" cy="40620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8228965" cy="40620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0" w:lineRule="exact"/>
        <w:rPr>
          <w:sz w:val="24"/>
          <w:szCs w:val="24"/>
          <w:color w:val="auto"/>
        </w:rPr>
      </w:pPr>
    </w:p>
    <w:p>
      <w:pPr>
        <w:jc w:val="center"/>
        <w:ind w:right="140"/>
        <w:spacing w:after="0"/>
        <w:rPr>
          <w:sz w:val="20"/>
          <w:szCs w:val="20"/>
          <w:color w:val="auto"/>
        </w:rPr>
      </w:pPr>
      <w:r>
        <w:rPr>
          <w:rFonts w:ascii="Verdana" w:cs="Verdana" w:eastAsia="Verdana" w:hAnsi="Verdana"/>
          <w:sz w:val="40"/>
          <w:szCs w:val="40"/>
          <w:color w:val="auto"/>
        </w:rPr>
        <w:t>PROS 13/02 VAR 1</w:t>
      </w:r>
    </w:p>
    <w:p>
      <w:pPr>
        <w:spacing w:after="0" w:line="200" w:lineRule="exact"/>
        <w:rPr>
          <w:sz w:val="24"/>
          <w:szCs w:val="24"/>
          <w:color w:val="auto"/>
        </w:rPr>
      </w:pPr>
    </w:p>
    <w:p>
      <w:pPr>
        <w:spacing w:after="0" w:line="237" w:lineRule="exact"/>
        <w:rPr>
          <w:sz w:val="24"/>
          <w:szCs w:val="24"/>
          <w:color w:val="auto"/>
        </w:rPr>
      </w:pPr>
    </w:p>
    <w:p>
      <w:pPr>
        <w:jc w:val="center"/>
        <w:ind w:right="160"/>
        <w:spacing w:after="0" w:line="239" w:lineRule="auto"/>
        <w:rPr>
          <w:sz w:val="20"/>
          <w:szCs w:val="20"/>
          <w:color w:val="auto"/>
        </w:rPr>
      </w:pPr>
      <w:r>
        <w:rPr>
          <w:rFonts w:ascii="Verdana" w:cs="Verdana" w:eastAsia="Verdana" w:hAnsi="Verdana"/>
          <w:sz w:val="44"/>
          <w:szCs w:val="44"/>
          <w:b w:val="1"/>
          <w:bCs w:val="1"/>
          <w:color w:val="auto"/>
        </w:rPr>
        <w:t>Retention and Disposal Authority for Records of the Emergency Services Telecommunications Authority</w:t>
      </w:r>
    </w:p>
    <w:p>
      <w:pPr>
        <w:spacing w:after="0" w:line="200" w:lineRule="exact"/>
        <w:rPr>
          <w:sz w:val="24"/>
          <w:szCs w:val="24"/>
          <w:color w:val="auto"/>
        </w:rPr>
      </w:pPr>
    </w:p>
    <w:p>
      <w:pPr>
        <w:spacing w:after="0" w:line="239" w:lineRule="exact"/>
        <w:rPr>
          <w:sz w:val="24"/>
          <w:szCs w:val="24"/>
          <w:color w:val="auto"/>
        </w:rPr>
      </w:pPr>
    </w:p>
    <w:p>
      <w:pPr>
        <w:jc w:val="center"/>
        <w:ind w:right="140"/>
        <w:spacing w:after="0"/>
        <w:rPr>
          <w:sz w:val="20"/>
          <w:szCs w:val="20"/>
          <w:color w:val="auto"/>
        </w:rPr>
      </w:pPr>
      <w:r>
        <w:rPr>
          <w:rFonts w:ascii="Verdana" w:cs="Verdana" w:eastAsia="Verdana" w:hAnsi="Verdana"/>
          <w:sz w:val="40"/>
          <w:szCs w:val="40"/>
          <w:color w:val="auto"/>
        </w:rPr>
        <w:t>Issued Date: 02/09/2019</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p>
      <w:pPr>
        <w:jc w:val="right"/>
        <w:spacing w:after="0"/>
        <w:rPr>
          <w:sz w:val="20"/>
          <w:szCs w:val="20"/>
          <w:color w:val="auto"/>
        </w:rPr>
      </w:pPr>
      <w:r>
        <w:rPr>
          <w:rFonts w:ascii="Verdana" w:cs="Verdana" w:eastAsia="Verdana" w:hAnsi="Verdana"/>
          <w:sz w:val="18"/>
          <w:szCs w:val="18"/>
          <w:color w:val="auto"/>
        </w:rPr>
        <w:t>1 of 18</w:t>
      </w:r>
    </w:p>
    <w:p>
      <w:pPr>
        <w:sectPr>
          <w:pgSz w:w="16840" w:h="11906" w:orient="landscape"/>
          <w:cols w:equalWidth="0" w:num="1">
            <w:col w:w="14740"/>
          </w:cols>
          <w:pgMar w:left="1140" w:top="682" w:right="961" w:bottom="482" w:gutter="0" w:footer="0" w:header="0"/>
        </w:sectPr>
      </w:pPr>
    </w:p>
    <w:bookmarkStart w:id="1" w:name="page2"/>
    <w:bookmarkEnd w:id="1"/>
    <w:p>
      <w:pPr>
        <w:ind w:left="300"/>
        <w:spacing w:after="0"/>
        <w:rPr>
          <w:sz w:val="20"/>
          <w:szCs w:val="20"/>
          <w:color w:val="auto"/>
        </w:rPr>
      </w:pPr>
      <w:r>
        <w:rPr>
          <w:rFonts w:ascii="Verdana" w:cs="Verdana" w:eastAsia="Verdana" w:hAnsi="Verdana"/>
          <w:sz w:val="24"/>
          <w:szCs w:val="24"/>
          <w:b w:val="1"/>
          <w:bCs w:val="1"/>
          <w:color w:val="auto"/>
        </w:rPr>
        <w:t>Retention and Disposal Authority for Records of the Emergency Services Telecommunications Authority</w:t>
      </w:r>
    </w:p>
    <w:p>
      <w:pPr>
        <w:spacing w:after="0" w:line="12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Variation 1</w:t>
      </w:r>
    </w:p>
    <w:p>
      <w:pPr>
        <w:spacing w:after="0" w:line="12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Public Records Act 1973 (Section 12)</w:t>
      </w:r>
    </w:p>
    <w:p>
      <w:pPr>
        <w:spacing w:after="0" w:line="11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Retention &amp; Disposal Authority for Records of the Emergency Services Telecommunications Authority (PROS 13/02)</w:t>
      </w:r>
    </w:p>
    <w:p>
      <w:pPr>
        <w:spacing w:after="0" w:line="200" w:lineRule="exact"/>
        <w:rPr>
          <w:sz w:val="20"/>
          <w:szCs w:val="20"/>
          <w:color w:val="auto"/>
        </w:rPr>
      </w:pPr>
    </w:p>
    <w:p>
      <w:pPr>
        <w:spacing w:after="0" w:line="287" w:lineRule="exact"/>
        <w:rPr>
          <w:sz w:val="20"/>
          <w:szCs w:val="20"/>
          <w:color w:val="auto"/>
        </w:rPr>
      </w:pPr>
    </w:p>
    <w:p>
      <w:pPr>
        <w:ind w:right="180"/>
        <w:spacing w:after="0" w:line="238" w:lineRule="auto"/>
        <w:rPr>
          <w:sz w:val="20"/>
          <w:szCs w:val="20"/>
          <w:color w:val="auto"/>
        </w:rPr>
      </w:pPr>
      <w:r>
        <w:rPr>
          <w:rFonts w:ascii="Verdana" w:cs="Verdana" w:eastAsia="Verdana" w:hAnsi="Verdana"/>
          <w:sz w:val="20"/>
          <w:szCs w:val="20"/>
          <w:color w:val="auto"/>
        </w:rPr>
        <w:t>In accordance with section 12 of the Public Records Act 1973 (as amended), I hereby vary the Standard applying to records of the Emergency Services Telecommunications Authority, issued as Public Record Office Standard (PROS 13/02) on 04/06/2013, as follows:</w:t>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Verdana" w:cs="Verdana" w:eastAsia="Verdana" w:hAnsi="Verdana"/>
          <w:sz w:val="20"/>
          <w:szCs w:val="20"/>
          <w:color w:val="auto"/>
        </w:rPr>
        <w:t>The addition of the following text to the scope of the RDA and across the body of the RDA as a footer:</w:t>
      </w:r>
    </w:p>
    <w:p>
      <w:pPr>
        <w:spacing w:after="0" w:line="122" w:lineRule="exact"/>
        <w:rPr>
          <w:sz w:val="20"/>
          <w:szCs w:val="20"/>
          <w:color w:val="auto"/>
        </w:rPr>
      </w:pPr>
    </w:p>
    <w:p>
      <w:pPr>
        <w:ind w:left="560" w:right="280"/>
        <w:spacing w:after="0" w:line="238" w:lineRule="auto"/>
        <w:rPr>
          <w:sz w:val="20"/>
          <w:szCs w:val="20"/>
          <w:color w:val="auto"/>
        </w:rPr>
      </w:pPr>
      <w:r>
        <w:rPr>
          <w:rFonts w:ascii="Verdana" w:cs="Verdana" w:eastAsia="Verdana" w:hAnsi="Verdana"/>
          <w:sz w:val="20"/>
          <w:szCs w:val="20"/>
          <w:color w:val="auto"/>
        </w:rPr>
        <w:t xml:space="preserve">This Retention and Disposal Authority </w:t>
      </w:r>
      <w:r>
        <w:rPr>
          <w:rFonts w:ascii="Verdana" w:cs="Verdana" w:eastAsia="Verdana" w:hAnsi="Verdana"/>
          <w:sz w:val="20"/>
          <w:szCs w:val="20"/>
          <w:b w:val="1"/>
          <w:bCs w:val="1"/>
          <w:color w:val="auto"/>
        </w:rPr>
        <w:t>must not be used</w:t>
      </w:r>
      <w:r>
        <w:rPr>
          <w:rFonts w:ascii="Verdana" w:cs="Verdana" w:eastAsia="Verdana" w:hAnsi="Verdana"/>
          <w:sz w:val="20"/>
          <w:szCs w:val="20"/>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6" w:lineRule="exact"/>
        <w:rPr>
          <w:sz w:val="20"/>
          <w:szCs w:val="20"/>
          <w:color w:val="auto"/>
        </w:rPr>
      </w:pPr>
    </w:p>
    <w:p>
      <w:pPr>
        <w:ind w:left="560" w:right="820"/>
        <w:spacing w:after="0" w:line="238" w:lineRule="auto"/>
        <w:rPr>
          <w:sz w:val="20"/>
          <w:szCs w:val="20"/>
          <w:color w:val="auto"/>
        </w:rPr>
      </w:pPr>
      <w:r>
        <w:rPr>
          <w:rFonts w:ascii="Verdana" w:cs="Verdana" w:eastAsia="Verdana" w:hAnsi="Verdana"/>
          <w:sz w:val="20"/>
          <w:szCs w:val="20"/>
          <w:color w:val="auto"/>
        </w:rPr>
        <w:t xml:space="preserve">Instead </w:t>
      </w:r>
      <w:r>
        <w:rPr>
          <w:rFonts w:ascii="Verdana" w:cs="Verdana" w:eastAsia="Verdana" w:hAnsi="Verdana"/>
          <w:sz w:val="20"/>
          <w:szCs w:val="20"/>
          <w:b w:val="1"/>
          <w:bCs w:val="1"/>
          <w:color w:val="auto"/>
        </w:rPr>
        <w:t>agencies must use PROS 19/08</w:t>
      </w:r>
      <w:r>
        <w:rPr>
          <w:rFonts w:ascii="Verdana" w:cs="Verdana" w:eastAsia="Verdana" w:hAnsi="Verdana"/>
          <w:sz w:val="20"/>
          <w:szCs w:val="20"/>
          <w:color w:val="auto"/>
        </w:rPr>
        <w:t xml:space="preserve"> Retention and Disposal Authority for Records of Organisational Response to Child Sexual Abuse Incidents and Allegations.</w:t>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Verdana" w:cs="Verdana" w:eastAsia="Verdana" w:hAnsi="Verdana"/>
          <w:sz w:val="20"/>
          <w:szCs w:val="20"/>
          <w:color w:val="auto"/>
        </w:rPr>
        <w:t>This Variation shall have effect from its date of issue.</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Verdana" w:cs="Verdana" w:eastAsia="Verdana" w:hAnsi="Verdana"/>
          <w:sz w:val="20"/>
          <w:szCs w:val="20"/>
          <w:color w:val="auto"/>
        </w:rPr>
        <w:t>[Signed]</w:t>
      </w:r>
    </w:p>
    <w:p>
      <w:pPr>
        <w:spacing w:after="0" w:line="11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Justine Heazlewood</w:t>
      </w:r>
    </w:p>
    <w:p>
      <w:pPr>
        <w:spacing w:after="0" w:line="122" w:lineRule="exact"/>
        <w:rPr>
          <w:sz w:val="20"/>
          <w:szCs w:val="20"/>
          <w:color w:val="auto"/>
        </w:rPr>
      </w:pPr>
    </w:p>
    <w:p>
      <w:pPr>
        <w:spacing w:after="0"/>
        <w:rPr>
          <w:sz w:val="20"/>
          <w:szCs w:val="20"/>
          <w:color w:val="auto"/>
        </w:rPr>
      </w:pPr>
      <w:r>
        <w:rPr>
          <w:rFonts w:ascii="Verdana" w:cs="Verdana" w:eastAsia="Verdana" w:hAnsi="Verdana"/>
          <w:sz w:val="20"/>
          <w:szCs w:val="20"/>
          <w:color w:val="auto"/>
        </w:rPr>
        <w:t>Director and Keeper of Public Records</w:t>
      </w:r>
    </w:p>
    <w:p>
      <w:pPr>
        <w:spacing w:after="0" w:line="119" w:lineRule="exact"/>
        <w:rPr>
          <w:sz w:val="20"/>
          <w:szCs w:val="20"/>
          <w:color w:val="auto"/>
        </w:rPr>
      </w:pPr>
    </w:p>
    <w:p>
      <w:pPr>
        <w:spacing w:after="0"/>
        <w:rPr>
          <w:sz w:val="20"/>
          <w:szCs w:val="20"/>
          <w:color w:val="auto"/>
        </w:rPr>
      </w:pPr>
      <w:r>
        <w:rPr>
          <w:rFonts w:ascii="Verdana" w:cs="Verdana" w:eastAsia="Verdana" w:hAnsi="Verdana"/>
          <w:sz w:val="20"/>
          <w:szCs w:val="20"/>
          <w:color w:val="auto"/>
        </w:rPr>
        <w:t>Date of issue: 02/09/2019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2 of 18</w:t>
      </w:r>
    </w:p>
    <w:p>
      <w:pPr>
        <w:sectPr>
          <w:pgSz w:w="16840" w:h="11906" w:orient="landscape"/>
          <w:cols w:equalWidth="0" w:num="1">
            <w:col w:w="14740"/>
          </w:cols>
          <w:pgMar w:left="1140" w:top="682" w:right="961" w:bottom="482" w:gutter="0" w:footer="0" w:header="0"/>
        </w:sectPr>
      </w:pPr>
    </w:p>
    <w:bookmarkStart w:id="2" w:name="page3"/>
    <w:bookmarkEnd w:id="2"/>
    <w:p>
      <w:pPr>
        <w:ind w:left="300"/>
        <w:spacing w:after="0"/>
        <w:rPr>
          <w:sz w:val="20"/>
          <w:szCs w:val="20"/>
          <w:color w:val="auto"/>
        </w:rPr>
      </w:pPr>
      <w:r>
        <w:rPr>
          <w:rFonts w:ascii="Verdana" w:cs="Verdana" w:eastAsia="Verdana" w:hAnsi="Verdana"/>
          <w:sz w:val="24"/>
          <w:szCs w:val="24"/>
          <w:b w:val="1"/>
          <w:bCs w:val="1"/>
          <w:color w:val="auto"/>
        </w:rPr>
        <w:t>Retention and Disposal Authority for Records of the Emergency Services Telecommunications Authority</w:t>
      </w:r>
    </w:p>
    <w:p>
      <w:pPr>
        <w:spacing w:after="0" w:line="12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118" w:lineRule="exact"/>
        <w:rPr>
          <w:sz w:val="20"/>
          <w:szCs w:val="20"/>
          <w:color w:val="auto"/>
        </w:rPr>
      </w:pPr>
    </w:p>
    <w:p>
      <w:pPr>
        <w:spacing w:after="0"/>
        <w:rPr>
          <w:sz w:val="20"/>
          <w:szCs w:val="20"/>
          <w:color w:val="auto"/>
        </w:rPr>
      </w:pPr>
      <w:r>
        <w:rPr>
          <w:rFonts w:ascii="Verdana" w:cs="Verdana" w:eastAsia="Verdana" w:hAnsi="Verdana"/>
          <w:sz w:val="40"/>
          <w:szCs w:val="40"/>
          <w:b w:val="1"/>
          <w:bCs w:val="1"/>
          <w:color w:val="auto"/>
        </w:rPr>
        <w:t>Copyright Statement</w:t>
      </w:r>
    </w:p>
    <w:p>
      <w:pPr>
        <w:spacing w:after="0" w:line="123" w:lineRule="exact"/>
        <w:rPr>
          <w:sz w:val="20"/>
          <w:szCs w:val="20"/>
          <w:color w:val="auto"/>
        </w:rPr>
      </w:pPr>
    </w:p>
    <w:p>
      <w:pPr>
        <w:spacing w:after="0"/>
        <w:rPr>
          <w:sz w:val="20"/>
          <w:szCs w:val="20"/>
          <w:color w:val="auto"/>
        </w:rPr>
      </w:pPr>
      <w:r>
        <w:rPr>
          <w:rFonts w:ascii="Verdana" w:cs="Verdana" w:eastAsia="Verdana" w:hAnsi="Verdana"/>
          <w:sz w:val="20"/>
          <w:szCs w:val="20"/>
          <w:color w:val="auto"/>
        </w:rPr>
        <w:t>© State of Victoria 2019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0</wp:posOffset>
            </wp:positionV>
            <wp:extent cx="1095375" cy="382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095375" cy="382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right="260"/>
        <w:spacing w:after="0" w:line="238" w:lineRule="auto"/>
        <w:rPr>
          <w:sz w:val="20"/>
          <w:szCs w:val="20"/>
          <w:color w:val="auto"/>
        </w:rPr>
      </w:pPr>
      <w:r>
        <w:rPr>
          <w:rFonts w:ascii="Verdana" w:cs="Verdana" w:eastAsia="Verdana" w:hAnsi="Verdana"/>
          <w:sz w:val="20"/>
          <w:szCs w:val="20"/>
          <w:color w:val="auto"/>
        </w:rPr>
        <w:t>Except for any logos, emblems, and trademarks, this work (PROS 13/02 VAR 1 the Emergency Services Telecommunications Authority) is licensed under a Creative Commons Attribution 4.0 International license, to the extent that it is protected by copyright. Authorship of this work must be attributed to the Public Record Office Victoria. To view a copy of this license, visit http://creativecommons.org/licenses/by/4.0/</w:t>
      </w: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Verdana" w:cs="Verdana" w:eastAsia="Verdana" w:hAnsi="Verdana"/>
          <w:sz w:val="40"/>
          <w:szCs w:val="40"/>
          <w:b w:val="1"/>
          <w:bCs w:val="1"/>
          <w:color w:val="auto"/>
        </w:rPr>
        <w:t>Disclaimer</w:t>
      </w:r>
    </w:p>
    <w:p>
      <w:pPr>
        <w:spacing w:after="0" w:line="123" w:lineRule="exact"/>
        <w:rPr>
          <w:sz w:val="20"/>
          <w:szCs w:val="20"/>
          <w:color w:val="auto"/>
        </w:rPr>
      </w:pPr>
    </w:p>
    <w:p>
      <w:pPr>
        <w:ind w:right="200"/>
        <w:spacing w:after="0" w:line="264" w:lineRule="auto"/>
        <w:rPr>
          <w:sz w:val="20"/>
          <w:szCs w:val="20"/>
          <w:color w:val="auto"/>
        </w:rPr>
      </w:pPr>
      <w:r>
        <w:rPr>
          <w:rFonts w:ascii="Verdana" w:cs="Verdana" w:eastAsia="Verdana" w:hAnsi="Verdana"/>
          <w:sz w:val="19"/>
          <w:szCs w:val="19"/>
          <w:color w:val="auto"/>
        </w:rPr>
        <w:t>The State of Victoria gives no warranty that the information in this version is correct or complete, error free or contains no omissions. The State of Victoria shall not be liable for any loss howsoever caused whether due to negligence or otherwise arising from the use of this Standard.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3 of 18</w:t>
      </w:r>
    </w:p>
    <w:p>
      <w:pPr>
        <w:sectPr>
          <w:pgSz w:w="16840" w:h="11906" w:orient="landscape"/>
          <w:cols w:equalWidth="0" w:num="1">
            <w:col w:w="14740"/>
          </w:cols>
          <w:pgMar w:left="1140" w:top="682" w:right="961" w:bottom="482" w:gutter="0" w:footer="0" w:header="0"/>
        </w:sectPr>
      </w:pPr>
    </w:p>
    <w:bookmarkStart w:id="3" w:name="page4"/>
    <w:bookmarkEnd w:id="3"/>
    <w:p>
      <w:pPr>
        <w:ind w:left="30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13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120" w:lineRule="exact"/>
        <w:rPr>
          <w:sz w:val="20"/>
          <w:szCs w:val="20"/>
          <w:color w:val="auto"/>
        </w:rPr>
      </w:pPr>
    </w:p>
    <w:p>
      <w:pPr>
        <w:ind w:left="30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595630</wp:posOffset>
                </wp:positionV>
                <wp:extent cx="939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46.9pt" to="734pt,46.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592455</wp:posOffset>
                </wp:positionV>
                <wp:extent cx="0" cy="47434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46.65pt" to="-5.7499pt,84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2066290</wp:posOffset>
                </wp:positionH>
                <wp:positionV relativeFrom="paragraph">
                  <wp:posOffset>592455</wp:posOffset>
                </wp:positionV>
                <wp:extent cx="0" cy="47434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7pt,46.65pt" to="162.7pt,84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-76200</wp:posOffset>
                </wp:positionH>
                <wp:positionV relativeFrom="paragraph">
                  <wp:posOffset>1063625</wp:posOffset>
                </wp:positionV>
                <wp:extent cx="93980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83.75pt" to="734pt,83.7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9318625</wp:posOffset>
                </wp:positionH>
                <wp:positionV relativeFrom="paragraph">
                  <wp:posOffset>592455</wp:posOffset>
                </wp:positionV>
                <wp:extent cx="0" cy="47434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7434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3.75pt,46.65pt" to="733.75pt,84pt" o:allowincell="f" strokecolor="#000000" strokeweight="0.4799pt"/>
            </w:pict>
          </mc:Fallback>
        </mc:AlternateContent>
      </w:r>
    </w:p>
    <w:p>
      <w:pPr>
        <w:sectPr>
          <w:pgSz w:w="16840" w:h="11906" w:orient="landscape"/>
          <w:cols w:equalWidth="0" w:num="1">
            <w:col w:w="14740"/>
          </w:cols>
          <w:pgMar w:left="1140" w:top="685" w:right="961" w:bottom="49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right="60"/>
        <w:spacing w:after="0" w:line="239" w:lineRule="auto"/>
        <w:rPr>
          <w:sz w:val="20"/>
          <w:szCs w:val="20"/>
          <w:color w:val="auto"/>
        </w:rPr>
      </w:pPr>
      <w:r>
        <w:rPr>
          <w:rFonts w:ascii="Verdana" w:cs="Verdana" w:eastAsia="Verdana" w:hAnsi="Verdana"/>
          <w:sz w:val="20"/>
          <w:szCs w:val="20"/>
          <w:b w:val="1"/>
          <w:bCs w:val="1"/>
          <w:color w:val="auto"/>
        </w:rPr>
        <w:t>Retention and Disposal Authority No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386080</wp:posOffset>
                </wp:positionV>
                <wp:extent cx="9398000" cy="127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00" cy="12700"/>
                        </a:xfrm>
                        <a:prstGeom prst="rect">
                          <a:avLst/>
                        </a:prstGeom>
                        <a:solidFill>
                          <a:srgbClr val="000000"/>
                        </a:solidFill>
                      </wps:spPr>
                      <wps:bodyPr/>
                    </wps:wsp>
                  </a:graphicData>
                </a:graphic>
              </wp:anchor>
            </w:drawing>
          </mc:Choice>
          <mc:Fallback>
            <w:pict>
              <v:rect id="Shape 8" o:spid="_x0000_s1033" style="position:absolute;margin-left:-6pt;margin-top:30.4pt;width:740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389255</wp:posOffset>
                </wp:positionV>
                <wp:extent cx="0" cy="116776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6776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30.65pt" to="-5.7499pt,122.6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Verdana" w:cs="Verdana" w:eastAsia="Verdana" w:hAnsi="Verdana"/>
          <w:sz w:val="19"/>
          <w:szCs w:val="19"/>
          <w:color w:val="auto"/>
        </w:rPr>
        <w:t>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549910</wp:posOffset>
                </wp:positionV>
                <wp:extent cx="0" cy="1167765"/>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6776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43.3pt" to="-5.2499pt,135.2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-2209800</wp:posOffset>
                </wp:positionH>
                <wp:positionV relativeFrom="paragraph">
                  <wp:posOffset>1715135</wp:posOffset>
                </wp:positionV>
                <wp:extent cx="93980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135.05pt" to="566pt,135.0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7185025</wp:posOffset>
                </wp:positionH>
                <wp:positionV relativeFrom="paragraph">
                  <wp:posOffset>556260</wp:posOffset>
                </wp:positionV>
                <wp:extent cx="0" cy="116141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1614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5.75pt,43.8pt" to="565.75pt,135.25pt" o:allowincell="f" strokecolor="#000000" strokeweight="0.4799pt"/>
            </w:pict>
          </mc:Fallback>
        </mc:AlternateContent>
      </w:r>
    </w:p>
    <w:p>
      <w:pPr>
        <w:spacing w:after="0" w:line="453" w:lineRule="exact"/>
        <w:rPr>
          <w:sz w:val="20"/>
          <w:szCs w:val="20"/>
          <w:color w:val="auto"/>
        </w:rPr>
      </w:pPr>
    </w:p>
    <w:p>
      <w:pPr>
        <w:sectPr>
          <w:pgSz w:w="16840" w:h="11906" w:orient="landscape"/>
          <w:cols w:equalWidth="0" w:num="2">
            <w:col w:w="2640" w:space="720"/>
            <w:col w:w="11380"/>
          </w:cols>
          <w:pgMar w:left="1140" w:top="685" w:right="961" w:bottom="493" w:gutter="0" w:footer="0" w:header="0"/>
          <w:type w:val="continuous"/>
        </w:sectPr>
      </w:pPr>
    </w:p>
    <w:p>
      <w:pPr>
        <w:spacing w:after="0" w:line="200" w:lineRule="exact"/>
        <w:rPr>
          <w:sz w:val="20"/>
          <w:szCs w:val="20"/>
          <w:color w:val="auto"/>
        </w:rPr>
      </w:pPr>
    </w:p>
    <w:p>
      <w:pPr>
        <w:spacing w:after="0" w:line="348"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Scope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1246505</wp:posOffset>
                </wp:positionV>
                <wp:extent cx="93980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98.15pt" to="734pt,98.1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1243330</wp:posOffset>
                </wp:positionV>
                <wp:extent cx="0" cy="31877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7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97.9pt" to="-5.7499pt,123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8" w:lineRule="exact"/>
        <w:rPr>
          <w:sz w:val="20"/>
          <w:szCs w:val="20"/>
          <w:color w:val="auto"/>
        </w:rPr>
      </w:pPr>
    </w:p>
    <w:p>
      <w:pPr>
        <w:ind w:right="580"/>
        <w:spacing w:after="0" w:line="238" w:lineRule="auto"/>
        <w:rPr>
          <w:sz w:val="20"/>
          <w:szCs w:val="20"/>
          <w:color w:val="auto"/>
        </w:rPr>
      </w:pPr>
      <w:r>
        <w:rPr>
          <w:rFonts w:ascii="Verdana" w:cs="Verdana" w:eastAsia="Verdana" w:hAnsi="Verdana"/>
          <w:sz w:val="20"/>
          <w:szCs w:val="20"/>
          <w:color w:val="auto"/>
        </w:rPr>
        <w:t xml:space="preserve">This Retention and Disposal Authority </w:t>
      </w:r>
      <w:r>
        <w:rPr>
          <w:rFonts w:ascii="Verdana" w:cs="Verdana" w:eastAsia="Verdana" w:hAnsi="Verdana"/>
          <w:sz w:val="20"/>
          <w:szCs w:val="20"/>
          <w:b w:val="1"/>
          <w:bCs w:val="1"/>
          <w:color w:val="auto"/>
        </w:rPr>
        <w:t>must not be used</w:t>
      </w:r>
      <w:r>
        <w:rPr>
          <w:rFonts w:ascii="Verdana" w:cs="Verdana" w:eastAsia="Verdana" w:hAnsi="Verdana"/>
          <w:sz w:val="20"/>
          <w:szCs w:val="20"/>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8" w:lineRule="exact"/>
        <w:rPr>
          <w:sz w:val="20"/>
          <w:szCs w:val="20"/>
          <w:color w:val="auto"/>
        </w:rPr>
      </w:pPr>
    </w:p>
    <w:p>
      <w:pPr>
        <w:ind w:right="640"/>
        <w:spacing w:after="0" w:line="238" w:lineRule="auto"/>
        <w:rPr>
          <w:sz w:val="20"/>
          <w:szCs w:val="20"/>
          <w:color w:val="auto"/>
        </w:rPr>
      </w:pPr>
      <w:r>
        <w:rPr>
          <w:rFonts w:ascii="Verdana" w:cs="Verdana" w:eastAsia="Verdana" w:hAnsi="Verdana"/>
          <w:sz w:val="20"/>
          <w:szCs w:val="20"/>
          <w:color w:val="auto"/>
        </w:rPr>
        <w:t xml:space="preserve">Instead </w:t>
      </w:r>
      <w:r>
        <w:rPr>
          <w:rFonts w:ascii="Verdana" w:cs="Verdana" w:eastAsia="Verdana" w:hAnsi="Verdana"/>
          <w:sz w:val="20"/>
          <w:szCs w:val="20"/>
          <w:b w:val="1"/>
          <w:bCs w:val="1"/>
          <w:color w:val="auto"/>
        </w:rPr>
        <w:t>agencies must use PROS 19/08</w:t>
      </w:r>
      <w:r>
        <w:rPr>
          <w:rFonts w:ascii="Verdana" w:cs="Verdana" w:eastAsia="Verdana" w:hAnsi="Verdana"/>
          <w:sz w:val="20"/>
          <w:szCs w:val="20"/>
          <w:color w:val="auto"/>
        </w:rPr>
        <w:t xml:space="preserve"> Retention and Disposal Authority for Records of Organisational Response to Child Sexual Abuse Incidents and Allegations.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390525</wp:posOffset>
                </wp:positionV>
                <wp:extent cx="0" cy="31877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7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30.75pt" to="-5.2499pt,55.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-2209800</wp:posOffset>
                </wp:positionH>
                <wp:positionV relativeFrom="paragraph">
                  <wp:posOffset>706120</wp:posOffset>
                </wp:positionV>
                <wp:extent cx="93980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55.6pt" to="566pt,55.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7185025</wp:posOffset>
                </wp:positionH>
                <wp:positionV relativeFrom="paragraph">
                  <wp:posOffset>390525</wp:posOffset>
                </wp:positionV>
                <wp:extent cx="0" cy="31877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7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5.75pt,30.75pt" to="565.75pt,55.85pt" o:allowincell="f" strokecolor="#000000" strokeweight="0.4799pt"/>
            </w:pict>
          </mc:Fallback>
        </mc:AlternateContent>
      </w:r>
    </w:p>
    <w:p>
      <w:pPr>
        <w:spacing w:after="0" w:line="200" w:lineRule="exact"/>
        <w:rPr>
          <w:sz w:val="20"/>
          <w:szCs w:val="20"/>
          <w:color w:val="auto"/>
        </w:rPr>
      </w:pPr>
    </w:p>
    <w:p>
      <w:pPr>
        <w:sectPr>
          <w:pgSz w:w="16840" w:h="11906" w:orient="landscape"/>
          <w:cols w:equalWidth="0" w:num="2">
            <w:col w:w="2640" w:space="720"/>
            <w:col w:w="11380"/>
          </w:cols>
          <w:pgMar w:left="1140" w:top="685" w:right="961" w:bottom="493" w:gutter="0" w:footer="0" w:header="0"/>
          <w:type w:val="continuous"/>
        </w:sectPr>
      </w:pP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Status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-76200</wp:posOffset>
                </wp:positionH>
                <wp:positionV relativeFrom="paragraph">
                  <wp:posOffset>393700</wp:posOffset>
                </wp:positionV>
                <wp:extent cx="93980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0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pt,31pt" to="734pt,31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-73025</wp:posOffset>
                </wp:positionH>
                <wp:positionV relativeFrom="paragraph">
                  <wp:posOffset>390525</wp:posOffset>
                </wp:positionV>
                <wp:extent cx="0" cy="31877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7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499pt,30.75pt" to="-5.7499pt,55.85pt" o:allowincell="f" strokecolor="#000000" strokeweight="0.4799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Verdana" w:cs="Verdana" w:eastAsia="Verdana" w:hAnsi="Verdana"/>
          <w:sz w:val="20"/>
          <w:szCs w:val="20"/>
          <w:color w:val="auto"/>
        </w:rPr>
        <w:t>Issued by Keeper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-66675</wp:posOffset>
                </wp:positionH>
                <wp:positionV relativeFrom="paragraph">
                  <wp:posOffset>390525</wp:posOffset>
                </wp:positionV>
                <wp:extent cx="0" cy="31877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7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499pt,30.75pt" to="-5.2499pt,55.8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-2209800</wp:posOffset>
                </wp:positionH>
                <wp:positionV relativeFrom="paragraph">
                  <wp:posOffset>706120</wp:posOffset>
                </wp:positionV>
                <wp:extent cx="93980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80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4pt,55.6pt" to="566pt,55.6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7185025</wp:posOffset>
                </wp:positionH>
                <wp:positionV relativeFrom="paragraph">
                  <wp:posOffset>390525</wp:posOffset>
                </wp:positionV>
                <wp:extent cx="0" cy="31877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87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65.75pt,30.75pt" to="565.75pt,55.85pt" o:allowincell="f" strokecolor="#000000" strokeweight="0.4799pt"/>
            </w:pict>
          </mc:Fallback>
        </mc:AlternateContent>
      </w:r>
    </w:p>
    <w:p>
      <w:pPr>
        <w:spacing w:after="0" w:line="200" w:lineRule="exact"/>
        <w:rPr>
          <w:sz w:val="20"/>
          <w:szCs w:val="20"/>
          <w:color w:val="auto"/>
        </w:rPr>
      </w:pPr>
    </w:p>
    <w:p>
      <w:pPr>
        <w:sectPr>
          <w:pgSz w:w="16840" w:h="11906" w:orient="landscape"/>
          <w:cols w:equalWidth="0" w:num="2">
            <w:col w:w="2640" w:space="720"/>
            <w:col w:w="11380"/>
          </w:cols>
          <w:pgMar w:left="1140" w:top="685" w:right="961" w:bottom="493" w:gutter="0" w:footer="0" w:header="0"/>
          <w:type w:val="continuous"/>
        </w:sectPr>
      </w:pP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auto"/>
        </w:rPr>
        <w:t>Issue Date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Verdana" w:cs="Verdana" w:eastAsia="Verdana" w:hAnsi="Verdana"/>
          <w:sz w:val="20"/>
          <w:szCs w:val="20"/>
          <w:color w:val="auto"/>
        </w:rPr>
        <w:t>02/09/2019</w:t>
      </w:r>
    </w:p>
    <w:p>
      <w:pPr>
        <w:spacing w:after="0" w:line="200" w:lineRule="exact"/>
        <w:rPr>
          <w:sz w:val="20"/>
          <w:szCs w:val="20"/>
          <w:color w:val="auto"/>
        </w:rPr>
      </w:pPr>
    </w:p>
    <w:p>
      <w:pPr>
        <w:sectPr>
          <w:pgSz w:w="16840" w:h="11906" w:orient="landscape"/>
          <w:cols w:equalWidth="0" w:num="2">
            <w:col w:w="2640" w:space="720"/>
            <w:col w:w="11380"/>
          </w:cols>
          <w:pgMar w:left="1140" w:top="685" w:right="961" w:bottom="49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14100"/>
        <w:spacing w:after="0"/>
        <w:rPr>
          <w:sz w:val="20"/>
          <w:szCs w:val="20"/>
          <w:color w:val="auto"/>
        </w:rPr>
      </w:pPr>
      <w:r>
        <w:rPr>
          <w:rFonts w:ascii="Verdana" w:cs="Verdana" w:eastAsia="Verdana" w:hAnsi="Verdana"/>
          <w:sz w:val="17"/>
          <w:szCs w:val="17"/>
          <w:color w:val="auto"/>
        </w:rPr>
        <w:t>4 of 18</w:t>
      </w:r>
    </w:p>
    <w:p>
      <w:pPr>
        <w:sectPr>
          <w:pgSz w:w="16840" w:h="11906" w:orient="landscape"/>
          <w:cols w:equalWidth="0" w:num="1">
            <w:col w:w="14740"/>
          </w:cols>
          <w:pgMar w:left="1140" w:top="685" w:right="961" w:bottom="493" w:gutter="0" w:footer="0" w:header="0"/>
          <w:type w:val="continuous"/>
        </w:sectPr>
      </w:pPr>
    </w:p>
    <w:bookmarkStart w:id="4" w:name="page5"/>
    <w:bookmarkEnd w:id="4"/>
    <w:p>
      <w:pPr>
        <w:ind w:left="420"/>
        <w:spacing w:after="0"/>
        <w:rPr>
          <w:sz w:val="20"/>
          <w:szCs w:val="20"/>
          <w:color w:val="auto"/>
        </w:rPr>
      </w:pPr>
      <w:r>
        <w:rPr>
          <w:rFonts w:ascii="Verdana" w:cs="Verdana" w:eastAsia="Verdana" w:hAnsi="Verdana"/>
          <w:sz w:val="24"/>
          <w:szCs w:val="24"/>
          <w:b w:val="1"/>
          <w:bCs w:val="1"/>
          <w:color w:val="auto"/>
        </w:rPr>
        <w:t>Retention and Disposal Authority for Records of the Emergency Services Telecommunications Authority</w:t>
      </w:r>
    </w:p>
    <w:p>
      <w:pPr>
        <w:spacing w:after="0" w:line="200" w:lineRule="exact"/>
        <w:rPr>
          <w:sz w:val="20"/>
          <w:szCs w:val="20"/>
          <w:color w:val="auto"/>
        </w:rPr>
      </w:pPr>
    </w:p>
    <w:p>
      <w:pPr>
        <w:spacing w:after="0" w:line="21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939609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0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739.85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78105</wp:posOffset>
                </wp:positionV>
                <wp:extent cx="0" cy="21145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15pt" to="0.2pt,2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9393555</wp:posOffset>
                </wp:positionH>
                <wp:positionV relativeFrom="paragraph">
                  <wp:posOffset>78105</wp:posOffset>
                </wp:positionV>
                <wp:extent cx="0" cy="21145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39.65pt,6.15pt" to="739.65pt,22.8pt" o:allowincell="f" strokecolor="#000000" strokeweight="0.4799pt"/>
            </w:pict>
          </mc:Fallback>
        </mc:AlternateContent>
      </w:r>
    </w:p>
    <w:p>
      <w:pPr>
        <w:spacing w:after="0" w:line="174" w:lineRule="exact"/>
        <w:rPr>
          <w:sz w:val="20"/>
          <w:szCs w:val="20"/>
          <w:color w:val="auto"/>
        </w:rPr>
      </w:pPr>
    </w:p>
    <w:p>
      <w:pPr>
        <w:ind w:left="120"/>
        <w:spacing w:after="0"/>
        <w:rPr>
          <w:sz w:val="20"/>
          <w:szCs w:val="20"/>
          <w:color w:val="auto"/>
        </w:rPr>
      </w:pPr>
      <w:r>
        <w:rPr>
          <w:rFonts w:ascii="Verdana" w:cs="Verdana" w:eastAsia="Verdana" w:hAnsi="Verdana"/>
          <w:sz w:val="16"/>
          <w:szCs w:val="16"/>
          <w:b w:val="1"/>
          <w:bCs w:val="1"/>
          <w:color w:val="auto"/>
        </w:rPr>
        <w:t>List of Functions and Activities covered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40005</wp:posOffset>
                </wp:positionV>
                <wp:extent cx="939609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39609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pt" to="739.85pt,3.15pt" o:allowincell="f" strokecolor="#000000" strokeweight="0.48pt"/>
            </w:pict>
          </mc:Fallback>
        </mc:AlternateContent>
      </w:r>
    </w:p>
    <w:p>
      <w:pPr>
        <w:spacing w:after="0" w:line="271" w:lineRule="exact"/>
        <w:rPr>
          <w:sz w:val="20"/>
          <w:szCs w:val="20"/>
          <w:color w:val="auto"/>
        </w:rPr>
      </w:pPr>
    </w:p>
    <w:tbl>
      <w:tblPr>
        <w:tblLayout w:type="fixed"/>
        <w:tblInd w:w="10" w:type="dxa"/>
        <w:tblCellMar>
          <w:top w:w="0" w:type="dxa"/>
          <w:left w:w="0" w:type="dxa"/>
          <w:bottom w:w="0" w:type="dxa"/>
          <w:right w:w="0" w:type="dxa"/>
        </w:tblCellMar>
      </w:tblPr>
      <w:tr>
        <w:trPr>
          <w:trHeight w:val="371"/>
        </w:trPr>
        <w:tc>
          <w:tcPr>
            <w:tcW w:w="18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b w:val="1"/>
                <w:bCs w:val="1"/>
                <w:color w:val="auto"/>
              </w:rPr>
              <w:t>Reference</w:t>
            </w:r>
          </w:p>
        </w:tc>
        <w:tc>
          <w:tcPr>
            <w:tcW w:w="592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Function</w:t>
            </w:r>
          </w:p>
        </w:tc>
        <w:tc>
          <w:tcPr>
            <w:tcW w:w="562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Activity</w:t>
            </w:r>
          </w:p>
        </w:tc>
        <w:tc>
          <w:tcPr>
            <w:tcW w:w="150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b w:val="1"/>
                <w:bCs w:val="1"/>
                <w:color w:val="auto"/>
              </w:rPr>
              <w:t>Page</w:t>
            </w:r>
          </w:p>
        </w:tc>
      </w:tr>
      <w:tr>
        <w:trPr>
          <w:trHeight w:val="123"/>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w:t>
            </w:r>
          </w:p>
        </w:tc>
        <w:tc>
          <w:tcPr>
            <w:tcW w:w="5920" w:type="dxa"/>
            <w:vAlign w:val="bottom"/>
            <w:tcBorders>
              <w:right w:val="single" w:sz="8" w:color="auto"/>
            </w:tcBorders>
          </w:tcPr>
          <w:p>
            <w:pPr>
              <w:ind w:left="80"/>
              <w:spacing w:after="0"/>
              <w:rPr>
                <w:rFonts w:ascii="Verdana" w:cs="Verdana" w:eastAsia="Verdana" w:hAnsi="Verdana"/>
                <w:sz w:val="20"/>
                <w:szCs w:val="20"/>
                <w:color w:val="auto"/>
              </w:rPr>
            </w:pPr>
            <w:hyperlink w:anchor="page10">
              <w:r>
                <w:rPr>
                  <w:rFonts w:ascii="Verdana" w:cs="Verdana" w:eastAsia="Verdana" w:hAnsi="Verdana"/>
                  <w:sz w:val="20"/>
                  <w:szCs w:val="20"/>
                  <w:color w:val="auto"/>
                </w:rPr>
                <w:t>EMERGENCY COMMUNICATIONS MANAGEMENT</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10</w:t>
            </w:r>
          </w:p>
        </w:tc>
      </w:tr>
      <w:tr>
        <w:trPr>
          <w:trHeight w:val="121"/>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w:t>
            </w:r>
          </w:p>
        </w:tc>
        <w:tc>
          <w:tcPr>
            <w:tcW w:w="592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80"/>
              <w:spacing w:after="0"/>
              <w:rPr>
                <w:rFonts w:ascii="Verdana" w:cs="Verdana" w:eastAsia="Verdana" w:hAnsi="Verdana"/>
                <w:sz w:val="20"/>
                <w:szCs w:val="20"/>
                <w:color w:val="auto"/>
              </w:rPr>
            </w:pPr>
            <w:hyperlink w:anchor="page10">
              <w:r>
                <w:rPr>
                  <w:rFonts w:ascii="Verdana" w:cs="Verdana" w:eastAsia="Verdana" w:hAnsi="Verdana"/>
                  <w:sz w:val="20"/>
                  <w:szCs w:val="20"/>
                  <w:color w:val="auto"/>
                </w:rPr>
                <w:t>Emergency and Non-Emergency Call Management</w:t>
              </w:r>
            </w:hyperlink>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10</w:t>
            </w:r>
          </w:p>
        </w:tc>
      </w:tr>
      <w:tr>
        <w:trPr>
          <w:trHeight w:val="123"/>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2"/>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w:t>
            </w:r>
          </w:p>
        </w:tc>
        <w:tc>
          <w:tcPr>
            <w:tcW w:w="592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80"/>
              <w:spacing w:after="0"/>
              <w:rPr>
                <w:rFonts w:ascii="Verdana" w:cs="Verdana" w:eastAsia="Verdana" w:hAnsi="Verdana"/>
                <w:sz w:val="20"/>
                <w:szCs w:val="20"/>
                <w:color w:val="auto"/>
              </w:rPr>
            </w:pPr>
            <w:hyperlink w:anchor="page11">
              <w:r>
                <w:rPr>
                  <w:rFonts w:ascii="Verdana" w:cs="Verdana" w:eastAsia="Verdana" w:hAnsi="Verdana"/>
                  <w:sz w:val="20"/>
                  <w:szCs w:val="20"/>
                  <w:color w:val="auto"/>
                </w:rPr>
                <w:t>Communications Data Management</w:t>
              </w:r>
            </w:hyperlink>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11</w:t>
            </w:r>
          </w:p>
        </w:tc>
      </w:tr>
      <w:tr>
        <w:trPr>
          <w:trHeight w:val="121"/>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1.3</w:t>
            </w:r>
          </w:p>
        </w:tc>
        <w:tc>
          <w:tcPr>
            <w:tcW w:w="592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80"/>
              <w:spacing w:after="0"/>
              <w:rPr>
                <w:rFonts w:ascii="Verdana" w:cs="Verdana" w:eastAsia="Verdana" w:hAnsi="Verdana"/>
                <w:sz w:val="20"/>
                <w:szCs w:val="20"/>
                <w:color w:val="auto"/>
              </w:rPr>
            </w:pPr>
            <w:hyperlink w:anchor="page12">
              <w:r>
                <w:rPr>
                  <w:rFonts w:ascii="Verdana" w:cs="Verdana" w:eastAsia="Verdana" w:hAnsi="Verdana"/>
                  <w:sz w:val="20"/>
                  <w:szCs w:val="20"/>
                  <w:color w:val="auto"/>
                </w:rPr>
                <w:t>Change Management</w:t>
              </w:r>
            </w:hyperlink>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12</w:t>
            </w:r>
          </w:p>
        </w:tc>
      </w:tr>
      <w:tr>
        <w:trPr>
          <w:trHeight w:val="121"/>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4"/>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w:t>
            </w:r>
          </w:p>
        </w:tc>
        <w:tc>
          <w:tcPr>
            <w:tcW w:w="5920" w:type="dxa"/>
            <w:vAlign w:val="bottom"/>
            <w:tcBorders>
              <w:right w:val="single" w:sz="8" w:color="auto"/>
            </w:tcBorders>
          </w:tcPr>
          <w:p>
            <w:pPr>
              <w:ind w:left="80"/>
              <w:spacing w:after="0"/>
              <w:rPr>
                <w:rFonts w:ascii="Verdana" w:cs="Verdana" w:eastAsia="Verdana" w:hAnsi="Verdana"/>
                <w:sz w:val="20"/>
                <w:szCs w:val="20"/>
                <w:color w:val="auto"/>
              </w:rPr>
            </w:pPr>
            <w:hyperlink w:anchor="page13">
              <w:r>
                <w:rPr>
                  <w:rFonts w:ascii="Verdana" w:cs="Verdana" w:eastAsia="Verdana" w:hAnsi="Verdana"/>
                  <w:sz w:val="20"/>
                  <w:szCs w:val="20"/>
                  <w:color w:val="auto"/>
                </w:rPr>
                <w:t>TRAINING</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13</w:t>
            </w:r>
          </w:p>
        </w:tc>
      </w:tr>
      <w:tr>
        <w:trPr>
          <w:trHeight w:val="121"/>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w:t>
            </w:r>
          </w:p>
        </w:tc>
        <w:tc>
          <w:tcPr>
            <w:tcW w:w="592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80"/>
              <w:spacing w:after="0"/>
              <w:rPr>
                <w:rFonts w:ascii="Verdana" w:cs="Verdana" w:eastAsia="Verdana" w:hAnsi="Verdana"/>
                <w:sz w:val="20"/>
                <w:szCs w:val="20"/>
                <w:color w:val="auto"/>
              </w:rPr>
            </w:pPr>
            <w:hyperlink w:anchor="page13">
              <w:r>
                <w:rPr>
                  <w:rFonts w:ascii="Verdana" w:cs="Verdana" w:eastAsia="Verdana" w:hAnsi="Verdana"/>
                  <w:sz w:val="20"/>
                  <w:szCs w:val="20"/>
                  <w:color w:val="auto"/>
                </w:rPr>
                <w:t>Registration and Compliance</w:t>
              </w:r>
            </w:hyperlink>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13</w:t>
            </w:r>
          </w:p>
        </w:tc>
      </w:tr>
      <w:tr>
        <w:trPr>
          <w:trHeight w:val="121"/>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4"/>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2.2</w:t>
            </w:r>
          </w:p>
        </w:tc>
        <w:tc>
          <w:tcPr>
            <w:tcW w:w="592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80"/>
              <w:spacing w:after="0"/>
              <w:rPr>
                <w:rFonts w:ascii="Verdana" w:cs="Verdana" w:eastAsia="Verdana" w:hAnsi="Verdana"/>
                <w:sz w:val="20"/>
                <w:szCs w:val="20"/>
                <w:color w:val="auto"/>
              </w:rPr>
            </w:pPr>
            <w:hyperlink w:anchor="page14">
              <w:r>
                <w:rPr>
                  <w:rFonts w:ascii="Verdana" w:cs="Verdana" w:eastAsia="Verdana" w:hAnsi="Verdana"/>
                  <w:sz w:val="20"/>
                  <w:szCs w:val="20"/>
                  <w:color w:val="auto"/>
                </w:rPr>
                <w:t>Curriculum Development</w:t>
              </w:r>
            </w:hyperlink>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14</w:t>
            </w:r>
          </w:p>
        </w:tc>
      </w:tr>
      <w:tr>
        <w:trPr>
          <w:trHeight w:val="121"/>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2.3</w:t>
            </w:r>
          </w:p>
        </w:tc>
        <w:tc>
          <w:tcPr>
            <w:tcW w:w="592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80"/>
              <w:spacing w:after="0"/>
              <w:rPr>
                <w:rFonts w:ascii="Verdana" w:cs="Verdana" w:eastAsia="Verdana" w:hAnsi="Verdana"/>
                <w:sz w:val="20"/>
                <w:szCs w:val="20"/>
                <w:color w:val="auto"/>
              </w:rPr>
            </w:pPr>
            <w:hyperlink w:anchor="page14">
              <w:r>
                <w:rPr>
                  <w:rFonts w:ascii="Verdana" w:cs="Verdana" w:eastAsia="Verdana" w:hAnsi="Verdana"/>
                  <w:sz w:val="20"/>
                  <w:szCs w:val="20"/>
                  <w:color w:val="auto"/>
                </w:rPr>
                <w:t>Assessment and Processing of Results</w:t>
              </w:r>
            </w:hyperlink>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14</w:t>
            </w:r>
          </w:p>
        </w:tc>
      </w:tr>
      <w:tr>
        <w:trPr>
          <w:trHeight w:val="121"/>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2.4</w:t>
            </w:r>
          </w:p>
        </w:tc>
        <w:tc>
          <w:tcPr>
            <w:tcW w:w="592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80"/>
              <w:spacing w:after="0"/>
              <w:rPr>
                <w:rFonts w:ascii="Verdana" w:cs="Verdana" w:eastAsia="Verdana" w:hAnsi="Verdana"/>
                <w:sz w:val="20"/>
                <w:szCs w:val="20"/>
                <w:color w:val="auto"/>
              </w:rPr>
            </w:pPr>
            <w:hyperlink w:anchor="page16">
              <w:r>
                <w:rPr>
                  <w:rFonts w:ascii="Verdana" w:cs="Verdana" w:eastAsia="Verdana" w:hAnsi="Verdana"/>
                  <w:sz w:val="20"/>
                  <w:szCs w:val="20"/>
                  <w:color w:val="auto"/>
                </w:rPr>
                <w:t>Training Conduct</w:t>
              </w:r>
            </w:hyperlink>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16</w:t>
            </w:r>
          </w:p>
        </w:tc>
      </w:tr>
      <w:tr>
        <w:trPr>
          <w:trHeight w:val="123"/>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2.5</w:t>
            </w:r>
          </w:p>
        </w:tc>
        <w:tc>
          <w:tcPr>
            <w:tcW w:w="592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80"/>
              <w:spacing w:after="0"/>
              <w:rPr>
                <w:rFonts w:ascii="Verdana" w:cs="Verdana" w:eastAsia="Verdana" w:hAnsi="Verdana"/>
                <w:sz w:val="20"/>
                <w:szCs w:val="20"/>
                <w:color w:val="auto"/>
              </w:rPr>
            </w:pPr>
            <w:hyperlink w:anchor="page16">
              <w:r>
                <w:rPr>
                  <w:rFonts w:ascii="Verdana" w:cs="Verdana" w:eastAsia="Verdana" w:hAnsi="Verdana"/>
                  <w:sz w:val="20"/>
                  <w:szCs w:val="20"/>
                  <w:color w:val="auto"/>
                </w:rPr>
                <w:t>Management of Students</w:t>
              </w:r>
            </w:hyperlink>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16</w:t>
            </w:r>
          </w:p>
        </w:tc>
      </w:tr>
      <w:tr>
        <w:trPr>
          <w:trHeight w:val="121"/>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2.6</w:t>
            </w:r>
          </w:p>
        </w:tc>
        <w:tc>
          <w:tcPr>
            <w:tcW w:w="592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80"/>
              <w:spacing w:after="0"/>
              <w:rPr>
                <w:rFonts w:ascii="Verdana" w:cs="Verdana" w:eastAsia="Verdana" w:hAnsi="Verdana"/>
                <w:sz w:val="20"/>
                <w:szCs w:val="20"/>
                <w:color w:val="auto"/>
              </w:rPr>
            </w:pPr>
            <w:hyperlink w:anchor="page17">
              <w:r>
                <w:rPr>
                  <w:rFonts w:ascii="Verdana" w:cs="Verdana" w:eastAsia="Verdana" w:hAnsi="Verdana"/>
                  <w:sz w:val="20"/>
                  <w:szCs w:val="20"/>
                  <w:color w:val="auto"/>
                </w:rPr>
                <w:t>Graduation</w:t>
              </w:r>
            </w:hyperlink>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17</w:t>
            </w:r>
          </w:p>
        </w:tc>
      </w:tr>
      <w:tr>
        <w:trPr>
          <w:trHeight w:val="123"/>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w:t>
            </w:r>
          </w:p>
        </w:tc>
        <w:tc>
          <w:tcPr>
            <w:tcW w:w="5920" w:type="dxa"/>
            <w:vAlign w:val="bottom"/>
            <w:tcBorders>
              <w:right w:val="single" w:sz="8" w:color="auto"/>
            </w:tcBorders>
          </w:tcPr>
          <w:p>
            <w:pPr>
              <w:ind w:left="80"/>
              <w:spacing w:after="0"/>
              <w:rPr>
                <w:rFonts w:ascii="Verdana" w:cs="Verdana" w:eastAsia="Verdana" w:hAnsi="Verdana"/>
                <w:sz w:val="20"/>
                <w:szCs w:val="20"/>
                <w:color w:val="auto"/>
              </w:rPr>
            </w:pPr>
            <w:hyperlink w:anchor="page18">
              <w:r>
                <w:rPr>
                  <w:rFonts w:ascii="Verdana" w:cs="Verdana" w:eastAsia="Verdana" w:hAnsi="Verdana"/>
                  <w:sz w:val="20"/>
                  <w:szCs w:val="20"/>
                  <w:color w:val="auto"/>
                </w:rPr>
                <w:t>QUALITY ASSURANCE</w:t>
              </w:r>
            </w:hyperlink>
          </w:p>
        </w:tc>
        <w:tc>
          <w:tcPr>
            <w:tcW w:w="5620" w:type="dxa"/>
            <w:vAlign w:val="bottom"/>
            <w:tcBorders>
              <w:right w:val="single" w:sz="8" w:color="auto"/>
            </w:tcBorders>
          </w:tcPr>
          <w:p>
            <w:pPr>
              <w:spacing w:after="0"/>
              <w:rPr>
                <w:sz w:val="24"/>
                <w:szCs w:val="24"/>
                <w:color w:val="auto"/>
              </w:rPr>
            </w:pPr>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18</w:t>
            </w:r>
          </w:p>
        </w:tc>
      </w:tr>
      <w:tr>
        <w:trPr>
          <w:trHeight w:val="121"/>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r>
        <w:trPr>
          <w:trHeight w:val="351"/>
        </w:trPr>
        <w:tc>
          <w:tcPr>
            <w:tcW w:w="18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w:t>
            </w:r>
          </w:p>
        </w:tc>
        <w:tc>
          <w:tcPr>
            <w:tcW w:w="5920" w:type="dxa"/>
            <w:vAlign w:val="bottom"/>
            <w:tcBorders>
              <w:right w:val="single" w:sz="8" w:color="auto"/>
            </w:tcBorders>
          </w:tcPr>
          <w:p>
            <w:pPr>
              <w:spacing w:after="0"/>
              <w:rPr>
                <w:sz w:val="24"/>
                <w:szCs w:val="24"/>
                <w:color w:val="auto"/>
              </w:rPr>
            </w:pPr>
          </w:p>
        </w:tc>
        <w:tc>
          <w:tcPr>
            <w:tcW w:w="5620" w:type="dxa"/>
            <w:vAlign w:val="bottom"/>
            <w:tcBorders>
              <w:right w:val="single" w:sz="8" w:color="auto"/>
            </w:tcBorders>
          </w:tcPr>
          <w:p>
            <w:pPr>
              <w:ind w:left="80"/>
              <w:spacing w:after="0"/>
              <w:rPr>
                <w:rFonts w:ascii="Verdana" w:cs="Verdana" w:eastAsia="Verdana" w:hAnsi="Verdana"/>
                <w:sz w:val="20"/>
                <w:szCs w:val="20"/>
                <w:color w:val="auto"/>
              </w:rPr>
            </w:pPr>
            <w:hyperlink w:anchor="page18">
              <w:r>
                <w:rPr>
                  <w:rFonts w:ascii="Verdana" w:cs="Verdana" w:eastAsia="Verdana" w:hAnsi="Verdana"/>
                  <w:sz w:val="20"/>
                  <w:szCs w:val="20"/>
                  <w:color w:val="auto"/>
                </w:rPr>
                <w:t>Audit</w:t>
              </w:r>
            </w:hyperlink>
          </w:p>
        </w:tc>
        <w:tc>
          <w:tcPr>
            <w:tcW w:w="150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18</w:t>
            </w:r>
          </w:p>
        </w:tc>
      </w:tr>
      <w:tr>
        <w:trPr>
          <w:trHeight w:val="123"/>
        </w:trPr>
        <w:tc>
          <w:tcPr>
            <w:tcW w:w="1800" w:type="dxa"/>
            <w:vAlign w:val="bottom"/>
            <w:tcBorders>
              <w:left w:val="single" w:sz="8" w:color="auto"/>
              <w:bottom w:val="single" w:sz="8" w:color="auto"/>
              <w:right w:val="single" w:sz="8" w:color="auto"/>
            </w:tcBorders>
          </w:tcPr>
          <w:p>
            <w:pPr>
              <w:spacing w:after="0"/>
              <w:rPr>
                <w:sz w:val="10"/>
                <w:szCs w:val="10"/>
                <w:color w:val="auto"/>
              </w:rPr>
            </w:pPr>
          </w:p>
        </w:tc>
        <w:tc>
          <w:tcPr>
            <w:tcW w:w="5920" w:type="dxa"/>
            <w:vAlign w:val="bottom"/>
            <w:tcBorders>
              <w:bottom w:val="single" w:sz="8" w:color="auto"/>
              <w:right w:val="single" w:sz="8" w:color="auto"/>
            </w:tcBorders>
          </w:tcPr>
          <w:p>
            <w:pPr>
              <w:spacing w:after="0"/>
              <w:rPr>
                <w:sz w:val="10"/>
                <w:szCs w:val="10"/>
                <w:color w:val="auto"/>
              </w:rPr>
            </w:pPr>
          </w:p>
        </w:tc>
        <w:tc>
          <w:tcPr>
            <w:tcW w:w="5620" w:type="dxa"/>
            <w:vAlign w:val="bottom"/>
            <w:tcBorders>
              <w:bottom w:val="single" w:sz="8" w:color="auto"/>
              <w:right w:val="single" w:sz="8" w:color="auto"/>
            </w:tcBorders>
          </w:tcPr>
          <w:p>
            <w:pPr>
              <w:spacing w:after="0"/>
              <w:rPr>
                <w:sz w:val="10"/>
                <w:szCs w:val="10"/>
                <w:color w:val="auto"/>
              </w:rPr>
            </w:pPr>
          </w:p>
        </w:tc>
        <w:tc>
          <w:tcPr>
            <w:tcW w:w="1500" w:type="dxa"/>
            <w:vAlign w:val="bottom"/>
            <w:tcBorders>
              <w:bottom w:val="single" w:sz="8" w:color="auto"/>
              <w:right w:val="single" w:sz="8" w:color="auto"/>
            </w:tcBorders>
          </w:tcPr>
          <w:p>
            <w:pPr>
              <w:spacing w:after="0"/>
              <w:rPr>
                <w:sz w:val="10"/>
                <w:szCs w:val="10"/>
                <w:color w:val="auto"/>
              </w:rPr>
            </w:pPr>
          </w:p>
        </w:tc>
      </w:tr>
    </w:tbl>
    <w:p>
      <w:pPr>
        <w:spacing w:after="0" w:line="200" w:lineRule="exact"/>
        <w:rPr>
          <w:sz w:val="20"/>
          <w:szCs w:val="20"/>
          <w:color w:val="auto"/>
        </w:rPr>
      </w:pPr>
    </w:p>
    <w:p>
      <w:pPr>
        <w:sectPr>
          <w:pgSz w:w="16840" w:h="11906" w:orient="landscape"/>
          <w:cols w:equalWidth="0" w:num="1">
            <w:col w:w="14860"/>
          </w:cols>
          <w:pgMar w:left="1020" w:top="682" w:right="961" w:bottom="13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14220"/>
        <w:spacing w:after="0"/>
        <w:rPr>
          <w:sz w:val="20"/>
          <w:szCs w:val="20"/>
          <w:color w:val="auto"/>
        </w:rPr>
      </w:pPr>
      <w:r>
        <w:rPr>
          <w:rFonts w:ascii="Verdana" w:cs="Verdana" w:eastAsia="Verdana" w:hAnsi="Verdana"/>
          <w:sz w:val="17"/>
          <w:szCs w:val="17"/>
          <w:color w:val="auto"/>
        </w:rPr>
        <w:t>5 of 18</w:t>
      </w:r>
    </w:p>
    <w:p>
      <w:pPr>
        <w:sectPr>
          <w:pgSz w:w="16840" w:h="11906" w:orient="landscape"/>
          <w:cols w:equalWidth="0" w:num="1">
            <w:col w:w="14860"/>
          </w:cols>
          <w:pgMar w:left="1020" w:top="682" w:right="961" w:bottom="130" w:gutter="0" w:footer="0" w:header="0"/>
          <w:type w:val="continuous"/>
        </w:sectPr>
      </w:pPr>
    </w:p>
    <w:bookmarkStart w:id="5" w:name="page6"/>
    <w:bookmarkEnd w:id="5"/>
    <w:p>
      <w:pPr>
        <w:ind w:left="307"/>
        <w:spacing w:after="0"/>
        <w:rPr>
          <w:sz w:val="20"/>
          <w:szCs w:val="20"/>
          <w:color w:val="auto"/>
        </w:rPr>
      </w:pPr>
      <w:r>
        <w:rPr>
          <w:rFonts w:ascii="Verdana" w:cs="Verdana" w:eastAsia="Verdana" w:hAnsi="Verdana"/>
          <w:sz w:val="24"/>
          <w:szCs w:val="24"/>
          <w:b w:val="1"/>
          <w:bCs w:val="1"/>
          <w:color w:val="auto"/>
        </w:rPr>
        <w:t>Retention and Disposal Authority for Records of the Emergency Services Telecommunications Authority</w:t>
      </w:r>
    </w:p>
    <w:p>
      <w:pPr>
        <w:spacing w:after="0" w:line="123" w:lineRule="exact"/>
        <w:rPr>
          <w:sz w:val="20"/>
          <w:szCs w:val="20"/>
          <w:color w:val="auto"/>
        </w:rPr>
      </w:pPr>
    </w:p>
    <w:p>
      <w:pPr>
        <w:ind w:left="7"/>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40" w:lineRule="exact"/>
        <w:rPr>
          <w:sz w:val="20"/>
          <w:szCs w:val="20"/>
          <w:color w:val="auto"/>
        </w:rPr>
      </w:pPr>
    </w:p>
    <w:p>
      <w:pPr>
        <w:ind w:left="7"/>
        <w:spacing w:after="0"/>
        <w:rPr>
          <w:sz w:val="20"/>
          <w:szCs w:val="20"/>
          <w:color w:val="auto"/>
        </w:rPr>
      </w:pPr>
      <w:r>
        <w:rPr>
          <w:rFonts w:ascii="Verdana" w:cs="Verdana" w:eastAsia="Verdana" w:hAnsi="Verdana"/>
          <w:sz w:val="40"/>
          <w:szCs w:val="40"/>
          <w:b w:val="1"/>
          <w:bCs w:val="1"/>
          <w:color w:val="auto"/>
        </w:rPr>
        <w:t>Introduction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13335</wp:posOffset>
            </wp:positionV>
            <wp:extent cx="9291320" cy="184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extLst>
                    </a:blip>
                    <a:srcRect/>
                    <a:stretch>
                      <a:fillRect/>
                    </a:stretch>
                  </pic:blipFill>
                  <pic:spPr bwMode="auto">
                    <a:xfrm>
                      <a:off x="0" y="0"/>
                      <a:ext cx="9291320" cy="18415"/>
                    </a:xfrm>
                    <a:prstGeom prst="rect">
                      <a:avLst/>
                    </a:prstGeom>
                    <a:noFill/>
                  </pic:spPr>
                </pic:pic>
              </a:graphicData>
            </a:graphic>
          </wp:anchor>
        </w:drawing>
      </w:r>
    </w:p>
    <w:p>
      <w:pPr>
        <w:spacing w:after="0" w:line="205" w:lineRule="exact"/>
        <w:rPr>
          <w:sz w:val="20"/>
          <w:szCs w:val="20"/>
          <w:color w:val="auto"/>
        </w:rPr>
      </w:pPr>
    </w:p>
    <w:p>
      <w:pPr>
        <w:ind w:left="7"/>
        <w:spacing w:after="0"/>
        <w:rPr>
          <w:sz w:val="20"/>
          <w:szCs w:val="20"/>
          <w:color w:val="auto"/>
        </w:rPr>
      </w:pPr>
      <w:r>
        <w:rPr>
          <w:rFonts w:ascii="Verdana" w:cs="Verdana" w:eastAsia="Verdana" w:hAnsi="Verdana"/>
          <w:sz w:val="22"/>
          <w:szCs w:val="22"/>
          <w:b w:val="1"/>
          <w:bCs w:val="1"/>
          <w:color w:val="auto"/>
        </w:rPr>
        <w:t>Purpose of this Authority</w:t>
      </w:r>
    </w:p>
    <w:p>
      <w:pPr>
        <w:spacing w:after="0" w:line="125" w:lineRule="exact"/>
        <w:rPr>
          <w:sz w:val="20"/>
          <w:szCs w:val="20"/>
          <w:color w:val="auto"/>
        </w:rPr>
      </w:pPr>
    </w:p>
    <w:p>
      <w:pPr>
        <w:ind w:left="7"/>
        <w:spacing w:after="0"/>
        <w:rPr>
          <w:sz w:val="20"/>
          <w:szCs w:val="20"/>
          <w:color w:val="auto"/>
        </w:rPr>
      </w:pPr>
      <w:r>
        <w:rPr>
          <w:rFonts w:ascii="Verdana" w:cs="Verdana" w:eastAsia="Verdana" w:hAnsi="Verdana"/>
          <w:sz w:val="20"/>
          <w:szCs w:val="20"/>
          <w:color w:val="auto"/>
        </w:rPr>
        <w:t xml:space="preserve">The purpose of this Authority is to provide a mechanism for the disposal of public records in accordance with the </w:t>
      </w:r>
      <w:r>
        <w:rPr>
          <w:rFonts w:ascii="Verdana" w:cs="Verdana" w:eastAsia="Verdana" w:hAnsi="Verdana"/>
          <w:sz w:val="20"/>
          <w:szCs w:val="20"/>
          <w:i w:val="1"/>
          <w:iCs w:val="1"/>
          <w:color w:val="auto"/>
        </w:rPr>
        <w:t>Public Records Act 1973.</w:t>
      </w:r>
    </w:p>
    <w:p>
      <w:pPr>
        <w:ind w:left="7"/>
        <w:spacing w:after="0"/>
        <w:rPr>
          <w:sz w:val="20"/>
          <w:szCs w:val="20"/>
          <w:color w:val="auto"/>
        </w:rPr>
      </w:pPr>
      <w:r>
        <w:rPr>
          <w:rFonts w:ascii="Verdana" w:cs="Verdana" w:eastAsia="Verdana" w:hAnsi="Verdana"/>
          <w:sz w:val="20"/>
          <w:szCs w:val="20"/>
          <w:color w:val="auto"/>
        </w:rPr>
        <w:t>The Authority:</w:t>
      </w:r>
    </w:p>
    <w:p>
      <w:pPr>
        <w:ind w:left="567" w:hanging="567"/>
        <w:spacing w:after="0" w:line="238" w:lineRule="auto"/>
        <w:tabs>
          <w:tab w:leader="none" w:pos="567" w:val="left"/>
        </w:tabs>
        <w:numPr>
          <w:ilvl w:val="0"/>
          <w:numId w:val="1"/>
        </w:numPr>
        <w:rPr>
          <w:rFonts w:ascii="Verdana" w:cs="Verdana" w:eastAsia="Verdana" w:hAnsi="Verdana"/>
          <w:sz w:val="20"/>
          <w:szCs w:val="20"/>
          <w:color w:val="auto"/>
        </w:rPr>
      </w:pPr>
      <w:r>
        <w:rPr>
          <w:rFonts w:ascii="Verdana" w:cs="Verdana" w:eastAsia="Verdana" w:hAnsi="Verdana"/>
          <w:sz w:val="20"/>
          <w:szCs w:val="20"/>
          <w:color w:val="auto"/>
        </w:rPr>
        <w:t>identifies records which are worth preserving permanently as part of Victoria’s archival heritage</w:t>
      </w:r>
    </w:p>
    <w:p>
      <w:pPr>
        <w:spacing w:after="0" w:line="5" w:lineRule="exact"/>
        <w:rPr>
          <w:rFonts w:ascii="Verdana" w:cs="Verdana" w:eastAsia="Verdana" w:hAnsi="Verdana"/>
          <w:sz w:val="20"/>
          <w:szCs w:val="20"/>
          <w:color w:val="auto"/>
        </w:rPr>
      </w:pPr>
    </w:p>
    <w:p>
      <w:pPr>
        <w:ind w:left="7" w:right="1080" w:hanging="7"/>
        <w:spacing w:after="0" w:line="238" w:lineRule="auto"/>
        <w:tabs>
          <w:tab w:leader="none" w:pos="574" w:val="left"/>
        </w:tabs>
        <w:numPr>
          <w:ilvl w:val="0"/>
          <w:numId w:val="1"/>
        </w:numPr>
        <w:rPr>
          <w:rFonts w:ascii="Verdana" w:cs="Verdana" w:eastAsia="Verdana" w:hAnsi="Verdana"/>
          <w:sz w:val="20"/>
          <w:szCs w:val="20"/>
          <w:color w:val="auto"/>
        </w:rPr>
      </w:pPr>
      <w:r>
        <w:rPr>
          <w:rFonts w:ascii="Verdana" w:cs="Verdana" w:eastAsia="Verdana" w:hAnsi="Verdana"/>
          <w:sz w:val="20"/>
          <w:szCs w:val="20"/>
          <w:color w:val="auto"/>
        </w:rPr>
        <w:t>prevents the premature destruction of records which need to be retained for a specified period to satisfy legal, financial and other requirements of public administration, and</w:t>
      </w:r>
    </w:p>
    <w:p>
      <w:pPr>
        <w:ind w:left="567" w:hanging="567"/>
        <w:spacing w:after="0"/>
        <w:tabs>
          <w:tab w:leader="none" w:pos="567" w:val="left"/>
        </w:tabs>
        <w:numPr>
          <w:ilvl w:val="0"/>
          <w:numId w:val="1"/>
        </w:numPr>
        <w:rPr>
          <w:rFonts w:ascii="Verdana" w:cs="Verdana" w:eastAsia="Verdana" w:hAnsi="Verdana"/>
          <w:sz w:val="20"/>
          <w:szCs w:val="20"/>
          <w:color w:val="auto"/>
        </w:rPr>
      </w:pPr>
      <w:r>
        <w:rPr>
          <w:rFonts w:ascii="Verdana" w:cs="Verdana" w:eastAsia="Verdana" w:hAnsi="Verdana"/>
          <w:sz w:val="20"/>
          <w:szCs w:val="20"/>
          <w:color w:val="auto"/>
        </w:rPr>
        <w:t>authorises the destruction of those records not required permanently.</w:t>
      </w:r>
    </w:p>
    <w:p>
      <w:pPr>
        <w:spacing w:after="0" w:line="200" w:lineRule="exact"/>
        <w:rPr>
          <w:sz w:val="20"/>
          <w:szCs w:val="20"/>
          <w:color w:val="auto"/>
        </w:rPr>
      </w:pPr>
    </w:p>
    <w:p>
      <w:pPr>
        <w:spacing w:after="0" w:line="269" w:lineRule="exact"/>
        <w:rPr>
          <w:sz w:val="20"/>
          <w:szCs w:val="20"/>
          <w:color w:val="auto"/>
        </w:rPr>
      </w:pPr>
    </w:p>
    <w:p>
      <w:pPr>
        <w:ind w:left="7"/>
        <w:spacing w:after="0"/>
        <w:rPr>
          <w:sz w:val="20"/>
          <w:szCs w:val="20"/>
          <w:color w:val="auto"/>
        </w:rPr>
      </w:pPr>
      <w:r>
        <w:rPr>
          <w:rFonts w:ascii="Verdana" w:cs="Verdana" w:eastAsia="Verdana" w:hAnsi="Verdana"/>
          <w:sz w:val="22"/>
          <w:szCs w:val="22"/>
          <w:b w:val="1"/>
          <w:bCs w:val="1"/>
          <w:color w:val="auto"/>
        </w:rPr>
        <w:t>Context of this Authority</w:t>
      </w:r>
    </w:p>
    <w:p>
      <w:pPr>
        <w:spacing w:after="0" w:line="123" w:lineRule="exact"/>
        <w:rPr>
          <w:sz w:val="20"/>
          <w:szCs w:val="20"/>
          <w:color w:val="auto"/>
        </w:rPr>
      </w:pPr>
    </w:p>
    <w:p>
      <w:pPr>
        <w:ind w:left="7"/>
        <w:spacing w:after="0"/>
        <w:rPr>
          <w:sz w:val="20"/>
          <w:szCs w:val="20"/>
          <w:color w:val="auto"/>
        </w:rPr>
      </w:pPr>
      <w:r>
        <w:rPr>
          <w:rFonts w:ascii="Verdana" w:cs="Verdana" w:eastAsia="Verdana" w:hAnsi="Verdana"/>
          <w:sz w:val="20"/>
          <w:szCs w:val="20"/>
          <w:b w:val="1"/>
          <w:bCs w:val="1"/>
          <w:color w:val="auto"/>
        </w:rPr>
        <w:t>Public Record Office Victoria Standards</w:t>
      </w:r>
    </w:p>
    <w:p>
      <w:pPr>
        <w:spacing w:after="0" w:line="5" w:lineRule="exact"/>
        <w:rPr>
          <w:sz w:val="20"/>
          <w:szCs w:val="20"/>
          <w:color w:val="auto"/>
        </w:rPr>
      </w:pPr>
    </w:p>
    <w:p>
      <w:pPr>
        <w:ind w:left="7" w:right="340"/>
        <w:spacing w:after="0" w:line="238" w:lineRule="auto"/>
        <w:rPr>
          <w:sz w:val="20"/>
          <w:szCs w:val="20"/>
          <w:color w:val="auto"/>
        </w:rPr>
      </w:pPr>
      <w:r>
        <w:rPr>
          <w:rFonts w:ascii="Verdana" w:cs="Verdana" w:eastAsia="Verdana" w:hAnsi="Verdana"/>
          <w:sz w:val="20"/>
          <w:szCs w:val="20"/>
          <w:color w:val="auto"/>
        </w:rPr>
        <w:t xml:space="preserve">This Authority should be used in conjunction with the Standards issued by the Keeper of Public Records under Section 12 of the </w:t>
      </w:r>
      <w:r>
        <w:rPr>
          <w:rFonts w:ascii="Verdana" w:cs="Verdana" w:eastAsia="Verdana" w:hAnsi="Verdana"/>
          <w:sz w:val="20"/>
          <w:szCs w:val="20"/>
          <w:i w:val="1"/>
          <w:iCs w:val="1"/>
          <w:color w:val="auto"/>
        </w:rPr>
        <w:t>Public Records Act 1973.</w:t>
      </w:r>
      <w:r>
        <w:rPr>
          <w:rFonts w:ascii="Verdana" w:cs="Verdana" w:eastAsia="Verdana" w:hAnsi="Verdana"/>
          <w:sz w:val="20"/>
          <w:szCs w:val="20"/>
          <w:color w:val="auto"/>
        </w:rPr>
        <w:t xml:space="preserve"> Copies of all relevant PROV standards, specifications and regulatory advice can be downloaded from www.prov.vic.gov.au. These</w:t>
      </w:r>
      <w:r>
        <w:rPr>
          <w:rFonts w:ascii="Verdana" w:cs="Verdana" w:eastAsia="Verdana" w:hAnsi="Verdana"/>
          <w:sz w:val="20"/>
          <w:szCs w:val="20"/>
          <w:i w:val="1"/>
          <w:iCs w:val="1"/>
          <w:color w:val="auto"/>
        </w:rPr>
        <w:t xml:space="preserve"> </w:t>
      </w:r>
      <w:r>
        <w:rPr>
          <w:rFonts w:ascii="Verdana" w:cs="Verdana" w:eastAsia="Verdana" w:hAnsi="Verdana"/>
          <w:sz w:val="20"/>
          <w:szCs w:val="20"/>
          <w:color w:val="auto"/>
        </w:rPr>
        <w:t>documents set out the procedures that must be followed by Victorian public offices.</w:t>
      </w:r>
    </w:p>
    <w:p>
      <w:pPr>
        <w:spacing w:after="0" w:line="246" w:lineRule="exact"/>
        <w:rPr>
          <w:sz w:val="20"/>
          <w:szCs w:val="20"/>
          <w:color w:val="auto"/>
        </w:rPr>
      </w:pPr>
    </w:p>
    <w:p>
      <w:pPr>
        <w:ind w:left="7"/>
        <w:spacing w:after="0"/>
        <w:rPr>
          <w:sz w:val="20"/>
          <w:szCs w:val="20"/>
          <w:color w:val="auto"/>
        </w:rPr>
      </w:pPr>
      <w:r>
        <w:rPr>
          <w:rFonts w:ascii="Verdana" w:cs="Verdana" w:eastAsia="Verdana" w:hAnsi="Verdana"/>
          <w:sz w:val="20"/>
          <w:szCs w:val="20"/>
          <w:b w:val="1"/>
          <w:bCs w:val="1"/>
          <w:color w:val="auto"/>
        </w:rPr>
        <w:t>Disposal of records identified in the Authority</w:t>
      </w:r>
    </w:p>
    <w:p>
      <w:pPr>
        <w:spacing w:after="0" w:line="2" w:lineRule="exact"/>
        <w:rPr>
          <w:sz w:val="20"/>
          <w:szCs w:val="20"/>
          <w:color w:val="auto"/>
        </w:rPr>
      </w:pPr>
    </w:p>
    <w:p>
      <w:pPr>
        <w:ind w:left="7" w:right="320"/>
        <w:spacing w:after="0" w:line="238" w:lineRule="auto"/>
        <w:rPr>
          <w:sz w:val="20"/>
          <w:szCs w:val="20"/>
          <w:color w:val="auto"/>
        </w:rPr>
      </w:pPr>
      <w:r>
        <w:rPr>
          <w:rFonts w:ascii="Verdana" w:cs="Verdana" w:eastAsia="Verdana" w:hAnsi="Verdana"/>
          <w:sz w:val="20"/>
          <w:szCs w:val="20"/>
          <w:color w:val="auto"/>
        </w:rPr>
        <w:t xml:space="preserve">Disposal of public records identified in this Authority must be undertaken in accordance with the requirements of Public Record Office Standard PROS 10/13 </w:t>
      </w:r>
      <w:r>
        <w:rPr>
          <w:rFonts w:ascii="Verdana" w:cs="Verdana" w:eastAsia="Verdana" w:hAnsi="Verdana"/>
          <w:sz w:val="20"/>
          <w:szCs w:val="20"/>
          <w:i w:val="1"/>
          <w:iCs w:val="1"/>
          <w:color w:val="auto"/>
        </w:rPr>
        <w:t>Disposal.</w:t>
      </w:r>
    </w:p>
    <w:p>
      <w:pPr>
        <w:spacing w:after="0" w:line="245" w:lineRule="exact"/>
        <w:rPr>
          <w:sz w:val="20"/>
          <w:szCs w:val="20"/>
          <w:color w:val="auto"/>
        </w:rPr>
      </w:pPr>
    </w:p>
    <w:p>
      <w:pPr>
        <w:ind w:left="7"/>
        <w:spacing w:after="0"/>
        <w:rPr>
          <w:sz w:val="20"/>
          <w:szCs w:val="20"/>
          <w:color w:val="auto"/>
        </w:rPr>
      </w:pPr>
      <w:r>
        <w:rPr>
          <w:rFonts w:ascii="Verdana" w:cs="Verdana" w:eastAsia="Verdana" w:hAnsi="Verdana"/>
          <w:sz w:val="20"/>
          <w:szCs w:val="20"/>
          <w:color w:val="auto"/>
        </w:rPr>
        <w:t xml:space="preserve">It is a criminal offence to unlawfully destroy a public record under s 19(1) of the </w:t>
      </w:r>
      <w:r>
        <w:rPr>
          <w:rFonts w:ascii="Verdana" w:cs="Verdana" w:eastAsia="Verdana" w:hAnsi="Verdana"/>
          <w:sz w:val="20"/>
          <w:szCs w:val="20"/>
          <w:i w:val="1"/>
          <w:iCs w:val="1"/>
          <w:color w:val="auto"/>
        </w:rPr>
        <w:t>Public Records Act 1973.</w:t>
      </w:r>
    </w:p>
    <w:p>
      <w:pPr>
        <w:spacing w:after="0" w:line="244" w:lineRule="exact"/>
        <w:rPr>
          <w:sz w:val="20"/>
          <w:szCs w:val="20"/>
          <w:color w:val="auto"/>
        </w:rPr>
      </w:pPr>
    </w:p>
    <w:p>
      <w:pPr>
        <w:ind w:left="7"/>
        <w:spacing w:after="0"/>
        <w:rPr>
          <w:sz w:val="20"/>
          <w:szCs w:val="20"/>
          <w:color w:val="auto"/>
        </w:rPr>
      </w:pPr>
      <w:r>
        <w:rPr>
          <w:rFonts w:ascii="Verdana" w:cs="Verdana" w:eastAsia="Verdana" w:hAnsi="Verdana"/>
          <w:sz w:val="20"/>
          <w:szCs w:val="20"/>
          <w:color w:val="auto"/>
        </w:rPr>
        <w:t xml:space="preserve">The destruction of a public record is not unlawful if done in accordance with a Standard established under s 12 of the </w:t>
      </w:r>
      <w:r>
        <w:rPr>
          <w:rFonts w:ascii="Verdana" w:cs="Verdana" w:eastAsia="Verdana" w:hAnsi="Verdana"/>
          <w:sz w:val="20"/>
          <w:szCs w:val="20"/>
          <w:i w:val="1"/>
          <w:iCs w:val="1"/>
          <w:color w:val="auto"/>
        </w:rPr>
        <w:t>Public Records Act 1973.</w:t>
      </w:r>
    </w:p>
    <w:p>
      <w:pPr>
        <w:spacing w:after="0" w:line="245" w:lineRule="exact"/>
        <w:rPr>
          <w:sz w:val="20"/>
          <w:szCs w:val="20"/>
          <w:color w:val="auto"/>
        </w:rPr>
      </w:pPr>
    </w:p>
    <w:p>
      <w:pPr>
        <w:ind w:left="7" w:right="200"/>
        <w:spacing w:after="0" w:line="239" w:lineRule="auto"/>
        <w:rPr>
          <w:sz w:val="20"/>
          <w:szCs w:val="20"/>
          <w:color w:val="auto"/>
        </w:rPr>
      </w:pPr>
      <w:r>
        <w:rPr>
          <w:rFonts w:ascii="Verdana" w:cs="Verdana" w:eastAsia="Verdana" w:hAnsi="Verdana"/>
          <w:sz w:val="20"/>
          <w:szCs w:val="20"/>
          <w:color w:val="auto"/>
        </w:rPr>
        <w:t xml:space="preserve">This Standard (also known as an Authority) authorises the disposal of public records as described within its provisions. However, disposal is </w:t>
      </w:r>
      <w:r>
        <w:rPr>
          <w:rFonts w:ascii="Verdana" w:cs="Verdana" w:eastAsia="Verdana" w:hAnsi="Verdana"/>
          <w:sz w:val="20"/>
          <w:szCs w:val="20"/>
          <w:b w:val="1"/>
          <w:bCs w:val="1"/>
          <w:color w:val="auto"/>
        </w:rPr>
        <w:t>not</w:t>
      </w:r>
      <w:r>
        <w:rPr>
          <w:rFonts w:ascii="Verdana" w:cs="Verdana" w:eastAsia="Verdana" w:hAnsi="Verdana"/>
          <w:sz w:val="20"/>
          <w:szCs w:val="20"/>
          <w:color w:val="auto"/>
        </w:rPr>
        <w:t xml:space="preserve"> authorised under this Standard if it is reasonably likely that the public record will be required in evidence in a current or future legal proceeding.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6 of 18</w:t>
      </w:r>
    </w:p>
    <w:p>
      <w:pPr>
        <w:sectPr>
          <w:pgSz w:w="16840" w:h="11906" w:orient="landscape"/>
          <w:cols w:equalWidth="0" w:num="1">
            <w:col w:w="14747"/>
          </w:cols>
          <w:pgMar w:left="1133" w:top="682" w:right="961" w:bottom="482" w:gutter="0" w:footer="0" w:header="0"/>
        </w:sectPr>
      </w:pPr>
    </w:p>
    <w:bookmarkStart w:id="6" w:name="page7"/>
    <w:bookmarkEnd w:id="6"/>
    <w:p>
      <w:pPr>
        <w:ind w:left="300"/>
        <w:spacing w:after="0"/>
        <w:rPr>
          <w:sz w:val="20"/>
          <w:szCs w:val="20"/>
          <w:color w:val="auto"/>
        </w:rPr>
      </w:pPr>
      <w:r>
        <w:rPr>
          <w:rFonts w:ascii="Verdana" w:cs="Verdana" w:eastAsia="Verdana" w:hAnsi="Verdana"/>
          <w:sz w:val="24"/>
          <w:szCs w:val="24"/>
          <w:b w:val="1"/>
          <w:bCs w:val="1"/>
          <w:color w:val="auto"/>
        </w:rPr>
        <w:t>Retention and Disposal Authority for Records of the Emergency Services Telecommunications Authority</w:t>
      </w:r>
    </w:p>
    <w:p>
      <w:pPr>
        <w:spacing w:after="0" w:line="12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123" w:lineRule="exact"/>
        <w:rPr>
          <w:sz w:val="20"/>
          <w:szCs w:val="20"/>
          <w:color w:val="auto"/>
        </w:rPr>
      </w:pPr>
    </w:p>
    <w:p>
      <w:pPr>
        <w:ind w:right="740"/>
        <w:spacing w:after="0" w:line="239" w:lineRule="auto"/>
        <w:rPr>
          <w:sz w:val="20"/>
          <w:szCs w:val="20"/>
          <w:color w:val="auto"/>
        </w:rPr>
      </w:pPr>
      <w:r>
        <w:rPr>
          <w:rFonts w:ascii="Verdana" w:cs="Verdana" w:eastAsia="Verdana" w:hAnsi="Verdana"/>
          <w:sz w:val="20"/>
          <w:szCs w:val="20"/>
          <w:color w:val="auto"/>
        </w:rPr>
        <w:t xml:space="preserve">For the purposes of this Retention and Disposal Authority, a ‘legal proceeding’ has the same meaning as the </w:t>
      </w:r>
      <w:r>
        <w:rPr>
          <w:rFonts w:ascii="Verdana" w:cs="Verdana" w:eastAsia="Verdana" w:hAnsi="Verdana"/>
          <w:sz w:val="20"/>
          <w:szCs w:val="20"/>
          <w:i w:val="1"/>
          <w:iCs w:val="1"/>
          <w:color w:val="auto"/>
        </w:rPr>
        <w:t>Evidence (Miscellaneous Provisions) Act 1958</w:t>
      </w:r>
      <w:r>
        <w:rPr>
          <w:rFonts w:ascii="Verdana" w:cs="Verdana" w:eastAsia="Verdana" w:hAnsi="Verdana"/>
          <w:sz w:val="20"/>
          <w:szCs w:val="20"/>
          <w:color w:val="auto"/>
        </w:rPr>
        <w:t xml:space="preserve">, and includes any civil, criminal or mixed proceeding and any inquiry in which evidence is or may be given before any court or person acting judicially, including a Royal Commission or Board of Inquiry under the </w:t>
      </w:r>
      <w:r>
        <w:rPr>
          <w:rFonts w:ascii="Verdana" w:cs="Verdana" w:eastAsia="Verdana" w:hAnsi="Verdana"/>
          <w:sz w:val="20"/>
          <w:szCs w:val="20"/>
          <w:i w:val="1"/>
          <w:iCs w:val="1"/>
          <w:color w:val="auto"/>
        </w:rPr>
        <w:t>Inquiries Act 2014.</w:t>
      </w:r>
    </w:p>
    <w:p>
      <w:pPr>
        <w:spacing w:after="0" w:line="246" w:lineRule="exact"/>
        <w:rPr>
          <w:sz w:val="20"/>
          <w:szCs w:val="20"/>
          <w:color w:val="auto"/>
        </w:rPr>
      </w:pPr>
    </w:p>
    <w:p>
      <w:pPr>
        <w:ind w:right="840"/>
        <w:spacing w:after="0" w:line="238" w:lineRule="auto"/>
        <w:rPr>
          <w:sz w:val="20"/>
          <w:szCs w:val="20"/>
          <w:color w:val="auto"/>
        </w:rPr>
      </w:pPr>
      <w:r>
        <w:rPr>
          <w:rFonts w:ascii="Verdana" w:cs="Verdana" w:eastAsia="Verdana" w:hAnsi="Verdana"/>
          <w:sz w:val="20"/>
          <w:szCs w:val="20"/>
          <w:color w:val="auto"/>
        </w:rPr>
        <w:t>If the public office identifies that public records must be retained under other applicable legislation for a period that exceeds the retention period specified under the Standards, then the longer retention period must apply.</w:t>
      </w:r>
    </w:p>
    <w:p>
      <w:pPr>
        <w:spacing w:after="0" w:line="245"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Normal Administrative Practice</w:t>
      </w:r>
    </w:p>
    <w:p>
      <w:pPr>
        <w:spacing w:after="0" w:line="2" w:lineRule="exact"/>
        <w:rPr>
          <w:sz w:val="20"/>
          <w:szCs w:val="20"/>
          <w:color w:val="auto"/>
        </w:rPr>
      </w:pPr>
    </w:p>
    <w:p>
      <w:pPr>
        <w:ind w:right="740"/>
        <w:spacing w:after="0" w:line="264" w:lineRule="auto"/>
        <w:rPr>
          <w:sz w:val="20"/>
          <w:szCs w:val="20"/>
          <w:color w:val="auto"/>
        </w:rPr>
      </w:pPr>
      <w:r>
        <w:rPr>
          <w:rFonts w:ascii="Verdana" w:cs="Verdana" w:eastAsia="Verdana" w:hAnsi="Verdana"/>
          <w:sz w:val="19"/>
          <w:szCs w:val="19"/>
          <w:color w:val="auto"/>
        </w:rPr>
        <w:t>The destruction of some public records is permitted without final authorisation under normal administrative practice (NAP). NAP covers the destruction of ephemeral material of a facilitative nature created, acquired or collected by public officers during the course of their duties.</w:t>
      </w:r>
    </w:p>
    <w:p>
      <w:pPr>
        <w:spacing w:after="0" w:line="219" w:lineRule="exact"/>
        <w:rPr>
          <w:sz w:val="20"/>
          <w:szCs w:val="20"/>
          <w:color w:val="auto"/>
        </w:rPr>
      </w:pPr>
    </w:p>
    <w:p>
      <w:pPr>
        <w:ind w:left="760"/>
        <w:spacing w:after="0"/>
        <w:rPr>
          <w:sz w:val="20"/>
          <w:szCs w:val="20"/>
          <w:color w:val="auto"/>
        </w:rPr>
      </w:pPr>
      <w:r>
        <w:rPr>
          <w:rFonts w:ascii="Verdana" w:cs="Verdana" w:eastAsia="Verdana" w:hAnsi="Verdana"/>
          <w:sz w:val="20"/>
          <w:szCs w:val="20"/>
          <w:color w:val="auto"/>
        </w:rPr>
        <w:t>The following material may be destroyed under NAP:</w:t>
      </w:r>
    </w:p>
    <w:p>
      <w:pPr>
        <w:spacing w:after="0" w:line="2" w:lineRule="exact"/>
        <w:rPr>
          <w:sz w:val="20"/>
          <w:szCs w:val="20"/>
          <w:color w:val="auto"/>
        </w:rPr>
      </w:pPr>
    </w:p>
    <w:p>
      <w:pPr>
        <w:ind w:right="1300" w:firstLine="766"/>
        <w:spacing w:after="0" w:line="239" w:lineRule="auto"/>
        <w:tabs>
          <w:tab w:leader="none" w:pos="1136"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working papers consisting of rough notes and calculations used solely to assist in the preparation of other records such as correspondence, reports and statistical tabulations</w:t>
      </w:r>
    </w:p>
    <w:p>
      <w:pPr>
        <w:spacing w:after="0" w:line="3" w:lineRule="exact"/>
        <w:rPr>
          <w:rFonts w:ascii="Verdana" w:cs="Verdana" w:eastAsia="Verdana" w:hAnsi="Verdana"/>
          <w:sz w:val="20"/>
          <w:szCs w:val="20"/>
          <w:color w:val="auto"/>
        </w:rPr>
      </w:pPr>
    </w:p>
    <w:p>
      <w:pPr>
        <w:ind w:right="520" w:firstLine="766"/>
        <w:spacing w:after="0" w:line="238" w:lineRule="auto"/>
        <w:tabs>
          <w:tab w:leader="none" w:pos="1136"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drafts not intended for retention as part of the office’s records, the content of which has been reproduced and incorporated in the public office's record keeping system</w:t>
      </w:r>
    </w:p>
    <w:p>
      <w:pPr>
        <w:spacing w:after="0" w:line="2" w:lineRule="exact"/>
        <w:rPr>
          <w:rFonts w:ascii="Verdana" w:cs="Verdana" w:eastAsia="Verdana" w:hAnsi="Verdana"/>
          <w:sz w:val="20"/>
          <w:szCs w:val="20"/>
          <w:color w:val="auto"/>
        </w:rPr>
      </w:pPr>
    </w:p>
    <w:p>
      <w:pPr>
        <w:ind w:left="1120" w:hanging="354"/>
        <w:spacing w:after="0"/>
        <w:tabs>
          <w:tab w:leader="none" w:pos="1120" w:val="left"/>
        </w:tabs>
        <w:numPr>
          <w:ilvl w:val="0"/>
          <w:numId w:val="2"/>
        </w:numPr>
        <w:rPr>
          <w:rFonts w:ascii="Verdana" w:cs="Verdana" w:eastAsia="Verdana" w:hAnsi="Verdana"/>
          <w:sz w:val="20"/>
          <w:szCs w:val="20"/>
          <w:color w:val="auto"/>
        </w:rPr>
      </w:pPr>
      <w:r>
        <w:rPr>
          <w:rFonts w:ascii="Verdana" w:cs="Verdana" w:eastAsia="Verdana" w:hAnsi="Verdana"/>
          <w:sz w:val="20"/>
          <w:szCs w:val="20"/>
          <w:color w:val="auto"/>
        </w:rPr>
        <w:t>extra copies of documents and published material preserved solely for reference.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7 of 18</w:t>
      </w:r>
    </w:p>
    <w:p>
      <w:pPr>
        <w:sectPr>
          <w:pgSz w:w="16840" w:h="11906" w:orient="landscape"/>
          <w:cols w:equalWidth="0" w:num="1">
            <w:col w:w="14740"/>
          </w:cols>
          <w:pgMar w:left="1140" w:top="682" w:right="961" w:bottom="482" w:gutter="0" w:footer="0" w:header="0"/>
        </w:sectPr>
      </w:pPr>
    </w:p>
    <w:bookmarkStart w:id="7" w:name="page8"/>
    <w:bookmarkEnd w:id="7"/>
    <w:p>
      <w:pPr>
        <w:ind w:left="300"/>
        <w:spacing w:after="0"/>
        <w:rPr>
          <w:sz w:val="20"/>
          <w:szCs w:val="20"/>
          <w:color w:val="auto"/>
        </w:rPr>
      </w:pPr>
      <w:r>
        <w:rPr>
          <w:rFonts w:ascii="Verdana" w:cs="Verdana" w:eastAsia="Verdana" w:hAnsi="Verdana"/>
          <w:sz w:val="24"/>
          <w:szCs w:val="24"/>
          <w:b w:val="1"/>
          <w:bCs w:val="1"/>
          <w:color w:val="auto"/>
        </w:rPr>
        <w:t>Retention and Disposal Authority for Records of the Emergency Services Telecommunications Authority</w:t>
      </w:r>
    </w:p>
    <w:p>
      <w:pPr>
        <w:spacing w:after="0" w:line="12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120"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Transfer of records to Public Record Office Victoria</w:t>
      </w:r>
    </w:p>
    <w:p>
      <w:pPr>
        <w:spacing w:after="0"/>
        <w:rPr>
          <w:sz w:val="20"/>
          <w:szCs w:val="20"/>
          <w:color w:val="auto"/>
        </w:rPr>
      </w:pPr>
      <w:r>
        <w:rPr>
          <w:rFonts w:ascii="Verdana" w:cs="Verdana" w:eastAsia="Verdana" w:hAnsi="Verdana"/>
          <w:sz w:val="20"/>
          <w:szCs w:val="20"/>
          <w:color w:val="auto"/>
        </w:rPr>
        <w:t>Contact Public Record Office Victoria for further information on procedures for transferring permanent records to archival custody.</w:t>
      </w: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Use of Other Authorities</w:t>
      </w:r>
    </w:p>
    <w:p>
      <w:pPr>
        <w:spacing w:after="0" w:line="128" w:lineRule="exact"/>
        <w:rPr>
          <w:sz w:val="20"/>
          <w:szCs w:val="20"/>
          <w:color w:val="auto"/>
        </w:rPr>
      </w:pPr>
    </w:p>
    <w:p>
      <w:pPr>
        <w:ind w:right="200"/>
        <w:spacing w:after="0" w:line="238" w:lineRule="auto"/>
        <w:rPr>
          <w:sz w:val="20"/>
          <w:szCs w:val="20"/>
          <w:color w:val="auto"/>
        </w:rPr>
      </w:pPr>
      <w:r>
        <w:rPr>
          <w:rFonts w:ascii="Verdana" w:cs="Verdana" w:eastAsia="Verdana" w:hAnsi="Verdana"/>
          <w:sz w:val="20"/>
          <w:szCs w:val="20"/>
          <w:color w:val="auto"/>
        </w:rPr>
        <w:t>In applying the disposal sentences set out in this Authority, reference should be made to other current Authorities where applicable. Where there is a conflict between two Authorities (for instance this Authority and the General Retention and Disposal Authority for Records of Common Administrative Functions), consult the Public Record Office Victoria for advice.</w:t>
      </w:r>
    </w:p>
    <w:p>
      <w:pPr>
        <w:spacing w:after="0" w:line="178"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Explanation of Authority Headings</w:t>
      </w:r>
    </w:p>
    <w:p>
      <w:pPr>
        <w:spacing w:after="0" w:line="126"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Class Number</w:t>
      </w:r>
    </w:p>
    <w:p>
      <w:pPr>
        <w:spacing w:after="0"/>
        <w:rPr>
          <w:sz w:val="20"/>
          <w:szCs w:val="20"/>
          <w:color w:val="auto"/>
        </w:rPr>
      </w:pPr>
      <w:r>
        <w:rPr>
          <w:rFonts w:ascii="Verdana" w:cs="Verdana" w:eastAsia="Verdana" w:hAnsi="Verdana"/>
          <w:sz w:val="20"/>
          <w:szCs w:val="20"/>
          <w:color w:val="auto"/>
        </w:rPr>
        <w:t>The class number or entry reference number provides citation and ease of reference.</w:t>
      </w:r>
    </w:p>
    <w:p>
      <w:pPr>
        <w:spacing w:after="0" w:line="24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Description</w:t>
      </w:r>
    </w:p>
    <w:p>
      <w:pPr>
        <w:spacing w:after="0" w:line="2" w:lineRule="exact"/>
        <w:rPr>
          <w:sz w:val="20"/>
          <w:szCs w:val="20"/>
          <w:color w:val="auto"/>
        </w:rPr>
      </w:pPr>
    </w:p>
    <w:p>
      <w:pPr>
        <w:ind w:right="560"/>
        <w:spacing w:after="0" w:line="238" w:lineRule="auto"/>
        <w:rPr>
          <w:sz w:val="20"/>
          <w:szCs w:val="20"/>
          <w:color w:val="auto"/>
        </w:rPr>
      </w:pPr>
      <w:r>
        <w:rPr>
          <w:rFonts w:ascii="Verdana" w:cs="Verdana" w:eastAsia="Verdana" w:hAnsi="Verdana"/>
          <w:sz w:val="20"/>
          <w:szCs w:val="20"/>
          <w:color w:val="auto"/>
        </w:rPr>
        <w:t>The description of each record class is specified in this entry. A record class is a group of records that relate to the same activity, function or subject and require the same disposal action.</w:t>
      </w:r>
    </w:p>
    <w:p>
      <w:pPr>
        <w:spacing w:after="0" w:line="245"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Status</w:t>
      </w:r>
    </w:p>
    <w:p>
      <w:pPr>
        <w:spacing w:after="0"/>
        <w:rPr>
          <w:sz w:val="20"/>
          <w:szCs w:val="20"/>
          <w:color w:val="auto"/>
        </w:rPr>
      </w:pPr>
      <w:r>
        <w:rPr>
          <w:rFonts w:ascii="Verdana" w:cs="Verdana" w:eastAsia="Verdana" w:hAnsi="Verdana"/>
          <w:sz w:val="20"/>
          <w:szCs w:val="20"/>
          <w:color w:val="auto"/>
        </w:rPr>
        <w:t>This entry provides the archival status of each class - either permanent or temporary.</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Custody</w:t>
      </w:r>
    </w:p>
    <w:p>
      <w:pPr>
        <w:spacing w:after="0" w:line="2" w:lineRule="exact"/>
        <w:rPr>
          <w:sz w:val="20"/>
          <w:szCs w:val="20"/>
          <w:color w:val="auto"/>
        </w:rPr>
      </w:pPr>
    </w:p>
    <w:p>
      <w:pPr>
        <w:ind w:right="600"/>
        <w:spacing w:after="0" w:line="238" w:lineRule="auto"/>
        <w:rPr>
          <w:sz w:val="20"/>
          <w:szCs w:val="20"/>
          <w:color w:val="auto"/>
        </w:rPr>
      </w:pPr>
      <w:r>
        <w:rPr>
          <w:rFonts w:ascii="Verdana" w:cs="Verdana" w:eastAsia="Verdana" w:hAnsi="Verdana"/>
          <w:sz w:val="20"/>
          <w:szCs w:val="20"/>
          <w:color w:val="auto"/>
        </w:rPr>
        <w:t>This entry specifies whether the records are to be retained by the public office or transferred to the Public Record Office Victoria. Permanent records must be managed and transferred in accordance with PROV Standards.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8 of 18</w:t>
      </w:r>
    </w:p>
    <w:p>
      <w:pPr>
        <w:sectPr>
          <w:pgSz w:w="16840" w:h="11906" w:orient="landscape"/>
          <w:cols w:equalWidth="0" w:num="1">
            <w:col w:w="14740"/>
          </w:cols>
          <w:pgMar w:left="1140" w:top="682" w:right="961" w:bottom="482" w:gutter="0" w:footer="0" w:header="0"/>
        </w:sectPr>
      </w:pPr>
    </w:p>
    <w:bookmarkStart w:id="8" w:name="page9"/>
    <w:bookmarkEnd w:id="8"/>
    <w:p>
      <w:pPr>
        <w:ind w:left="300"/>
        <w:spacing w:after="0"/>
        <w:rPr>
          <w:sz w:val="20"/>
          <w:szCs w:val="20"/>
          <w:color w:val="auto"/>
        </w:rPr>
      </w:pPr>
      <w:r>
        <w:rPr>
          <w:rFonts w:ascii="Verdana" w:cs="Verdana" w:eastAsia="Verdana" w:hAnsi="Verdana"/>
          <w:sz w:val="24"/>
          <w:szCs w:val="24"/>
          <w:b w:val="1"/>
          <w:bCs w:val="1"/>
          <w:color w:val="auto"/>
        </w:rPr>
        <w:t>Retention and Disposal Authority for Records of the Emergency Services Telecommunications Authority</w:t>
      </w:r>
    </w:p>
    <w:p>
      <w:pPr>
        <w:spacing w:after="0" w:line="123"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116"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Concurrence of Public Office</w:t>
      </w:r>
    </w:p>
    <w:p>
      <w:pPr>
        <w:spacing w:after="0" w:line="123" w:lineRule="exact"/>
        <w:rPr>
          <w:sz w:val="20"/>
          <w:szCs w:val="20"/>
          <w:color w:val="auto"/>
        </w:rPr>
      </w:pPr>
    </w:p>
    <w:p>
      <w:pPr>
        <w:spacing w:after="0"/>
        <w:rPr>
          <w:sz w:val="20"/>
          <w:szCs w:val="20"/>
          <w:color w:val="auto"/>
        </w:rPr>
      </w:pPr>
      <w:r>
        <w:rPr>
          <w:rFonts w:ascii="Verdana" w:cs="Verdana" w:eastAsia="Verdana" w:hAnsi="Verdana"/>
          <w:sz w:val="20"/>
          <w:szCs w:val="20"/>
          <w:color w:val="auto"/>
        </w:rPr>
        <w:t>This Authority has the concurrence of:</w:t>
      </w:r>
    </w:p>
    <w:p>
      <w:pPr>
        <w:spacing w:after="0" w:line="2" w:lineRule="exact"/>
        <w:rPr>
          <w:sz w:val="20"/>
          <w:szCs w:val="20"/>
          <w:color w:val="auto"/>
        </w:rPr>
      </w:pPr>
    </w:p>
    <w:p>
      <w:pPr>
        <w:spacing w:after="0"/>
        <w:rPr>
          <w:sz w:val="20"/>
          <w:szCs w:val="20"/>
          <w:color w:val="auto"/>
        </w:rPr>
      </w:pPr>
      <w:r>
        <w:rPr>
          <w:rFonts w:ascii="Verdana" w:cs="Verdana" w:eastAsia="Verdana" w:hAnsi="Verdana"/>
          <w:sz w:val="20"/>
          <w:szCs w:val="20"/>
          <w:color w:val="auto"/>
        </w:rPr>
        <w:t>________________________________________________</w:t>
      </w:r>
    </w:p>
    <w:p>
      <w:pPr>
        <w:spacing w:after="0" w:line="242" w:lineRule="exact"/>
        <w:rPr>
          <w:sz w:val="20"/>
          <w:szCs w:val="20"/>
          <w:color w:val="auto"/>
        </w:rPr>
      </w:pPr>
    </w:p>
    <w:p>
      <w:pPr>
        <w:spacing w:after="0"/>
        <w:rPr>
          <w:sz w:val="20"/>
          <w:szCs w:val="20"/>
          <w:color w:val="auto"/>
        </w:rPr>
      </w:pPr>
      <w:r>
        <w:rPr>
          <w:rFonts w:ascii="Verdana" w:cs="Verdana" w:eastAsia="Verdana" w:hAnsi="Verdana"/>
          <w:sz w:val="20"/>
          <w:szCs w:val="20"/>
          <w:color w:val="auto"/>
        </w:rPr>
        <w:t>Signature: [signed]</w:t>
      </w:r>
    </w:p>
    <w:p>
      <w:pPr>
        <w:spacing w:after="0" w:line="244" w:lineRule="exact"/>
        <w:rPr>
          <w:sz w:val="20"/>
          <w:szCs w:val="20"/>
          <w:color w:val="auto"/>
        </w:rPr>
      </w:pPr>
    </w:p>
    <w:p>
      <w:pPr>
        <w:spacing w:after="0"/>
        <w:rPr>
          <w:sz w:val="20"/>
          <w:szCs w:val="20"/>
          <w:color w:val="auto"/>
        </w:rPr>
      </w:pPr>
      <w:r>
        <w:rPr>
          <w:rFonts w:ascii="Verdana" w:cs="Verdana" w:eastAsia="Verdana" w:hAnsi="Verdana"/>
          <w:sz w:val="20"/>
          <w:szCs w:val="20"/>
          <w:color w:val="auto"/>
        </w:rPr>
        <w:t>Name: Ken Shymanski</w:t>
      </w:r>
    </w:p>
    <w:p>
      <w:pPr>
        <w:spacing w:after="0" w:line="242" w:lineRule="exact"/>
        <w:rPr>
          <w:sz w:val="20"/>
          <w:szCs w:val="20"/>
          <w:color w:val="auto"/>
        </w:rPr>
      </w:pPr>
    </w:p>
    <w:p>
      <w:pPr>
        <w:spacing w:after="0"/>
        <w:rPr>
          <w:sz w:val="20"/>
          <w:szCs w:val="20"/>
          <w:color w:val="auto"/>
        </w:rPr>
      </w:pPr>
      <w:r>
        <w:rPr>
          <w:rFonts w:ascii="Verdana" w:cs="Verdana" w:eastAsia="Verdana" w:hAnsi="Verdana"/>
          <w:sz w:val="20"/>
          <w:szCs w:val="20"/>
          <w:color w:val="auto"/>
        </w:rPr>
        <w:t>Position: CEO</w:t>
      </w:r>
    </w:p>
    <w:p>
      <w:pPr>
        <w:spacing w:after="0" w:line="245" w:lineRule="exact"/>
        <w:rPr>
          <w:sz w:val="20"/>
          <w:szCs w:val="20"/>
          <w:color w:val="auto"/>
        </w:rPr>
      </w:pPr>
    </w:p>
    <w:p>
      <w:pPr>
        <w:spacing w:after="0"/>
        <w:rPr>
          <w:sz w:val="20"/>
          <w:szCs w:val="20"/>
          <w:color w:val="auto"/>
        </w:rPr>
      </w:pPr>
      <w:r>
        <w:rPr>
          <w:rFonts w:ascii="Verdana" w:cs="Verdana" w:eastAsia="Verdana" w:hAnsi="Verdana"/>
          <w:sz w:val="20"/>
          <w:szCs w:val="20"/>
          <w:color w:val="auto"/>
        </w:rPr>
        <w:t>Date: 28/05/2013</w:t>
      </w:r>
    </w:p>
    <w:p>
      <w:pPr>
        <w:spacing w:after="0"/>
        <w:rPr>
          <w:sz w:val="20"/>
          <w:szCs w:val="20"/>
          <w:color w:val="auto"/>
        </w:rPr>
      </w:pPr>
      <w:r>
        <w:rPr>
          <w:rFonts w:ascii="Verdana" w:cs="Verdana" w:eastAsia="Verdana" w:hAnsi="Verdana"/>
          <w:sz w:val="20"/>
          <w:szCs w:val="20"/>
          <w:color w:val="auto"/>
        </w:rPr>
        <w:t>________________________________________________</w:t>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Verdana" w:cs="Verdana" w:eastAsia="Verdana" w:hAnsi="Verdana"/>
          <w:sz w:val="22"/>
          <w:szCs w:val="22"/>
          <w:b w:val="1"/>
          <w:bCs w:val="1"/>
          <w:color w:val="auto"/>
        </w:rPr>
        <w:t>Establishment of Standard</w:t>
      </w:r>
    </w:p>
    <w:p>
      <w:pPr>
        <w:spacing w:after="0" w:line="125" w:lineRule="exact"/>
        <w:rPr>
          <w:sz w:val="20"/>
          <w:szCs w:val="20"/>
          <w:color w:val="auto"/>
        </w:rPr>
      </w:pPr>
    </w:p>
    <w:p>
      <w:pPr>
        <w:ind w:right="200"/>
        <w:spacing w:after="0" w:line="239" w:lineRule="auto"/>
        <w:rPr>
          <w:sz w:val="20"/>
          <w:szCs w:val="20"/>
          <w:color w:val="auto"/>
        </w:rPr>
      </w:pPr>
      <w:r>
        <w:rPr>
          <w:rFonts w:ascii="Verdana" w:cs="Verdana" w:eastAsia="Verdana" w:hAnsi="Verdana"/>
          <w:sz w:val="20"/>
          <w:szCs w:val="20"/>
          <w:color w:val="auto"/>
        </w:rPr>
        <w:t xml:space="preserve">Pursuant to Section 12 of the </w:t>
      </w:r>
      <w:r>
        <w:rPr>
          <w:rFonts w:ascii="Verdana" w:cs="Verdana" w:eastAsia="Verdana" w:hAnsi="Verdana"/>
          <w:sz w:val="20"/>
          <w:szCs w:val="20"/>
          <w:i w:val="1"/>
          <w:iCs w:val="1"/>
          <w:color w:val="auto"/>
        </w:rPr>
        <w:t>Public Records Act 1973</w:t>
      </w:r>
      <w:r>
        <w:rPr>
          <w:rFonts w:ascii="Verdana" w:cs="Verdana" w:eastAsia="Verdana" w:hAnsi="Verdana"/>
          <w:sz w:val="20"/>
          <w:szCs w:val="20"/>
          <w:color w:val="auto"/>
        </w:rPr>
        <w:t>, I hereby establish these provisions as a Standard (also known as a Retention and Disposal Authority) applying to Emergency Services Telecommunications Authority. This standard as varied or amended from time to time, shall have effect for a period of ten (10) years from the date of issue unless revoked.</w:t>
      </w: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Verdana" w:cs="Verdana" w:eastAsia="Verdana" w:hAnsi="Verdana"/>
          <w:sz w:val="20"/>
          <w:szCs w:val="20"/>
          <w:color w:val="auto"/>
        </w:rPr>
        <w:t>[signed]</w:t>
      </w:r>
    </w:p>
    <w:p>
      <w:pPr>
        <w:spacing w:after="0" w:line="119" w:lineRule="exact"/>
        <w:rPr>
          <w:sz w:val="20"/>
          <w:szCs w:val="20"/>
          <w:color w:val="auto"/>
        </w:rPr>
      </w:pPr>
    </w:p>
    <w:p>
      <w:pPr>
        <w:spacing w:after="0"/>
        <w:rPr>
          <w:sz w:val="20"/>
          <w:szCs w:val="20"/>
          <w:color w:val="auto"/>
        </w:rPr>
      </w:pPr>
      <w:r>
        <w:rPr>
          <w:rFonts w:ascii="Verdana" w:cs="Verdana" w:eastAsia="Verdana" w:hAnsi="Verdana"/>
          <w:sz w:val="20"/>
          <w:szCs w:val="20"/>
          <w:b w:val="1"/>
          <w:bCs w:val="1"/>
          <w:color w:val="auto"/>
        </w:rPr>
        <w:t>Justine Heazlewood,</w:t>
      </w:r>
      <w:r>
        <w:rPr>
          <w:rFonts w:ascii="Verdana" w:cs="Verdana" w:eastAsia="Verdana" w:hAnsi="Verdana"/>
          <w:sz w:val="20"/>
          <w:szCs w:val="20"/>
          <w:color w:val="auto"/>
        </w:rPr>
        <w:t xml:space="preserve"> Director &amp; Keeper of Public Records</w:t>
      </w:r>
    </w:p>
    <w:p>
      <w:pPr>
        <w:spacing w:after="0"/>
        <w:rPr>
          <w:sz w:val="20"/>
          <w:szCs w:val="20"/>
          <w:color w:val="auto"/>
        </w:rPr>
      </w:pPr>
      <w:r>
        <w:rPr>
          <w:rFonts w:ascii="Verdana" w:cs="Verdana" w:eastAsia="Verdana" w:hAnsi="Verdana"/>
          <w:sz w:val="20"/>
          <w:szCs w:val="20"/>
          <w:color w:val="auto"/>
        </w:rPr>
        <w:t>Date of Issue: 04/06/2013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right"/>
        <w:spacing w:after="0"/>
        <w:rPr>
          <w:sz w:val="20"/>
          <w:szCs w:val="20"/>
          <w:color w:val="auto"/>
        </w:rPr>
      </w:pPr>
      <w:r>
        <w:rPr>
          <w:rFonts w:ascii="Verdana" w:cs="Verdana" w:eastAsia="Verdana" w:hAnsi="Verdana"/>
          <w:sz w:val="18"/>
          <w:szCs w:val="18"/>
          <w:color w:val="auto"/>
        </w:rPr>
        <w:t>9 of 18</w:t>
      </w:r>
    </w:p>
    <w:p>
      <w:pPr>
        <w:sectPr>
          <w:pgSz w:w="16840" w:h="11906" w:orient="landscape"/>
          <w:cols w:equalWidth="0" w:num="1">
            <w:col w:w="14740"/>
          </w:cols>
          <w:pgMar w:left="1140" w:top="682" w:right="961" w:bottom="482" w:gutter="0" w:footer="0" w:header="0"/>
        </w:sectPr>
      </w:pPr>
    </w:p>
    <w:bookmarkStart w:id="9" w:name="page10"/>
    <w:bookmarkEnd w:id="9"/>
    <w:p>
      <w:pPr>
        <w:ind w:left="42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946023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744.9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78105</wp:posOffset>
                </wp:positionV>
                <wp:extent cx="0" cy="21145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15pt" to="0.2pt,2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821690</wp:posOffset>
                </wp:positionH>
                <wp:positionV relativeFrom="paragraph">
                  <wp:posOffset>78105</wp:posOffset>
                </wp:positionV>
                <wp:extent cx="0" cy="211455"/>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6.15pt" to="64.7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78105</wp:posOffset>
                </wp:positionV>
                <wp:extent cx="0" cy="21145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15pt" to="197.4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6084570</wp:posOffset>
                </wp:positionH>
                <wp:positionV relativeFrom="paragraph">
                  <wp:posOffset>78105</wp:posOffset>
                </wp:positionV>
                <wp:extent cx="0" cy="21145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1pt,6.15pt" to="479.1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7770495</wp:posOffset>
                </wp:positionH>
                <wp:positionV relativeFrom="paragraph">
                  <wp:posOffset>78105</wp:posOffset>
                </wp:positionV>
                <wp:extent cx="0" cy="21145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85pt,6.15pt" to="611.85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9457690</wp:posOffset>
                </wp:positionH>
                <wp:positionV relativeFrom="paragraph">
                  <wp:posOffset>78105</wp:posOffset>
                </wp:positionV>
                <wp:extent cx="0" cy="211455"/>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7pt,6.15pt" to="744.7pt,22.8pt" o:allowincell="f" strokecolor="#000000" strokeweight="0.48pt"/>
            </w:pict>
          </mc:Fallback>
        </mc:AlternateContent>
      </w:r>
    </w:p>
    <w:p>
      <w:pPr>
        <w:sectPr>
          <w:pgSz w:w="16840" w:h="11906" w:orient="landscape"/>
          <w:cols w:equalWidth="0" w:num="1">
            <w:col w:w="14900"/>
          </w:cols>
          <w:pgMar w:left="1020" w:top="685" w:right="921" w:bottom="120"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47625</wp:posOffset>
                </wp:positionV>
                <wp:extent cx="946023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3.75pt" to="431.9pt,3.7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211"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85" w:right="921" w:bottom="120" w:gutter="0" w:footer="0" w:header="0"/>
          <w:type w:val="continuous"/>
        </w:sectPr>
      </w:pPr>
    </w:p>
    <w:p>
      <w:pPr>
        <w:spacing w:after="0" w:line="91" w:lineRule="exact"/>
        <w:rPr>
          <w:sz w:val="20"/>
          <w:szCs w:val="20"/>
          <w:color w:val="auto"/>
        </w:rPr>
      </w:pPr>
    </w:p>
    <w:tbl>
      <w:tblPr>
        <w:tblLayout w:type="fixed"/>
        <w:tblInd w:w="10" w:type="dxa"/>
        <w:tblCellMar>
          <w:top w:w="0" w:type="dxa"/>
          <w:left w:w="0" w:type="dxa"/>
          <w:bottom w:w="0" w:type="dxa"/>
          <w:right w:w="0" w:type="dxa"/>
        </w:tblCellMar>
      </w:tblPr>
      <w:tr>
        <w:trPr>
          <w:trHeight w:val="371"/>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EMERGENCY</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Victoria's emergency</w:t>
            </w:r>
          </w:p>
        </w:tc>
        <w:tc>
          <w:tcPr>
            <w:tcW w:w="2660" w:type="dxa"/>
            <w:vAlign w:val="bottom"/>
            <w:tcBorders>
              <w:top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COMMUNICATIONS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communications. Includes taking calls made to Triple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MANAGEMENT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Zero (000) and notifying the relevant emergency</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services organisations for an emergency services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response. Emergency services organisations include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Victoria Police, the Metropolitan Fire and Emergency</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Services Board, the Country Fire Authority,</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Ambulance Victoria and the Victoria State Emergency</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Service. Includes the handling of non-emergency</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calls involving patient transport.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Also includes the management of emergency</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communications data and change management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processes.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Emergency and Non-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emergency and non-emergency</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Emergency Call</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calls. Includes taking calls from the public or a</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Management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member of an emergency services organisation and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dispatch of emergency services organisations in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response. Call-takers gather information about the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emergency, notify the required emergency services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organisations and manage the data about the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emergency to its resolution.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8"/>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Data entered into the computer aided dispatch (CAD)</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system about an emergency or non-emergency call</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last access.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event. Includes data on caller identification, phone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number, location address, clinical/medical</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information, and all event related data received from</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4"/>
        </w:trPr>
        <w:tc>
          <w:tcPr>
            <w:tcW w:w="1300" w:type="dxa"/>
            <w:vAlign w:val="bottom"/>
            <w:tcBorders>
              <w:left w:val="single" w:sz="8" w:color="auto"/>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spacing w:after="0"/>
              <w:rPr>
                <w:sz w:val="21"/>
                <w:szCs w:val="21"/>
                <w:color w:val="auto"/>
              </w:rPr>
            </w:pPr>
          </w:p>
        </w:tc>
        <w:tc>
          <w:tcPr>
            <w:tcW w:w="5640" w:type="dxa"/>
            <w:vAlign w:val="bottom"/>
            <w:tcBorders>
              <w:bottom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caller by the call-taker in the structured call-</w:t>
            </w:r>
          </w:p>
        </w:tc>
        <w:tc>
          <w:tcPr>
            <w:tcW w:w="2660" w:type="dxa"/>
            <w:vAlign w:val="bottom"/>
            <w:tcBorders>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spacing w:after="0"/>
              <w:rPr>
                <w:sz w:val="21"/>
                <w:szCs w:val="21"/>
                <w:color w:val="auto"/>
              </w:rPr>
            </w:pPr>
          </w:p>
        </w:tc>
      </w:tr>
    </w:tbl>
    <w:p>
      <w:pPr>
        <w:spacing w:after="0" w:line="337" w:lineRule="exact"/>
        <w:rPr>
          <w:sz w:val="20"/>
          <w:szCs w:val="20"/>
          <w:color w:val="auto"/>
        </w:rPr>
      </w:pPr>
    </w:p>
    <w:p>
      <w:pPr>
        <w:ind w:left="120" w:right="220"/>
        <w:spacing w:after="0" w:line="239" w:lineRule="auto"/>
        <w:rPr>
          <w:sz w:val="20"/>
          <w:szCs w:val="20"/>
          <w:color w:val="auto"/>
        </w:rPr>
      </w:pPr>
      <w:r>
        <w:rPr>
          <w:rFonts w:ascii="Verdana" w:cs="Verdana" w:eastAsia="Verdana" w:hAnsi="Verdana"/>
          <w:sz w:val="18"/>
          <w:szCs w:val="18"/>
          <w:color w:val="auto"/>
        </w:rPr>
        <w:t xml:space="preserve">This Retention and Disposal Authority </w:t>
      </w:r>
      <w:r>
        <w:rPr>
          <w:rFonts w:ascii="Verdana" w:cs="Verdana" w:eastAsia="Verdana" w:hAnsi="Verdana"/>
          <w:sz w:val="18"/>
          <w:szCs w:val="18"/>
          <w:b w:val="1"/>
          <w:bCs w:val="1"/>
          <w:color w:val="auto"/>
        </w:rPr>
        <w:t>must not be used</w:t>
      </w:r>
      <w:r>
        <w:rPr>
          <w:rFonts w:ascii="Verdana" w:cs="Verdana" w:eastAsia="Verdana" w:hAnsi="Verdana"/>
          <w:sz w:val="18"/>
          <w:szCs w:val="18"/>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2" w:lineRule="exact"/>
        <w:rPr>
          <w:sz w:val="20"/>
          <w:szCs w:val="20"/>
          <w:color w:val="auto"/>
        </w:rPr>
      </w:pPr>
    </w:p>
    <w:tbl>
      <w:tblPr>
        <w:tblLayout w:type="fixed"/>
        <w:tblInd w:w="120" w:type="dxa"/>
        <w:tblCellMar>
          <w:top w:w="0" w:type="dxa"/>
          <w:left w:w="0" w:type="dxa"/>
          <w:bottom w:w="0" w:type="dxa"/>
          <w:right w:w="0" w:type="dxa"/>
        </w:tblCellMar>
      </w:tblPr>
      <w:tr>
        <w:trPr>
          <w:trHeight w:val="219"/>
        </w:trPr>
        <w:tc>
          <w:tcPr>
            <w:tcW w:w="13900" w:type="dxa"/>
            <w:vAlign w:val="bottom"/>
          </w:tcPr>
          <w:p>
            <w:pPr>
              <w:spacing w:after="0"/>
              <w:rPr>
                <w:sz w:val="20"/>
                <w:szCs w:val="20"/>
                <w:color w:val="auto"/>
              </w:rPr>
            </w:pPr>
            <w:r>
              <w:rPr>
                <w:rFonts w:ascii="Verdana" w:cs="Verdana" w:eastAsia="Verdana" w:hAnsi="Verdana"/>
                <w:sz w:val="18"/>
                <w:szCs w:val="18"/>
                <w:color w:val="auto"/>
              </w:rPr>
              <w:t xml:space="preserve">Instead agencies </w:t>
            </w:r>
            <w:r>
              <w:rPr>
                <w:rFonts w:ascii="Verdana" w:cs="Verdana" w:eastAsia="Verdana" w:hAnsi="Verdana"/>
                <w:sz w:val="18"/>
                <w:szCs w:val="18"/>
                <w:b w:val="1"/>
                <w:bCs w:val="1"/>
                <w:color w:val="auto"/>
              </w:rPr>
              <w:t>must use PROS 19/08</w:t>
            </w:r>
            <w:r>
              <w:rPr>
                <w:rFonts w:ascii="Verdana" w:cs="Verdana" w:eastAsia="Verdana" w:hAnsi="Verdana"/>
                <w:sz w:val="18"/>
                <w:szCs w:val="18"/>
                <w:color w:val="auto"/>
              </w:rPr>
              <w:t xml:space="preserve"> Retention and Disposal Authority for Records of Organisational Response to Child Sexual Abuse Incidents and</w:t>
            </w:r>
          </w:p>
        </w:tc>
        <w:tc>
          <w:tcPr>
            <w:tcW w:w="860" w:type="dxa"/>
            <w:vAlign w:val="bottom"/>
          </w:tcPr>
          <w:p>
            <w:pPr>
              <w:spacing w:after="0"/>
              <w:rPr>
                <w:sz w:val="19"/>
                <w:szCs w:val="19"/>
                <w:color w:val="auto"/>
              </w:rPr>
            </w:pPr>
          </w:p>
        </w:tc>
      </w:tr>
      <w:tr>
        <w:trPr>
          <w:trHeight w:val="218"/>
        </w:trPr>
        <w:tc>
          <w:tcPr>
            <w:tcW w:w="13900" w:type="dxa"/>
            <w:vAlign w:val="bottom"/>
          </w:tcPr>
          <w:p>
            <w:pPr>
              <w:spacing w:after="0"/>
              <w:rPr>
                <w:sz w:val="20"/>
                <w:szCs w:val="20"/>
                <w:color w:val="auto"/>
              </w:rPr>
            </w:pPr>
            <w:r>
              <w:rPr>
                <w:rFonts w:ascii="Verdana" w:cs="Verdana" w:eastAsia="Verdana" w:hAnsi="Verdana"/>
                <w:sz w:val="18"/>
                <w:szCs w:val="18"/>
                <w:color w:val="auto"/>
              </w:rPr>
              <w:t>Allegations.</w:t>
            </w:r>
          </w:p>
        </w:tc>
        <w:tc>
          <w:tcPr>
            <w:tcW w:w="860" w:type="dxa"/>
            <w:vAlign w:val="bottom"/>
          </w:tcPr>
          <w:p>
            <w:pPr>
              <w:ind w:left="80"/>
              <w:spacing w:after="0"/>
              <w:rPr>
                <w:sz w:val="20"/>
                <w:szCs w:val="20"/>
                <w:color w:val="auto"/>
              </w:rPr>
            </w:pPr>
            <w:r>
              <w:rPr>
                <w:rFonts w:ascii="Verdana" w:cs="Verdana" w:eastAsia="Verdana" w:hAnsi="Verdana"/>
                <w:sz w:val="18"/>
                <w:szCs w:val="18"/>
                <w:color w:val="auto"/>
                <w:w w:val="97"/>
              </w:rPr>
              <w:t>10 of 18</w:t>
            </w:r>
          </w:p>
        </w:tc>
      </w:tr>
    </w:tbl>
    <w:p>
      <w:pPr>
        <w:sectPr>
          <w:pgSz w:w="16840" w:h="11906" w:orient="landscape"/>
          <w:cols w:equalWidth="0" w:num="1">
            <w:col w:w="14900"/>
          </w:cols>
          <w:pgMar w:left="1020" w:top="685" w:right="921" w:bottom="120" w:gutter="0" w:footer="0" w:header="0"/>
          <w:type w:val="continuous"/>
        </w:sectPr>
      </w:pPr>
    </w:p>
    <w:bookmarkStart w:id="10" w:name="page11"/>
    <w:bookmarkEnd w:id="10"/>
    <w:p>
      <w:pPr>
        <w:ind w:left="42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946023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744.9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78105</wp:posOffset>
                </wp:positionV>
                <wp:extent cx="0" cy="21145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15pt" to="0.2pt,2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821690</wp:posOffset>
                </wp:positionH>
                <wp:positionV relativeFrom="paragraph">
                  <wp:posOffset>78105</wp:posOffset>
                </wp:positionV>
                <wp:extent cx="0" cy="21145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6.15pt" to="64.7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78105</wp:posOffset>
                </wp:positionV>
                <wp:extent cx="0" cy="21145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15pt" to="197.4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6084570</wp:posOffset>
                </wp:positionH>
                <wp:positionV relativeFrom="paragraph">
                  <wp:posOffset>78105</wp:posOffset>
                </wp:positionV>
                <wp:extent cx="0" cy="21145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1pt,6.15pt" to="479.1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7770495</wp:posOffset>
                </wp:positionH>
                <wp:positionV relativeFrom="paragraph">
                  <wp:posOffset>78105</wp:posOffset>
                </wp:positionV>
                <wp:extent cx="0" cy="21145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85pt,6.15pt" to="611.85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9457690</wp:posOffset>
                </wp:positionH>
                <wp:positionV relativeFrom="paragraph">
                  <wp:posOffset>78105</wp:posOffset>
                </wp:positionV>
                <wp:extent cx="0" cy="211455"/>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7pt,6.15pt" to="744.7pt,22.8pt" o:allowincell="f" strokecolor="#000000" strokeweight="0.48pt"/>
            </w:pict>
          </mc:Fallback>
        </mc:AlternateContent>
      </w:r>
    </w:p>
    <w:p>
      <w:pPr>
        <w:sectPr>
          <w:pgSz w:w="16840" w:h="11906" w:orient="landscape"/>
          <w:cols w:equalWidth="0" w:num="1">
            <w:col w:w="14900"/>
          </w:cols>
          <w:pgMar w:left="1020" w:top="685" w:right="921" w:bottom="120"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47625</wp:posOffset>
                </wp:positionV>
                <wp:extent cx="946023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3.75pt" to="431.9pt,3.7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198"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85" w:right="921" w:bottom="120"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EMERGENCY COMMUNICATIONS MANAGEMENT - Emergency and Non-Emergency Call Management</w:t>
      </w: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251"/>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taking process.</w:t>
            </w:r>
          </w:p>
        </w:tc>
        <w:tc>
          <w:tcPr>
            <w:tcW w:w="2660" w:type="dxa"/>
            <w:vAlign w:val="bottom"/>
            <w:tcBorders>
              <w:top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Also includes data about the dispatch of an</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emergency services organisation such as the police,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fire or ambulance unit sent to respond to the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emergency, the emergency appliances required, as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well as status updates and notifications to indicate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emergency has been dealt with.</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8"/>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1.1.2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Voice recordings of calls made regarding an event in</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which assistance is sought of an emergency services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last access.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organisation. Includes both emergency and non-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emergency events.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Communications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vital communications data.</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Data Management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data creation, maintenance, access,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distribution to and receipt from internal and external</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stakeholders, such as emergency services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organisations and governing bodies. Includes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ensuring the integrity and quality of data meets the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needs of the call-taking and dispatch process via the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computer aided dispatch (CAD) system.</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Data created, collected and managed to assist in the</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handling of emergency and non-emergency calls.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last access.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spatial mapping data for the computer aided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dispatch (CAD) system used for call-takers and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dispatchers to determine the exact location of an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event. Also includes data received from government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4"/>
        </w:trPr>
        <w:tc>
          <w:tcPr>
            <w:tcW w:w="1300" w:type="dxa"/>
            <w:vAlign w:val="bottom"/>
            <w:tcBorders>
              <w:left w:val="single" w:sz="8" w:color="auto"/>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spacing w:after="0"/>
              <w:rPr>
                <w:sz w:val="21"/>
                <w:szCs w:val="21"/>
                <w:color w:val="auto"/>
              </w:rPr>
            </w:pPr>
          </w:p>
        </w:tc>
        <w:tc>
          <w:tcPr>
            <w:tcW w:w="5640" w:type="dxa"/>
            <w:vAlign w:val="bottom"/>
            <w:tcBorders>
              <w:bottom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agencies and emergency services organisations such</w:t>
            </w:r>
          </w:p>
        </w:tc>
        <w:tc>
          <w:tcPr>
            <w:tcW w:w="2660" w:type="dxa"/>
            <w:vAlign w:val="bottom"/>
            <w:tcBorders>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spacing w:after="0"/>
              <w:rPr>
                <w:sz w:val="21"/>
                <w:szCs w:val="21"/>
                <w:color w:val="auto"/>
              </w:rPr>
            </w:pPr>
          </w:p>
        </w:tc>
      </w:tr>
    </w:tbl>
    <w:p>
      <w:pPr>
        <w:spacing w:after="0" w:line="205" w:lineRule="exact"/>
        <w:rPr>
          <w:sz w:val="20"/>
          <w:szCs w:val="20"/>
          <w:color w:val="auto"/>
        </w:rPr>
      </w:pPr>
    </w:p>
    <w:p>
      <w:pPr>
        <w:ind w:left="120" w:right="220"/>
        <w:spacing w:after="0" w:line="239" w:lineRule="auto"/>
        <w:rPr>
          <w:sz w:val="20"/>
          <w:szCs w:val="20"/>
          <w:color w:val="auto"/>
        </w:rPr>
      </w:pPr>
      <w:r>
        <w:rPr>
          <w:rFonts w:ascii="Verdana" w:cs="Verdana" w:eastAsia="Verdana" w:hAnsi="Verdana"/>
          <w:sz w:val="18"/>
          <w:szCs w:val="18"/>
          <w:color w:val="auto"/>
        </w:rPr>
        <w:t xml:space="preserve">This Retention and Disposal Authority </w:t>
      </w:r>
      <w:r>
        <w:rPr>
          <w:rFonts w:ascii="Verdana" w:cs="Verdana" w:eastAsia="Verdana" w:hAnsi="Verdana"/>
          <w:sz w:val="18"/>
          <w:szCs w:val="18"/>
          <w:b w:val="1"/>
          <w:bCs w:val="1"/>
          <w:color w:val="auto"/>
        </w:rPr>
        <w:t>must not be used</w:t>
      </w:r>
      <w:r>
        <w:rPr>
          <w:rFonts w:ascii="Verdana" w:cs="Verdana" w:eastAsia="Verdana" w:hAnsi="Verdana"/>
          <w:sz w:val="18"/>
          <w:szCs w:val="18"/>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2" w:lineRule="exact"/>
        <w:rPr>
          <w:sz w:val="20"/>
          <w:szCs w:val="20"/>
          <w:color w:val="auto"/>
        </w:rPr>
      </w:pPr>
    </w:p>
    <w:tbl>
      <w:tblPr>
        <w:tblLayout w:type="fixed"/>
        <w:tblInd w:w="120" w:type="dxa"/>
        <w:tblCellMar>
          <w:top w:w="0" w:type="dxa"/>
          <w:left w:w="0" w:type="dxa"/>
          <w:bottom w:w="0" w:type="dxa"/>
          <w:right w:w="0" w:type="dxa"/>
        </w:tblCellMar>
      </w:tblPr>
      <w:tr>
        <w:trPr>
          <w:trHeight w:val="219"/>
        </w:trPr>
        <w:tc>
          <w:tcPr>
            <w:tcW w:w="13900" w:type="dxa"/>
            <w:vAlign w:val="bottom"/>
          </w:tcPr>
          <w:p>
            <w:pPr>
              <w:spacing w:after="0"/>
              <w:rPr>
                <w:sz w:val="20"/>
                <w:szCs w:val="20"/>
                <w:color w:val="auto"/>
              </w:rPr>
            </w:pPr>
            <w:r>
              <w:rPr>
                <w:rFonts w:ascii="Verdana" w:cs="Verdana" w:eastAsia="Verdana" w:hAnsi="Verdana"/>
                <w:sz w:val="18"/>
                <w:szCs w:val="18"/>
                <w:color w:val="auto"/>
              </w:rPr>
              <w:t xml:space="preserve">Instead agencies </w:t>
            </w:r>
            <w:r>
              <w:rPr>
                <w:rFonts w:ascii="Verdana" w:cs="Verdana" w:eastAsia="Verdana" w:hAnsi="Verdana"/>
                <w:sz w:val="18"/>
                <w:szCs w:val="18"/>
                <w:b w:val="1"/>
                <w:bCs w:val="1"/>
                <w:color w:val="auto"/>
              </w:rPr>
              <w:t>must use PROS 19/08</w:t>
            </w:r>
            <w:r>
              <w:rPr>
                <w:rFonts w:ascii="Verdana" w:cs="Verdana" w:eastAsia="Verdana" w:hAnsi="Verdana"/>
                <w:sz w:val="18"/>
                <w:szCs w:val="18"/>
                <w:color w:val="auto"/>
              </w:rPr>
              <w:t xml:space="preserve"> Retention and Disposal Authority for Records of Organisational Response to Child Sexual Abuse Incidents and</w:t>
            </w:r>
          </w:p>
        </w:tc>
        <w:tc>
          <w:tcPr>
            <w:tcW w:w="860" w:type="dxa"/>
            <w:vAlign w:val="bottom"/>
          </w:tcPr>
          <w:p>
            <w:pPr>
              <w:spacing w:after="0"/>
              <w:rPr>
                <w:sz w:val="19"/>
                <w:szCs w:val="19"/>
                <w:color w:val="auto"/>
              </w:rPr>
            </w:pPr>
          </w:p>
        </w:tc>
      </w:tr>
      <w:tr>
        <w:trPr>
          <w:trHeight w:val="218"/>
        </w:trPr>
        <w:tc>
          <w:tcPr>
            <w:tcW w:w="13900" w:type="dxa"/>
            <w:vAlign w:val="bottom"/>
          </w:tcPr>
          <w:p>
            <w:pPr>
              <w:spacing w:after="0"/>
              <w:rPr>
                <w:sz w:val="20"/>
                <w:szCs w:val="20"/>
                <w:color w:val="auto"/>
              </w:rPr>
            </w:pPr>
            <w:r>
              <w:rPr>
                <w:rFonts w:ascii="Verdana" w:cs="Verdana" w:eastAsia="Verdana" w:hAnsi="Verdana"/>
                <w:sz w:val="18"/>
                <w:szCs w:val="18"/>
                <w:color w:val="auto"/>
              </w:rPr>
              <w:t>Allegations.</w:t>
            </w:r>
          </w:p>
        </w:tc>
        <w:tc>
          <w:tcPr>
            <w:tcW w:w="860" w:type="dxa"/>
            <w:vAlign w:val="bottom"/>
          </w:tcPr>
          <w:p>
            <w:pPr>
              <w:ind w:left="80"/>
              <w:spacing w:after="0"/>
              <w:rPr>
                <w:sz w:val="20"/>
                <w:szCs w:val="20"/>
                <w:color w:val="auto"/>
              </w:rPr>
            </w:pPr>
            <w:r>
              <w:rPr>
                <w:rFonts w:ascii="Verdana" w:cs="Verdana" w:eastAsia="Verdana" w:hAnsi="Verdana"/>
                <w:sz w:val="18"/>
                <w:szCs w:val="18"/>
                <w:color w:val="auto"/>
                <w:w w:val="97"/>
              </w:rPr>
              <w:t>11 of 18</w:t>
            </w:r>
          </w:p>
        </w:tc>
      </w:tr>
    </w:tbl>
    <w:p>
      <w:pPr>
        <w:sectPr>
          <w:pgSz w:w="16840" w:h="11906" w:orient="landscape"/>
          <w:cols w:equalWidth="0" w:num="1">
            <w:col w:w="14900"/>
          </w:cols>
          <w:pgMar w:left="1020" w:top="685" w:right="921" w:bottom="120" w:gutter="0" w:footer="0" w:header="0"/>
          <w:type w:val="continuous"/>
        </w:sectPr>
      </w:pPr>
    </w:p>
    <w:bookmarkStart w:id="11" w:name="page12"/>
    <w:bookmarkEnd w:id="11"/>
    <w:p>
      <w:pPr>
        <w:ind w:left="42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946023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744.9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78105</wp:posOffset>
                </wp:positionV>
                <wp:extent cx="0" cy="21145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15pt" to="0.2pt,2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821690</wp:posOffset>
                </wp:positionH>
                <wp:positionV relativeFrom="paragraph">
                  <wp:posOffset>78105</wp:posOffset>
                </wp:positionV>
                <wp:extent cx="0" cy="211455"/>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6.15pt" to="64.7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78105</wp:posOffset>
                </wp:positionV>
                <wp:extent cx="0" cy="21145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15pt" to="197.4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6084570</wp:posOffset>
                </wp:positionH>
                <wp:positionV relativeFrom="paragraph">
                  <wp:posOffset>78105</wp:posOffset>
                </wp:positionV>
                <wp:extent cx="0" cy="21145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1pt,6.15pt" to="479.1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7770495</wp:posOffset>
                </wp:positionH>
                <wp:positionV relativeFrom="paragraph">
                  <wp:posOffset>78105</wp:posOffset>
                </wp:positionV>
                <wp:extent cx="0" cy="21145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85pt,6.15pt" to="611.85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9457690</wp:posOffset>
                </wp:positionH>
                <wp:positionV relativeFrom="paragraph">
                  <wp:posOffset>78105</wp:posOffset>
                </wp:positionV>
                <wp:extent cx="0" cy="21145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7pt,6.15pt" to="744.7pt,22.8pt" o:allowincell="f" strokecolor="#000000" strokeweight="0.48pt"/>
            </w:pict>
          </mc:Fallback>
        </mc:AlternateContent>
      </w:r>
    </w:p>
    <w:p>
      <w:pPr>
        <w:sectPr>
          <w:pgSz w:w="16840" w:h="11906" w:orient="landscape"/>
          <w:cols w:equalWidth="0" w:num="1">
            <w:col w:w="14900"/>
          </w:cols>
          <w:pgMar w:left="1020" w:top="685" w:right="921" w:bottom="120"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47625</wp:posOffset>
                </wp:positionV>
                <wp:extent cx="946023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3.75pt" to="431.9pt,3.7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198"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85" w:right="921" w:bottom="120"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EMERGENCY COMMUNICATIONS MANAGEMENT - Communications Data Management</w:t>
      </w: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251"/>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as the location of police stations.</w:t>
            </w:r>
          </w:p>
        </w:tc>
        <w:tc>
          <w:tcPr>
            <w:tcW w:w="2660" w:type="dxa"/>
            <w:vAlign w:val="bottom"/>
            <w:tcBorders>
              <w:top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1.2.2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generation of statistical</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reports based on computer-aided dispatch (CAD)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last access...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data. Reports are generated for the Office of the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Emergency Services Commissioner (OESC), for</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emergency service organisations and in response to</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FOI requests as well as for internal management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reporting purposes. Statistics include call type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frequencies as well as call answer and dispatch speed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responses, etc.</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 xml:space="preserve">[For all other Reporting, see the </w:t>
            </w:r>
            <w:r>
              <w:rPr>
                <w:rFonts w:ascii="Verdana" w:cs="Verdana" w:eastAsia="Verdana" w:hAnsi="Verdana"/>
                <w:sz w:val="20"/>
                <w:szCs w:val="20"/>
                <w:i w:val="1"/>
                <w:iCs w:val="1"/>
                <w:color w:val="auto"/>
              </w:rPr>
              <w:t>General Retention</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i w:val="1"/>
                <w:iCs w:val="1"/>
                <w:color w:val="auto"/>
              </w:rPr>
              <w:t>and Disposal Authority for Records of Common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i w:val="1"/>
                <w:iCs w:val="1"/>
                <w:color w:val="auto"/>
              </w:rPr>
              <w:t>Administrative Functions.</w:t>
            </w:r>
            <w:r>
              <w:rPr>
                <w:rFonts w:ascii="Verdana" w:cs="Verdana" w:eastAsia="Verdana" w:hAnsi="Verdana"/>
                <w:sz w:val="20"/>
                <w:szCs w:val="20"/>
                <w:color w:val="auto"/>
              </w:rPr>
              <w: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8"/>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1.3</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Change Management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and control of changes in technical</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operational processes, as requested both</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internally and externally from emergency services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organisations. Changes include operational and/or</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technical changes to systems, networks or processes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 technology and telecommunications.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1.3.1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requests and changes made to</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technology and processes used in emergency</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administrative use has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telecommunications management. Includes changes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concluded.</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to hardware, communications equipment,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communications software, physical facilities or</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services such as technical configurations, software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4"/>
        </w:trPr>
        <w:tc>
          <w:tcPr>
            <w:tcW w:w="1300" w:type="dxa"/>
            <w:vAlign w:val="bottom"/>
            <w:tcBorders>
              <w:left w:val="single" w:sz="8" w:color="auto"/>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spacing w:after="0"/>
              <w:rPr>
                <w:sz w:val="21"/>
                <w:szCs w:val="21"/>
                <w:color w:val="auto"/>
              </w:rPr>
            </w:pPr>
          </w:p>
        </w:tc>
        <w:tc>
          <w:tcPr>
            <w:tcW w:w="5640" w:type="dxa"/>
            <w:vAlign w:val="bottom"/>
            <w:tcBorders>
              <w:bottom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upgrades, changes to the structured call-taking</w:t>
            </w:r>
          </w:p>
        </w:tc>
        <w:tc>
          <w:tcPr>
            <w:tcW w:w="2660" w:type="dxa"/>
            <w:vAlign w:val="bottom"/>
            <w:tcBorders>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spacing w:after="0"/>
              <w:rPr>
                <w:sz w:val="21"/>
                <w:szCs w:val="21"/>
                <w:color w:val="auto"/>
              </w:rPr>
            </w:pPr>
          </w:p>
        </w:tc>
      </w:tr>
    </w:tbl>
    <w:p>
      <w:pPr>
        <w:spacing w:after="0" w:line="205" w:lineRule="exact"/>
        <w:rPr>
          <w:sz w:val="20"/>
          <w:szCs w:val="20"/>
          <w:color w:val="auto"/>
        </w:rPr>
      </w:pPr>
    </w:p>
    <w:p>
      <w:pPr>
        <w:ind w:left="120" w:right="220"/>
        <w:spacing w:after="0" w:line="239" w:lineRule="auto"/>
        <w:rPr>
          <w:sz w:val="20"/>
          <w:szCs w:val="20"/>
          <w:color w:val="auto"/>
        </w:rPr>
      </w:pPr>
      <w:r>
        <w:rPr>
          <w:rFonts w:ascii="Verdana" w:cs="Verdana" w:eastAsia="Verdana" w:hAnsi="Verdana"/>
          <w:sz w:val="18"/>
          <w:szCs w:val="18"/>
          <w:color w:val="auto"/>
        </w:rPr>
        <w:t xml:space="preserve">This Retention and Disposal Authority </w:t>
      </w:r>
      <w:r>
        <w:rPr>
          <w:rFonts w:ascii="Verdana" w:cs="Verdana" w:eastAsia="Verdana" w:hAnsi="Verdana"/>
          <w:sz w:val="18"/>
          <w:szCs w:val="18"/>
          <w:b w:val="1"/>
          <w:bCs w:val="1"/>
          <w:color w:val="auto"/>
        </w:rPr>
        <w:t>must not be used</w:t>
      </w:r>
      <w:r>
        <w:rPr>
          <w:rFonts w:ascii="Verdana" w:cs="Verdana" w:eastAsia="Verdana" w:hAnsi="Verdana"/>
          <w:sz w:val="18"/>
          <w:szCs w:val="18"/>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2" w:lineRule="exact"/>
        <w:rPr>
          <w:sz w:val="20"/>
          <w:szCs w:val="20"/>
          <w:color w:val="auto"/>
        </w:rPr>
      </w:pPr>
    </w:p>
    <w:tbl>
      <w:tblPr>
        <w:tblLayout w:type="fixed"/>
        <w:tblInd w:w="120" w:type="dxa"/>
        <w:tblCellMar>
          <w:top w:w="0" w:type="dxa"/>
          <w:left w:w="0" w:type="dxa"/>
          <w:bottom w:w="0" w:type="dxa"/>
          <w:right w:w="0" w:type="dxa"/>
        </w:tblCellMar>
      </w:tblPr>
      <w:tr>
        <w:trPr>
          <w:trHeight w:val="219"/>
        </w:trPr>
        <w:tc>
          <w:tcPr>
            <w:tcW w:w="13900" w:type="dxa"/>
            <w:vAlign w:val="bottom"/>
          </w:tcPr>
          <w:p>
            <w:pPr>
              <w:spacing w:after="0"/>
              <w:rPr>
                <w:sz w:val="20"/>
                <w:szCs w:val="20"/>
                <w:color w:val="auto"/>
              </w:rPr>
            </w:pPr>
            <w:r>
              <w:rPr>
                <w:rFonts w:ascii="Verdana" w:cs="Verdana" w:eastAsia="Verdana" w:hAnsi="Verdana"/>
                <w:sz w:val="18"/>
                <w:szCs w:val="18"/>
                <w:color w:val="auto"/>
              </w:rPr>
              <w:t xml:space="preserve">Instead agencies </w:t>
            </w:r>
            <w:r>
              <w:rPr>
                <w:rFonts w:ascii="Verdana" w:cs="Verdana" w:eastAsia="Verdana" w:hAnsi="Verdana"/>
                <w:sz w:val="18"/>
                <w:szCs w:val="18"/>
                <w:b w:val="1"/>
                <w:bCs w:val="1"/>
                <w:color w:val="auto"/>
              </w:rPr>
              <w:t>must use PROS 19/08</w:t>
            </w:r>
            <w:r>
              <w:rPr>
                <w:rFonts w:ascii="Verdana" w:cs="Verdana" w:eastAsia="Verdana" w:hAnsi="Verdana"/>
                <w:sz w:val="18"/>
                <w:szCs w:val="18"/>
                <w:color w:val="auto"/>
              </w:rPr>
              <w:t xml:space="preserve"> Retention and Disposal Authority for Records of Organisational Response to Child Sexual Abuse Incidents and</w:t>
            </w:r>
          </w:p>
        </w:tc>
        <w:tc>
          <w:tcPr>
            <w:tcW w:w="860" w:type="dxa"/>
            <w:vAlign w:val="bottom"/>
          </w:tcPr>
          <w:p>
            <w:pPr>
              <w:spacing w:after="0"/>
              <w:rPr>
                <w:sz w:val="19"/>
                <w:szCs w:val="19"/>
                <w:color w:val="auto"/>
              </w:rPr>
            </w:pPr>
          </w:p>
        </w:tc>
      </w:tr>
      <w:tr>
        <w:trPr>
          <w:trHeight w:val="218"/>
        </w:trPr>
        <w:tc>
          <w:tcPr>
            <w:tcW w:w="13900" w:type="dxa"/>
            <w:vAlign w:val="bottom"/>
          </w:tcPr>
          <w:p>
            <w:pPr>
              <w:spacing w:after="0"/>
              <w:rPr>
                <w:sz w:val="20"/>
                <w:szCs w:val="20"/>
                <w:color w:val="auto"/>
              </w:rPr>
            </w:pPr>
            <w:r>
              <w:rPr>
                <w:rFonts w:ascii="Verdana" w:cs="Verdana" w:eastAsia="Verdana" w:hAnsi="Verdana"/>
                <w:sz w:val="18"/>
                <w:szCs w:val="18"/>
                <w:color w:val="auto"/>
              </w:rPr>
              <w:t>Allegations.</w:t>
            </w:r>
          </w:p>
        </w:tc>
        <w:tc>
          <w:tcPr>
            <w:tcW w:w="860" w:type="dxa"/>
            <w:vAlign w:val="bottom"/>
          </w:tcPr>
          <w:p>
            <w:pPr>
              <w:ind w:left="80"/>
              <w:spacing w:after="0"/>
              <w:rPr>
                <w:sz w:val="20"/>
                <w:szCs w:val="20"/>
                <w:color w:val="auto"/>
              </w:rPr>
            </w:pPr>
            <w:r>
              <w:rPr>
                <w:rFonts w:ascii="Verdana" w:cs="Verdana" w:eastAsia="Verdana" w:hAnsi="Verdana"/>
                <w:sz w:val="18"/>
                <w:szCs w:val="18"/>
                <w:color w:val="auto"/>
                <w:w w:val="97"/>
              </w:rPr>
              <w:t>12 of 18</w:t>
            </w:r>
          </w:p>
        </w:tc>
      </w:tr>
    </w:tbl>
    <w:p>
      <w:pPr>
        <w:sectPr>
          <w:pgSz w:w="16840" w:h="11906" w:orient="landscape"/>
          <w:cols w:equalWidth="0" w:num="1">
            <w:col w:w="14900"/>
          </w:cols>
          <w:pgMar w:left="1020" w:top="685" w:right="921" w:bottom="120" w:gutter="0" w:footer="0" w:header="0"/>
          <w:type w:val="continuous"/>
        </w:sectPr>
      </w:pPr>
    </w:p>
    <w:bookmarkStart w:id="12" w:name="page13"/>
    <w:bookmarkEnd w:id="12"/>
    <w:p>
      <w:pPr>
        <w:ind w:left="42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946023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744.9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78105</wp:posOffset>
                </wp:positionV>
                <wp:extent cx="0" cy="21145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15pt" to="0.2pt,2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821690</wp:posOffset>
                </wp:positionH>
                <wp:positionV relativeFrom="paragraph">
                  <wp:posOffset>78105</wp:posOffset>
                </wp:positionV>
                <wp:extent cx="0" cy="211455"/>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6.15pt" to="64.7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78105</wp:posOffset>
                </wp:positionV>
                <wp:extent cx="0" cy="21145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15pt" to="197.4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6084570</wp:posOffset>
                </wp:positionH>
                <wp:positionV relativeFrom="paragraph">
                  <wp:posOffset>78105</wp:posOffset>
                </wp:positionV>
                <wp:extent cx="0" cy="211455"/>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1pt,6.15pt" to="479.1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7770495</wp:posOffset>
                </wp:positionH>
                <wp:positionV relativeFrom="paragraph">
                  <wp:posOffset>78105</wp:posOffset>
                </wp:positionV>
                <wp:extent cx="0" cy="211455"/>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85pt,6.15pt" to="611.85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9457690</wp:posOffset>
                </wp:positionH>
                <wp:positionV relativeFrom="paragraph">
                  <wp:posOffset>78105</wp:posOffset>
                </wp:positionV>
                <wp:extent cx="0" cy="211455"/>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7pt,6.15pt" to="744.7pt,22.8pt" o:allowincell="f" strokecolor="#000000" strokeweight="0.48pt"/>
            </w:pict>
          </mc:Fallback>
        </mc:AlternateContent>
      </w:r>
    </w:p>
    <w:p>
      <w:pPr>
        <w:sectPr>
          <w:pgSz w:w="16840" w:h="11906" w:orient="landscape"/>
          <w:cols w:equalWidth="0" w:num="1">
            <w:col w:w="14900"/>
          </w:cols>
          <w:pgMar w:left="1020" w:top="685" w:right="921" w:bottom="120"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47625</wp:posOffset>
                </wp:positionV>
                <wp:extent cx="946023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3.75pt" to="431.9pt,3.7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198"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85" w:right="921" w:bottom="120"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TRAINING</w:t>
      </w: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251"/>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process or other standard operating procedures.</w:t>
            </w:r>
          </w:p>
        </w:tc>
        <w:tc>
          <w:tcPr>
            <w:tcW w:w="2660" w:type="dxa"/>
            <w:vAlign w:val="bottom"/>
            <w:tcBorders>
              <w:top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TRAINING</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development, evaluation and delivery of</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operational training and education courses in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emergency communications management.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records relating to training of staff unrelated to</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 xml:space="preserve">operational training, use the </w:t>
            </w:r>
            <w:r>
              <w:rPr>
                <w:rFonts w:ascii="Verdana" w:cs="Verdana" w:eastAsia="Verdana" w:hAnsi="Verdana"/>
                <w:sz w:val="20"/>
                <w:szCs w:val="20"/>
                <w:i w:val="1"/>
                <w:iCs w:val="1"/>
                <w:color w:val="auto"/>
              </w:rPr>
              <w:t>General Retention and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i w:val="1"/>
                <w:iCs w:val="1"/>
                <w:color w:val="auto"/>
              </w:rPr>
              <w:t>Disposal Authority for Records of Common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i w:val="1"/>
                <w:iCs w:val="1"/>
                <w:color w:val="auto"/>
              </w:rPr>
              <w:t>Administrative Functions.</w:t>
            </w:r>
            <w:r>
              <w:rPr>
                <w:rFonts w:ascii="Verdana" w:cs="Verdana" w:eastAsia="Verdana" w:hAnsi="Verdana"/>
                <w:sz w:val="20"/>
                <w:szCs w:val="20"/>
                <w:color w:val="auto"/>
              </w:rPr>
              <w: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Registration and</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accreditation of the agency as a registered</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Compliance</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training organisation (RTO) and the activities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undertaken to ensure the agency's compliance with</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standards for registered training organisations in the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provision of training and education.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the accreditation of staff involved in the</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delivery of training or who perform assessment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activities.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8"/>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agency's accreditation as</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 approved registered training organisation and its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accreditation has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compliance with standards for registered training</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concluded / expired.</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organisations.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records of audits undertaken as part of the</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quality assurance process used to monitor the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agency’s compliance with the standards.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4"/>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2.1.2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a trainer's accreditation and</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bl>
    <w:p>
      <w:pPr>
        <w:spacing w:after="0" w:line="78" w:lineRule="exact"/>
        <w:rPr>
          <w:sz w:val="20"/>
          <w:szCs w:val="20"/>
          <w:color w:val="auto"/>
        </w:rPr>
      </w:pPr>
    </w:p>
    <w:p>
      <w:pPr>
        <w:ind w:left="120" w:right="220"/>
        <w:spacing w:after="0" w:line="239" w:lineRule="auto"/>
        <w:rPr>
          <w:sz w:val="20"/>
          <w:szCs w:val="20"/>
          <w:color w:val="auto"/>
        </w:rPr>
      </w:pPr>
      <w:r>
        <w:rPr>
          <w:rFonts w:ascii="Verdana" w:cs="Verdana" w:eastAsia="Verdana" w:hAnsi="Verdana"/>
          <w:sz w:val="18"/>
          <w:szCs w:val="18"/>
          <w:color w:val="auto"/>
        </w:rPr>
        <w:t xml:space="preserve">This Retention and Disposal Authority </w:t>
      </w:r>
      <w:r>
        <w:rPr>
          <w:rFonts w:ascii="Verdana" w:cs="Verdana" w:eastAsia="Verdana" w:hAnsi="Verdana"/>
          <w:sz w:val="18"/>
          <w:szCs w:val="18"/>
          <w:b w:val="1"/>
          <w:bCs w:val="1"/>
          <w:color w:val="auto"/>
        </w:rPr>
        <w:t>must not be used</w:t>
      </w:r>
      <w:r>
        <w:rPr>
          <w:rFonts w:ascii="Verdana" w:cs="Verdana" w:eastAsia="Verdana" w:hAnsi="Verdana"/>
          <w:sz w:val="18"/>
          <w:szCs w:val="18"/>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2" w:lineRule="exact"/>
        <w:rPr>
          <w:sz w:val="20"/>
          <w:szCs w:val="20"/>
          <w:color w:val="auto"/>
        </w:rPr>
      </w:pPr>
    </w:p>
    <w:tbl>
      <w:tblPr>
        <w:tblLayout w:type="fixed"/>
        <w:tblInd w:w="120" w:type="dxa"/>
        <w:tblCellMar>
          <w:top w:w="0" w:type="dxa"/>
          <w:left w:w="0" w:type="dxa"/>
          <w:bottom w:w="0" w:type="dxa"/>
          <w:right w:w="0" w:type="dxa"/>
        </w:tblCellMar>
      </w:tblPr>
      <w:tr>
        <w:trPr>
          <w:trHeight w:val="219"/>
        </w:trPr>
        <w:tc>
          <w:tcPr>
            <w:tcW w:w="13900" w:type="dxa"/>
            <w:vAlign w:val="bottom"/>
          </w:tcPr>
          <w:p>
            <w:pPr>
              <w:spacing w:after="0"/>
              <w:rPr>
                <w:sz w:val="20"/>
                <w:szCs w:val="20"/>
                <w:color w:val="auto"/>
              </w:rPr>
            </w:pPr>
            <w:r>
              <w:rPr>
                <w:rFonts w:ascii="Verdana" w:cs="Verdana" w:eastAsia="Verdana" w:hAnsi="Verdana"/>
                <w:sz w:val="18"/>
                <w:szCs w:val="18"/>
                <w:color w:val="auto"/>
              </w:rPr>
              <w:t xml:space="preserve">Instead agencies </w:t>
            </w:r>
            <w:r>
              <w:rPr>
                <w:rFonts w:ascii="Verdana" w:cs="Verdana" w:eastAsia="Verdana" w:hAnsi="Verdana"/>
                <w:sz w:val="18"/>
                <w:szCs w:val="18"/>
                <w:b w:val="1"/>
                <w:bCs w:val="1"/>
                <w:color w:val="auto"/>
              </w:rPr>
              <w:t>must use PROS 19/08</w:t>
            </w:r>
            <w:r>
              <w:rPr>
                <w:rFonts w:ascii="Verdana" w:cs="Verdana" w:eastAsia="Verdana" w:hAnsi="Verdana"/>
                <w:sz w:val="18"/>
                <w:szCs w:val="18"/>
                <w:color w:val="auto"/>
              </w:rPr>
              <w:t xml:space="preserve"> Retention and Disposal Authority for Records of Organisational Response to Child Sexual Abuse Incidents and</w:t>
            </w:r>
          </w:p>
        </w:tc>
        <w:tc>
          <w:tcPr>
            <w:tcW w:w="860" w:type="dxa"/>
            <w:vAlign w:val="bottom"/>
          </w:tcPr>
          <w:p>
            <w:pPr>
              <w:spacing w:after="0"/>
              <w:rPr>
                <w:sz w:val="19"/>
                <w:szCs w:val="19"/>
                <w:color w:val="auto"/>
              </w:rPr>
            </w:pPr>
          </w:p>
        </w:tc>
      </w:tr>
      <w:tr>
        <w:trPr>
          <w:trHeight w:val="218"/>
        </w:trPr>
        <w:tc>
          <w:tcPr>
            <w:tcW w:w="13900" w:type="dxa"/>
            <w:vAlign w:val="bottom"/>
          </w:tcPr>
          <w:p>
            <w:pPr>
              <w:spacing w:after="0"/>
              <w:rPr>
                <w:sz w:val="20"/>
                <w:szCs w:val="20"/>
                <w:color w:val="auto"/>
              </w:rPr>
            </w:pPr>
            <w:r>
              <w:rPr>
                <w:rFonts w:ascii="Verdana" w:cs="Verdana" w:eastAsia="Verdana" w:hAnsi="Verdana"/>
                <w:sz w:val="18"/>
                <w:szCs w:val="18"/>
                <w:color w:val="auto"/>
              </w:rPr>
              <w:t>Allegations.</w:t>
            </w:r>
          </w:p>
        </w:tc>
        <w:tc>
          <w:tcPr>
            <w:tcW w:w="860" w:type="dxa"/>
            <w:vAlign w:val="bottom"/>
          </w:tcPr>
          <w:p>
            <w:pPr>
              <w:ind w:left="80"/>
              <w:spacing w:after="0"/>
              <w:rPr>
                <w:sz w:val="20"/>
                <w:szCs w:val="20"/>
                <w:color w:val="auto"/>
              </w:rPr>
            </w:pPr>
            <w:r>
              <w:rPr>
                <w:rFonts w:ascii="Verdana" w:cs="Verdana" w:eastAsia="Verdana" w:hAnsi="Verdana"/>
                <w:sz w:val="18"/>
                <w:szCs w:val="18"/>
                <w:color w:val="auto"/>
                <w:w w:val="97"/>
              </w:rPr>
              <w:t>13 of 18</w:t>
            </w:r>
          </w:p>
        </w:tc>
      </w:tr>
    </w:tbl>
    <w:p>
      <w:pPr>
        <w:sectPr>
          <w:pgSz w:w="16840" w:h="11906" w:orient="landscape"/>
          <w:cols w:equalWidth="0" w:num="1">
            <w:col w:w="14900"/>
          </w:cols>
          <w:pgMar w:left="1020" w:top="685" w:right="921" w:bottom="120" w:gutter="0" w:footer="0" w:header="0"/>
          <w:type w:val="continuous"/>
        </w:sectPr>
      </w:pPr>
    </w:p>
    <w:bookmarkStart w:id="13" w:name="page14"/>
    <w:bookmarkEnd w:id="13"/>
    <w:p>
      <w:pPr>
        <w:ind w:left="42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946023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744.9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78105</wp:posOffset>
                </wp:positionV>
                <wp:extent cx="0" cy="211455"/>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15pt" to="0.2pt,2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821690</wp:posOffset>
                </wp:positionH>
                <wp:positionV relativeFrom="paragraph">
                  <wp:posOffset>78105</wp:posOffset>
                </wp:positionV>
                <wp:extent cx="0" cy="21145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6.15pt" to="64.7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78105</wp:posOffset>
                </wp:positionV>
                <wp:extent cx="0" cy="211455"/>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15pt" to="197.4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6084570</wp:posOffset>
                </wp:positionH>
                <wp:positionV relativeFrom="paragraph">
                  <wp:posOffset>78105</wp:posOffset>
                </wp:positionV>
                <wp:extent cx="0" cy="21145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1pt,6.15pt" to="479.1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7770495</wp:posOffset>
                </wp:positionH>
                <wp:positionV relativeFrom="paragraph">
                  <wp:posOffset>78105</wp:posOffset>
                </wp:positionV>
                <wp:extent cx="0" cy="21145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85pt,6.15pt" to="611.85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9457690</wp:posOffset>
                </wp:positionH>
                <wp:positionV relativeFrom="paragraph">
                  <wp:posOffset>78105</wp:posOffset>
                </wp:positionV>
                <wp:extent cx="0" cy="21145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7pt,6.15pt" to="744.7pt,22.8pt" o:allowincell="f" strokecolor="#000000" strokeweight="0.48pt"/>
            </w:pict>
          </mc:Fallback>
        </mc:AlternateContent>
      </w:r>
    </w:p>
    <w:p>
      <w:pPr>
        <w:sectPr>
          <w:pgSz w:w="16840" w:h="11906" w:orient="landscape"/>
          <w:cols w:equalWidth="0" w:num="1">
            <w:col w:w="14900"/>
          </w:cols>
          <w:pgMar w:left="1020" w:top="685" w:right="921" w:bottom="120"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47625</wp:posOffset>
                </wp:positionV>
                <wp:extent cx="946023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3.75pt" to="431.9pt,3.7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198"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85" w:right="921" w:bottom="120"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TRAINING - Curriculum Development</w:t>
      </w: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251"/>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compliance with standards for registered training</w:t>
            </w:r>
          </w:p>
        </w:tc>
        <w:tc>
          <w:tcPr>
            <w:tcW w:w="2660" w:type="dxa"/>
            <w:vAlign w:val="bottom"/>
            <w:tcBorders>
              <w:top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color w:val="auto"/>
              </w:rPr>
              <w:t>next accreditation</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organisations.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issued or termination of</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accreditation.</w:t>
            </w: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2.2</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Curriculum</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development and review of accredited and non-</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Development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accredited training courses delivered by the agency.</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curriculum development for accredited</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courses in accordance with the Australian Quality</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Training Framework (AQTF) standards.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2.2.1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development, accreditation</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30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review of curriculum for accredited training</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curriculum unit</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replaced, revoked or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discontinued.</w:t>
            </w: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2.2.2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development and review of</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curriculum for non-accredited training courses.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curriculum unit</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replaced, revoked or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discontinued.</w:t>
            </w: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2.2.3</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development of training</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resources, including program guides, lecture notes,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administrative use has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hand-outs and audio and visual recordings.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concluded.</w:t>
            </w: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2.3</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Assessment and</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development of assessment methods and the</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Processing of Results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recording of student results for training courses.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9"/>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2.3.1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that document the final approved methods</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30 years after</w:t>
            </w:r>
          </w:p>
        </w:tc>
      </w:tr>
      <w:tr>
        <w:trPr>
          <w:trHeight w:val="244"/>
        </w:trPr>
        <w:tc>
          <w:tcPr>
            <w:tcW w:w="1300" w:type="dxa"/>
            <w:vAlign w:val="bottom"/>
            <w:tcBorders>
              <w:left w:val="single" w:sz="8" w:color="auto"/>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spacing w:after="0"/>
              <w:rPr>
                <w:sz w:val="21"/>
                <w:szCs w:val="21"/>
                <w:color w:val="auto"/>
              </w:rPr>
            </w:pPr>
          </w:p>
        </w:tc>
        <w:tc>
          <w:tcPr>
            <w:tcW w:w="5640" w:type="dxa"/>
            <w:vAlign w:val="bottom"/>
            <w:tcBorders>
              <w:bottom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of assessment for accredited training courses.</w:t>
            </w:r>
          </w:p>
        </w:tc>
        <w:tc>
          <w:tcPr>
            <w:tcW w:w="2660" w:type="dxa"/>
            <w:vAlign w:val="bottom"/>
            <w:tcBorders>
              <w:bottom w:val="single" w:sz="8" w:color="auto"/>
              <w:right w:val="single" w:sz="8" w:color="auto"/>
            </w:tcBorders>
          </w:tcPr>
          <w:p>
            <w:pPr>
              <w:spacing w:after="0"/>
              <w:rPr>
                <w:sz w:val="21"/>
                <w:szCs w:val="21"/>
                <w:color w:val="auto"/>
              </w:rPr>
            </w:pPr>
          </w:p>
        </w:tc>
        <w:tc>
          <w:tcPr>
            <w:tcW w:w="2660" w:type="dxa"/>
            <w:vAlign w:val="bottom"/>
            <w:tcBorders>
              <w:bottom w:val="single" w:sz="8" w:color="auto"/>
              <w:right w:val="single" w:sz="8" w:color="auto"/>
            </w:tcBorders>
          </w:tcPr>
          <w:p>
            <w:pPr>
              <w:ind w:left="80"/>
              <w:spacing w:after="0"/>
              <w:rPr>
                <w:sz w:val="20"/>
                <w:szCs w:val="20"/>
                <w:color w:val="auto"/>
              </w:rPr>
            </w:pPr>
            <w:r>
              <w:rPr>
                <w:rFonts w:ascii="Verdana" w:cs="Verdana" w:eastAsia="Verdana" w:hAnsi="Verdana"/>
                <w:sz w:val="20"/>
                <w:szCs w:val="20"/>
                <w:color w:val="auto"/>
              </w:rPr>
              <w:t>curriculum unit has</w:t>
            </w:r>
          </w:p>
        </w:tc>
      </w:tr>
    </w:tbl>
    <w:p>
      <w:pPr>
        <w:spacing w:after="0" w:line="169" w:lineRule="exact"/>
        <w:rPr>
          <w:sz w:val="20"/>
          <w:szCs w:val="20"/>
          <w:color w:val="auto"/>
        </w:rPr>
      </w:pPr>
    </w:p>
    <w:p>
      <w:pPr>
        <w:ind w:left="120" w:right="220"/>
        <w:spacing w:after="0" w:line="239" w:lineRule="auto"/>
        <w:rPr>
          <w:sz w:val="20"/>
          <w:szCs w:val="20"/>
          <w:color w:val="auto"/>
        </w:rPr>
      </w:pPr>
      <w:r>
        <w:rPr>
          <w:rFonts w:ascii="Verdana" w:cs="Verdana" w:eastAsia="Verdana" w:hAnsi="Verdana"/>
          <w:sz w:val="18"/>
          <w:szCs w:val="18"/>
          <w:color w:val="auto"/>
        </w:rPr>
        <w:t xml:space="preserve">This Retention and Disposal Authority </w:t>
      </w:r>
      <w:r>
        <w:rPr>
          <w:rFonts w:ascii="Verdana" w:cs="Verdana" w:eastAsia="Verdana" w:hAnsi="Verdana"/>
          <w:sz w:val="18"/>
          <w:szCs w:val="18"/>
          <w:b w:val="1"/>
          <w:bCs w:val="1"/>
          <w:color w:val="auto"/>
        </w:rPr>
        <w:t>must not be used</w:t>
      </w:r>
      <w:r>
        <w:rPr>
          <w:rFonts w:ascii="Verdana" w:cs="Verdana" w:eastAsia="Verdana" w:hAnsi="Verdana"/>
          <w:sz w:val="18"/>
          <w:szCs w:val="18"/>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2" w:lineRule="exact"/>
        <w:rPr>
          <w:sz w:val="20"/>
          <w:szCs w:val="20"/>
          <w:color w:val="auto"/>
        </w:rPr>
      </w:pPr>
    </w:p>
    <w:tbl>
      <w:tblPr>
        <w:tblLayout w:type="fixed"/>
        <w:tblInd w:w="120" w:type="dxa"/>
        <w:tblCellMar>
          <w:top w:w="0" w:type="dxa"/>
          <w:left w:w="0" w:type="dxa"/>
          <w:bottom w:w="0" w:type="dxa"/>
          <w:right w:w="0" w:type="dxa"/>
        </w:tblCellMar>
      </w:tblPr>
      <w:tr>
        <w:trPr>
          <w:trHeight w:val="219"/>
        </w:trPr>
        <w:tc>
          <w:tcPr>
            <w:tcW w:w="13900" w:type="dxa"/>
            <w:vAlign w:val="bottom"/>
          </w:tcPr>
          <w:p>
            <w:pPr>
              <w:spacing w:after="0"/>
              <w:rPr>
                <w:sz w:val="20"/>
                <w:szCs w:val="20"/>
                <w:color w:val="auto"/>
              </w:rPr>
            </w:pPr>
            <w:r>
              <w:rPr>
                <w:rFonts w:ascii="Verdana" w:cs="Verdana" w:eastAsia="Verdana" w:hAnsi="Verdana"/>
                <w:sz w:val="18"/>
                <w:szCs w:val="18"/>
                <w:color w:val="auto"/>
              </w:rPr>
              <w:t xml:space="preserve">Instead agencies </w:t>
            </w:r>
            <w:r>
              <w:rPr>
                <w:rFonts w:ascii="Verdana" w:cs="Verdana" w:eastAsia="Verdana" w:hAnsi="Verdana"/>
                <w:sz w:val="18"/>
                <w:szCs w:val="18"/>
                <w:b w:val="1"/>
                <w:bCs w:val="1"/>
                <w:color w:val="auto"/>
              </w:rPr>
              <w:t>must use PROS 19/08</w:t>
            </w:r>
            <w:r>
              <w:rPr>
                <w:rFonts w:ascii="Verdana" w:cs="Verdana" w:eastAsia="Verdana" w:hAnsi="Verdana"/>
                <w:sz w:val="18"/>
                <w:szCs w:val="18"/>
                <w:color w:val="auto"/>
              </w:rPr>
              <w:t xml:space="preserve"> Retention and Disposal Authority for Records of Organisational Response to Child Sexual Abuse Incidents and</w:t>
            </w:r>
          </w:p>
        </w:tc>
        <w:tc>
          <w:tcPr>
            <w:tcW w:w="860" w:type="dxa"/>
            <w:vAlign w:val="bottom"/>
          </w:tcPr>
          <w:p>
            <w:pPr>
              <w:spacing w:after="0"/>
              <w:rPr>
                <w:sz w:val="19"/>
                <w:szCs w:val="19"/>
                <w:color w:val="auto"/>
              </w:rPr>
            </w:pPr>
          </w:p>
        </w:tc>
      </w:tr>
      <w:tr>
        <w:trPr>
          <w:trHeight w:val="218"/>
        </w:trPr>
        <w:tc>
          <w:tcPr>
            <w:tcW w:w="13900" w:type="dxa"/>
            <w:vAlign w:val="bottom"/>
          </w:tcPr>
          <w:p>
            <w:pPr>
              <w:spacing w:after="0"/>
              <w:rPr>
                <w:sz w:val="20"/>
                <w:szCs w:val="20"/>
                <w:color w:val="auto"/>
              </w:rPr>
            </w:pPr>
            <w:r>
              <w:rPr>
                <w:rFonts w:ascii="Verdana" w:cs="Verdana" w:eastAsia="Verdana" w:hAnsi="Verdana"/>
                <w:sz w:val="18"/>
                <w:szCs w:val="18"/>
                <w:color w:val="auto"/>
              </w:rPr>
              <w:t>Allegations.</w:t>
            </w:r>
          </w:p>
        </w:tc>
        <w:tc>
          <w:tcPr>
            <w:tcW w:w="860" w:type="dxa"/>
            <w:vAlign w:val="bottom"/>
          </w:tcPr>
          <w:p>
            <w:pPr>
              <w:ind w:left="80"/>
              <w:spacing w:after="0"/>
              <w:rPr>
                <w:sz w:val="20"/>
                <w:szCs w:val="20"/>
                <w:color w:val="auto"/>
              </w:rPr>
            </w:pPr>
            <w:r>
              <w:rPr>
                <w:rFonts w:ascii="Verdana" w:cs="Verdana" w:eastAsia="Verdana" w:hAnsi="Verdana"/>
                <w:sz w:val="18"/>
                <w:szCs w:val="18"/>
                <w:color w:val="auto"/>
                <w:w w:val="97"/>
              </w:rPr>
              <w:t>14 of 18</w:t>
            </w:r>
          </w:p>
        </w:tc>
      </w:tr>
    </w:tbl>
    <w:p>
      <w:pPr>
        <w:sectPr>
          <w:pgSz w:w="16840" w:h="11906" w:orient="landscape"/>
          <w:cols w:equalWidth="0" w:num="1">
            <w:col w:w="14900"/>
          </w:cols>
          <w:pgMar w:left="1020" w:top="685" w:right="921" w:bottom="120" w:gutter="0" w:footer="0" w:header="0"/>
          <w:type w:val="continuous"/>
        </w:sectPr>
      </w:pPr>
    </w:p>
    <w:bookmarkStart w:id="14" w:name="page15"/>
    <w:bookmarkEnd w:id="14"/>
    <w:p>
      <w:pPr>
        <w:ind w:left="42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946023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744.9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78105</wp:posOffset>
                </wp:positionV>
                <wp:extent cx="0" cy="211455"/>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15pt" to="0.2pt,2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821690</wp:posOffset>
                </wp:positionH>
                <wp:positionV relativeFrom="paragraph">
                  <wp:posOffset>78105</wp:posOffset>
                </wp:positionV>
                <wp:extent cx="0" cy="21145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6.15pt" to="64.7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78105</wp:posOffset>
                </wp:positionV>
                <wp:extent cx="0" cy="21145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15pt" to="197.4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6084570</wp:posOffset>
                </wp:positionH>
                <wp:positionV relativeFrom="paragraph">
                  <wp:posOffset>78105</wp:posOffset>
                </wp:positionV>
                <wp:extent cx="0" cy="21145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1pt,6.15pt" to="479.1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7770495</wp:posOffset>
                </wp:positionH>
                <wp:positionV relativeFrom="paragraph">
                  <wp:posOffset>78105</wp:posOffset>
                </wp:positionV>
                <wp:extent cx="0" cy="21145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85pt,6.15pt" to="611.85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9457690</wp:posOffset>
                </wp:positionH>
                <wp:positionV relativeFrom="paragraph">
                  <wp:posOffset>78105</wp:posOffset>
                </wp:positionV>
                <wp:extent cx="0" cy="21145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7pt,6.15pt" to="744.7pt,22.8pt" o:allowincell="f" strokecolor="#000000" strokeweight="0.48pt"/>
            </w:pict>
          </mc:Fallback>
        </mc:AlternateContent>
      </w:r>
    </w:p>
    <w:p>
      <w:pPr>
        <w:sectPr>
          <w:pgSz w:w="16840" w:h="11906" w:orient="landscape"/>
          <w:cols w:equalWidth="0" w:num="1">
            <w:col w:w="14900"/>
          </w:cols>
          <w:pgMar w:left="1020" w:top="685" w:right="921" w:bottom="120"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47625</wp:posOffset>
                </wp:positionV>
                <wp:extent cx="946023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3.75pt" to="431.9pt,3.7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198"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85" w:right="921" w:bottom="120"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TRAINING - Assessment and Processing of Results</w:t>
      </w: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251"/>
        </w:trPr>
        <w:tc>
          <w:tcPr>
            <w:tcW w:w="1300" w:type="dxa"/>
            <w:vAlign w:val="bottom"/>
            <w:tcBorders>
              <w:top w:val="single" w:sz="8" w:color="auto"/>
              <w:left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spacing w:after="0"/>
              <w:rPr>
                <w:sz w:val="21"/>
                <w:szCs w:val="21"/>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Includes 'master' examination papers.</w:t>
            </w:r>
          </w:p>
        </w:tc>
        <w:tc>
          <w:tcPr>
            <w:tcW w:w="2660" w:type="dxa"/>
            <w:vAlign w:val="bottom"/>
            <w:tcBorders>
              <w:top w:val="single" w:sz="8" w:color="auto"/>
              <w:right w:val="single" w:sz="8" w:color="auto"/>
            </w:tcBorders>
          </w:tcPr>
          <w:p>
            <w:pPr>
              <w:spacing w:after="0"/>
              <w:rPr>
                <w:sz w:val="21"/>
                <w:szCs w:val="21"/>
                <w:color w:val="auto"/>
              </w:rPr>
            </w:pPr>
          </w:p>
        </w:tc>
        <w:tc>
          <w:tcPr>
            <w:tcW w:w="266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color w:val="auto"/>
              </w:rPr>
              <w:t>been replaced, revoked</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or discontinued.</w:t>
            </w: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2.3.2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that document the development of approved</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methods of assessment for accredited training</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curriculum unit</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courses. Includes drafts and records of testing and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replaced, revoked or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validation.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discontinued.</w:t>
            </w: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8"/>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2.3.3</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that document final approved methods of</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assessment for non-accredited training courses.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course has been</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replaced, revoked or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discontinued.</w:t>
            </w: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2.3.4</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that document the development of approved</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1 year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methods of assessment for non-accredited training</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administrative use has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courses. Includes drafts and records of testing and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concluded.</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validation.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2.3.5</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Master records of student results for accredited</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30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courses. Includes final and interim results.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results have been</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released.</w:t>
            </w: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2.3.6</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Master records of student results for non-accredited</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courses. Includes final and interim results.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results have been</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released.</w:t>
            </w: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jc w:val="right"/>
              <w:ind w:right="560"/>
              <w:spacing w:after="0"/>
              <w:rPr>
                <w:sz w:val="20"/>
                <w:szCs w:val="20"/>
                <w:color w:val="auto"/>
              </w:rPr>
            </w:pPr>
            <w:r>
              <w:rPr>
                <w:rFonts w:ascii="Verdana" w:cs="Verdana" w:eastAsia="Verdana" w:hAnsi="Verdana"/>
                <w:sz w:val="20"/>
                <w:szCs w:val="20"/>
                <w:color w:val="auto"/>
              </w:rPr>
              <w:t>2.3.7</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Student assessment submissions and examination</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1 year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papers for both accredited and non-accredited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completion of</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training courses.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assessment.</w:t>
            </w: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bl>
    <w:p>
      <w:pPr>
        <w:spacing w:after="0" w:line="169" w:lineRule="exact"/>
        <w:rPr>
          <w:sz w:val="20"/>
          <w:szCs w:val="20"/>
          <w:color w:val="auto"/>
        </w:rPr>
      </w:pPr>
    </w:p>
    <w:p>
      <w:pPr>
        <w:ind w:left="120" w:right="220"/>
        <w:spacing w:after="0" w:line="239" w:lineRule="auto"/>
        <w:rPr>
          <w:sz w:val="20"/>
          <w:szCs w:val="20"/>
          <w:color w:val="auto"/>
        </w:rPr>
      </w:pPr>
      <w:r>
        <w:rPr>
          <w:rFonts w:ascii="Verdana" w:cs="Verdana" w:eastAsia="Verdana" w:hAnsi="Verdana"/>
          <w:sz w:val="18"/>
          <w:szCs w:val="18"/>
          <w:color w:val="auto"/>
        </w:rPr>
        <w:t xml:space="preserve">This Retention and Disposal Authority </w:t>
      </w:r>
      <w:r>
        <w:rPr>
          <w:rFonts w:ascii="Verdana" w:cs="Verdana" w:eastAsia="Verdana" w:hAnsi="Verdana"/>
          <w:sz w:val="18"/>
          <w:szCs w:val="18"/>
          <w:b w:val="1"/>
          <w:bCs w:val="1"/>
          <w:color w:val="auto"/>
        </w:rPr>
        <w:t>must not be used</w:t>
      </w:r>
      <w:r>
        <w:rPr>
          <w:rFonts w:ascii="Verdana" w:cs="Verdana" w:eastAsia="Verdana" w:hAnsi="Verdana"/>
          <w:sz w:val="18"/>
          <w:szCs w:val="18"/>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2" w:lineRule="exact"/>
        <w:rPr>
          <w:sz w:val="20"/>
          <w:szCs w:val="20"/>
          <w:color w:val="auto"/>
        </w:rPr>
      </w:pPr>
    </w:p>
    <w:tbl>
      <w:tblPr>
        <w:tblLayout w:type="fixed"/>
        <w:tblInd w:w="120" w:type="dxa"/>
        <w:tblCellMar>
          <w:top w:w="0" w:type="dxa"/>
          <w:left w:w="0" w:type="dxa"/>
          <w:bottom w:w="0" w:type="dxa"/>
          <w:right w:w="0" w:type="dxa"/>
        </w:tblCellMar>
      </w:tblPr>
      <w:tr>
        <w:trPr>
          <w:trHeight w:val="219"/>
        </w:trPr>
        <w:tc>
          <w:tcPr>
            <w:tcW w:w="13900" w:type="dxa"/>
            <w:vAlign w:val="bottom"/>
          </w:tcPr>
          <w:p>
            <w:pPr>
              <w:spacing w:after="0"/>
              <w:rPr>
                <w:sz w:val="20"/>
                <w:szCs w:val="20"/>
                <w:color w:val="auto"/>
              </w:rPr>
            </w:pPr>
            <w:r>
              <w:rPr>
                <w:rFonts w:ascii="Verdana" w:cs="Verdana" w:eastAsia="Verdana" w:hAnsi="Verdana"/>
                <w:sz w:val="18"/>
                <w:szCs w:val="18"/>
                <w:color w:val="auto"/>
              </w:rPr>
              <w:t xml:space="preserve">Instead agencies </w:t>
            </w:r>
            <w:r>
              <w:rPr>
                <w:rFonts w:ascii="Verdana" w:cs="Verdana" w:eastAsia="Verdana" w:hAnsi="Verdana"/>
                <w:sz w:val="18"/>
                <w:szCs w:val="18"/>
                <w:b w:val="1"/>
                <w:bCs w:val="1"/>
                <w:color w:val="auto"/>
              </w:rPr>
              <w:t>must use PROS 19/08</w:t>
            </w:r>
            <w:r>
              <w:rPr>
                <w:rFonts w:ascii="Verdana" w:cs="Verdana" w:eastAsia="Verdana" w:hAnsi="Verdana"/>
                <w:sz w:val="18"/>
                <w:szCs w:val="18"/>
                <w:color w:val="auto"/>
              </w:rPr>
              <w:t xml:space="preserve"> Retention and Disposal Authority for Records of Organisational Response to Child Sexual Abuse Incidents and</w:t>
            </w:r>
          </w:p>
        </w:tc>
        <w:tc>
          <w:tcPr>
            <w:tcW w:w="860" w:type="dxa"/>
            <w:vAlign w:val="bottom"/>
          </w:tcPr>
          <w:p>
            <w:pPr>
              <w:spacing w:after="0"/>
              <w:rPr>
                <w:sz w:val="19"/>
                <w:szCs w:val="19"/>
                <w:color w:val="auto"/>
              </w:rPr>
            </w:pPr>
          </w:p>
        </w:tc>
      </w:tr>
      <w:tr>
        <w:trPr>
          <w:trHeight w:val="218"/>
        </w:trPr>
        <w:tc>
          <w:tcPr>
            <w:tcW w:w="13900" w:type="dxa"/>
            <w:vAlign w:val="bottom"/>
          </w:tcPr>
          <w:p>
            <w:pPr>
              <w:spacing w:after="0"/>
              <w:rPr>
                <w:sz w:val="20"/>
                <w:szCs w:val="20"/>
                <w:color w:val="auto"/>
              </w:rPr>
            </w:pPr>
            <w:r>
              <w:rPr>
                <w:rFonts w:ascii="Verdana" w:cs="Verdana" w:eastAsia="Verdana" w:hAnsi="Verdana"/>
                <w:sz w:val="18"/>
                <w:szCs w:val="18"/>
                <w:color w:val="auto"/>
              </w:rPr>
              <w:t>Allegations.</w:t>
            </w:r>
          </w:p>
        </w:tc>
        <w:tc>
          <w:tcPr>
            <w:tcW w:w="860" w:type="dxa"/>
            <w:vAlign w:val="bottom"/>
          </w:tcPr>
          <w:p>
            <w:pPr>
              <w:ind w:left="80"/>
              <w:spacing w:after="0"/>
              <w:rPr>
                <w:sz w:val="20"/>
                <w:szCs w:val="20"/>
                <w:color w:val="auto"/>
              </w:rPr>
            </w:pPr>
            <w:r>
              <w:rPr>
                <w:rFonts w:ascii="Verdana" w:cs="Verdana" w:eastAsia="Verdana" w:hAnsi="Verdana"/>
                <w:sz w:val="18"/>
                <w:szCs w:val="18"/>
                <w:color w:val="auto"/>
                <w:w w:val="97"/>
              </w:rPr>
              <w:t>15 of 18</w:t>
            </w:r>
          </w:p>
        </w:tc>
      </w:tr>
    </w:tbl>
    <w:p>
      <w:pPr>
        <w:sectPr>
          <w:pgSz w:w="16840" w:h="11906" w:orient="landscape"/>
          <w:cols w:equalWidth="0" w:num="1">
            <w:col w:w="14900"/>
          </w:cols>
          <w:pgMar w:left="1020" w:top="685" w:right="921" w:bottom="120" w:gutter="0" w:footer="0" w:header="0"/>
          <w:type w:val="continuous"/>
        </w:sectPr>
      </w:pPr>
    </w:p>
    <w:bookmarkStart w:id="15" w:name="page16"/>
    <w:bookmarkEnd w:id="15"/>
    <w:p>
      <w:pPr>
        <w:ind w:left="42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946023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744.9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78105</wp:posOffset>
                </wp:positionV>
                <wp:extent cx="0" cy="21145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15pt" to="0.2pt,2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821690</wp:posOffset>
                </wp:positionH>
                <wp:positionV relativeFrom="paragraph">
                  <wp:posOffset>78105</wp:posOffset>
                </wp:positionV>
                <wp:extent cx="0" cy="21145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6.15pt" to="64.7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78105</wp:posOffset>
                </wp:positionV>
                <wp:extent cx="0" cy="211455"/>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15pt" to="197.4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6084570</wp:posOffset>
                </wp:positionH>
                <wp:positionV relativeFrom="paragraph">
                  <wp:posOffset>78105</wp:posOffset>
                </wp:positionV>
                <wp:extent cx="0" cy="21145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1pt,6.15pt" to="479.1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7770495</wp:posOffset>
                </wp:positionH>
                <wp:positionV relativeFrom="paragraph">
                  <wp:posOffset>78105</wp:posOffset>
                </wp:positionV>
                <wp:extent cx="0" cy="21145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85pt,6.15pt" to="611.85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9457690</wp:posOffset>
                </wp:positionH>
                <wp:positionV relativeFrom="paragraph">
                  <wp:posOffset>78105</wp:posOffset>
                </wp:positionV>
                <wp:extent cx="0" cy="21145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7pt,6.15pt" to="744.7pt,22.8pt" o:allowincell="f" strokecolor="#000000" strokeweight="0.48pt"/>
            </w:pict>
          </mc:Fallback>
        </mc:AlternateContent>
      </w:r>
    </w:p>
    <w:p>
      <w:pPr>
        <w:sectPr>
          <w:pgSz w:w="16840" w:h="11906" w:orient="landscape"/>
          <w:cols w:equalWidth="0" w:num="1">
            <w:col w:w="14900"/>
          </w:cols>
          <w:pgMar w:left="1020" w:top="685" w:right="921" w:bottom="120"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47625</wp:posOffset>
                </wp:positionV>
                <wp:extent cx="946023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3.75pt" to="431.9pt,3.7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198"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85" w:right="921" w:bottom="120"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TRAINING - Training Conduct</w:t>
      </w: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371"/>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2.4</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Training Conduct</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activities associated with the delivery of training</w:t>
            </w:r>
          </w:p>
        </w:tc>
        <w:tc>
          <w:tcPr>
            <w:tcW w:w="2660" w:type="dxa"/>
            <w:vAlign w:val="bottom"/>
            <w:tcBorders>
              <w:top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courses. Includes records of attendance, course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evaluation and administrative arrangements for</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delivery.</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7"/>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2.4.1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attendance at training courses.</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administrative use has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concluded.</w:t>
            </w: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2.4.2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evaluations of training courses.</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2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course evaluations made by participants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administrative use has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after attending courses.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concluded.</w:t>
            </w: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2.4.3</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administrative</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2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arrangements for courses, including catering, venue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administrative use has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bookings and hire of equipment.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concluded.</w:t>
            </w:r>
          </w:p>
        </w:tc>
      </w:tr>
      <w:tr>
        <w:trPr>
          <w:trHeight w:val="124"/>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2.5</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Management of</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students enrolled in accredited</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Students</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training courses.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365"/>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the management of enrolments and of</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grievances and complaints made by students 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matters such as perceived discrimination, exclusion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from a course, or relating to course results and/or</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assessment.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[For complaints received in relation to non-accredited</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training courses or grievances made by agency staff,</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 xml:space="preserve">use the </w:t>
            </w:r>
            <w:r>
              <w:rPr>
                <w:rFonts w:ascii="Verdana" w:cs="Verdana" w:eastAsia="Verdana" w:hAnsi="Verdana"/>
                <w:sz w:val="20"/>
                <w:szCs w:val="20"/>
                <w:i w:val="1"/>
                <w:iCs w:val="1"/>
                <w:color w:val="auto"/>
              </w:rPr>
              <w:t>General Retention and Disposal Authority for</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i w:val="1"/>
                <w:iCs w:val="1"/>
                <w:color w:val="auto"/>
              </w:rPr>
              <w:t>Records of Common Administrative Functions</w:t>
            </w:r>
            <w:r>
              <w:rPr>
                <w:rFonts w:ascii="Verdana" w:cs="Verdana" w:eastAsia="Verdana" w:hAnsi="Verdana"/>
                <w:sz w:val="20"/>
                <w:szCs w:val="20"/>
                <w:color w:val="auto"/>
              </w:rPr>
              <w: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bl>
    <w:p>
      <w:pPr>
        <w:spacing w:after="0" w:line="78" w:lineRule="exact"/>
        <w:rPr>
          <w:sz w:val="20"/>
          <w:szCs w:val="20"/>
          <w:color w:val="auto"/>
        </w:rPr>
      </w:pPr>
    </w:p>
    <w:p>
      <w:pPr>
        <w:ind w:left="120" w:right="220"/>
        <w:spacing w:after="0" w:line="239" w:lineRule="auto"/>
        <w:rPr>
          <w:sz w:val="20"/>
          <w:szCs w:val="20"/>
          <w:color w:val="auto"/>
        </w:rPr>
      </w:pPr>
      <w:r>
        <w:rPr>
          <w:rFonts w:ascii="Verdana" w:cs="Verdana" w:eastAsia="Verdana" w:hAnsi="Verdana"/>
          <w:sz w:val="18"/>
          <w:szCs w:val="18"/>
          <w:color w:val="auto"/>
        </w:rPr>
        <w:t xml:space="preserve">This Retention and Disposal Authority </w:t>
      </w:r>
      <w:r>
        <w:rPr>
          <w:rFonts w:ascii="Verdana" w:cs="Verdana" w:eastAsia="Verdana" w:hAnsi="Verdana"/>
          <w:sz w:val="18"/>
          <w:szCs w:val="18"/>
          <w:b w:val="1"/>
          <w:bCs w:val="1"/>
          <w:color w:val="auto"/>
        </w:rPr>
        <w:t>must not be used</w:t>
      </w:r>
      <w:r>
        <w:rPr>
          <w:rFonts w:ascii="Verdana" w:cs="Verdana" w:eastAsia="Verdana" w:hAnsi="Verdana"/>
          <w:sz w:val="18"/>
          <w:szCs w:val="18"/>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2" w:lineRule="exact"/>
        <w:rPr>
          <w:sz w:val="20"/>
          <w:szCs w:val="20"/>
          <w:color w:val="auto"/>
        </w:rPr>
      </w:pPr>
    </w:p>
    <w:tbl>
      <w:tblPr>
        <w:tblLayout w:type="fixed"/>
        <w:tblInd w:w="120" w:type="dxa"/>
        <w:tblCellMar>
          <w:top w:w="0" w:type="dxa"/>
          <w:left w:w="0" w:type="dxa"/>
          <w:bottom w:w="0" w:type="dxa"/>
          <w:right w:w="0" w:type="dxa"/>
        </w:tblCellMar>
      </w:tblPr>
      <w:tr>
        <w:trPr>
          <w:trHeight w:val="219"/>
        </w:trPr>
        <w:tc>
          <w:tcPr>
            <w:tcW w:w="13900" w:type="dxa"/>
            <w:vAlign w:val="bottom"/>
          </w:tcPr>
          <w:p>
            <w:pPr>
              <w:spacing w:after="0"/>
              <w:rPr>
                <w:sz w:val="20"/>
                <w:szCs w:val="20"/>
                <w:color w:val="auto"/>
              </w:rPr>
            </w:pPr>
            <w:r>
              <w:rPr>
                <w:rFonts w:ascii="Verdana" w:cs="Verdana" w:eastAsia="Verdana" w:hAnsi="Verdana"/>
                <w:sz w:val="18"/>
                <w:szCs w:val="18"/>
                <w:color w:val="auto"/>
              </w:rPr>
              <w:t xml:space="preserve">Instead agencies </w:t>
            </w:r>
            <w:r>
              <w:rPr>
                <w:rFonts w:ascii="Verdana" w:cs="Verdana" w:eastAsia="Verdana" w:hAnsi="Verdana"/>
                <w:sz w:val="18"/>
                <w:szCs w:val="18"/>
                <w:b w:val="1"/>
                <w:bCs w:val="1"/>
                <w:color w:val="auto"/>
              </w:rPr>
              <w:t>must use PROS 19/08</w:t>
            </w:r>
            <w:r>
              <w:rPr>
                <w:rFonts w:ascii="Verdana" w:cs="Verdana" w:eastAsia="Verdana" w:hAnsi="Verdana"/>
                <w:sz w:val="18"/>
                <w:szCs w:val="18"/>
                <w:color w:val="auto"/>
              </w:rPr>
              <w:t xml:space="preserve"> Retention and Disposal Authority for Records of Organisational Response to Child Sexual Abuse Incidents and</w:t>
            </w:r>
          </w:p>
        </w:tc>
        <w:tc>
          <w:tcPr>
            <w:tcW w:w="860" w:type="dxa"/>
            <w:vAlign w:val="bottom"/>
          </w:tcPr>
          <w:p>
            <w:pPr>
              <w:spacing w:after="0"/>
              <w:rPr>
                <w:sz w:val="19"/>
                <w:szCs w:val="19"/>
                <w:color w:val="auto"/>
              </w:rPr>
            </w:pPr>
          </w:p>
        </w:tc>
      </w:tr>
      <w:tr>
        <w:trPr>
          <w:trHeight w:val="218"/>
        </w:trPr>
        <w:tc>
          <w:tcPr>
            <w:tcW w:w="13900" w:type="dxa"/>
            <w:vAlign w:val="bottom"/>
          </w:tcPr>
          <w:p>
            <w:pPr>
              <w:spacing w:after="0"/>
              <w:rPr>
                <w:sz w:val="20"/>
                <w:szCs w:val="20"/>
                <w:color w:val="auto"/>
              </w:rPr>
            </w:pPr>
            <w:r>
              <w:rPr>
                <w:rFonts w:ascii="Verdana" w:cs="Verdana" w:eastAsia="Verdana" w:hAnsi="Verdana"/>
                <w:sz w:val="18"/>
                <w:szCs w:val="18"/>
                <w:color w:val="auto"/>
              </w:rPr>
              <w:t>Allegations.</w:t>
            </w:r>
          </w:p>
        </w:tc>
        <w:tc>
          <w:tcPr>
            <w:tcW w:w="860" w:type="dxa"/>
            <w:vAlign w:val="bottom"/>
          </w:tcPr>
          <w:p>
            <w:pPr>
              <w:ind w:left="80"/>
              <w:spacing w:after="0"/>
              <w:rPr>
                <w:sz w:val="20"/>
                <w:szCs w:val="20"/>
                <w:color w:val="auto"/>
              </w:rPr>
            </w:pPr>
            <w:r>
              <w:rPr>
                <w:rFonts w:ascii="Verdana" w:cs="Verdana" w:eastAsia="Verdana" w:hAnsi="Verdana"/>
                <w:sz w:val="18"/>
                <w:szCs w:val="18"/>
                <w:color w:val="auto"/>
                <w:w w:val="97"/>
              </w:rPr>
              <w:t>16 of 18</w:t>
            </w:r>
          </w:p>
        </w:tc>
      </w:tr>
    </w:tbl>
    <w:p>
      <w:pPr>
        <w:sectPr>
          <w:pgSz w:w="16840" w:h="11906" w:orient="landscape"/>
          <w:cols w:equalWidth="0" w:num="1">
            <w:col w:w="14900"/>
          </w:cols>
          <w:pgMar w:left="1020" w:top="685" w:right="921" w:bottom="120" w:gutter="0" w:footer="0" w:header="0"/>
          <w:type w:val="continuous"/>
        </w:sectPr>
      </w:pPr>
    </w:p>
    <w:bookmarkStart w:id="16" w:name="page17"/>
    <w:bookmarkEnd w:id="16"/>
    <w:p>
      <w:pPr>
        <w:ind w:left="42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946023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744.9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78105</wp:posOffset>
                </wp:positionV>
                <wp:extent cx="0" cy="211455"/>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15pt" to="0.2pt,2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821690</wp:posOffset>
                </wp:positionH>
                <wp:positionV relativeFrom="paragraph">
                  <wp:posOffset>78105</wp:posOffset>
                </wp:positionV>
                <wp:extent cx="0" cy="21145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6.15pt" to="64.7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78105</wp:posOffset>
                </wp:positionV>
                <wp:extent cx="0" cy="211455"/>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15pt" to="197.4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6084570</wp:posOffset>
                </wp:positionH>
                <wp:positionV relativeFrom="paragraph">
                  <wp:posOffset>78105</wp:posOffset>
                </wp:positionV>
                <wp:extent cx="0" cy="21145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1pt,6.15pt" to="479.1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7770495</wp:posOffset>
                </wp:positionH>
                <wp:positionV relativeFrom="paragraph">
                  <wp:posOffset>78105</wp:posOffset>
                </wp:positionV>
                <wp:extent cx="0" cy="211455"/>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85pt,6.15pt" to="611.85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9457690</wp:posOffset>
                </wp:positionH>
                <wp:positionV relativeFrom="paragraph">
                  <wp:posOffset>78105</wp:posOffset>
                </wp:positionV>
                <wp:extent cx="0" cy="21145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7pt,6.15pt" to="744.7pt,22.8pt" o:allowincell="f" strokecolor="#000000" strokeweight="0.48pt"/>
            </w:pict>
          </mc:Fallback>
        </mc:AlternateContent>
      </w:r>
    </w:p>
    <w:p>
      <w:pPr>
        <w:sectPr>
          <w:pgSz w:w="16840" w:h="11906" w:orient="landscape"/>
          <w:cols w:equalWidth="0" w:num="1">
            <w:col w:w="14900"/>
          </w:cols>
          <w:pgMar w:left="1020" w:top="685" w:right="921" w:bottom="120"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47625</wp:posOffset>
                </wp:positionV>
                <wp:extent cx="946023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3.75pt" to="431.9pt,3.7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198"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85" w:right="921" w:bottom="120"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TRAINING - Management of Students</w:t>
      </w: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371"/>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2.5.1</w:t>
            </w:r>
          </w:p>
        </w:tc>
        <w:tc>
          <w:tcPr>
            <w:tcW w:w="2660" w:type="dxa"/>
            <w:vAlign w:val="bottom"/>
            <w:tcBorders>
              <w:top w:val="single" w:sz="8" w:color="auto"/>
              <w:right w:val="single" w:sz="8" w:color="auto"/>
            </w:tcBorders>
          </w:tcPr>
          <w:p>
            <w:pPr>
              <w:spacing w:after="0"/>
              <w:rPr>
                <w:sz w:val="24"/>
                <w:szCs w:val="24"/>
                <w:color w:val="auto"/>
              </w:rPr>
            </w:pP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enrolment of students into</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top w:val="single" w:sz="8" w:color="auto"/>
              <w:right w:val="single" w:sz="8" w:color="auto"/>
            </w:tcBorders>
          </w:tcPr>
          <w:p>
            <w:pPr>
              <w:ind w:left="80"/>
              <w:spacing w:after="0"/>
              <w:rPr>
                <w:sz w:val="20"/>
                <w:szCs w:val="20"/>
                <w:color w:val="auto"/>
              </w:rPr>
            </w:pPr>
            <w:r>
              <w:rPr>
                <w:rFonts w:ascii="Verdana" w:cs="Verdana" w:eastAsia="Verdana" w:hAnsi="Verdana"/>
                <w:sz w:val="20"/>
                <w:szCs w:val="20"/>
                <w:color w:val="auto"/>
              </w:rPr>
              <w:t>Destroy 30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accredited courses.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following date of</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enrolment.</w:t>
            </w: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2.5.2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formal student grievances</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30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where the allegations have been proven, including</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action completed.</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those presented to a panel.</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362"/>
        </w:trPr>
        <w:tc>
          <w:tcPr>
            <w:tcW w:w="130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Includes the grievance register which contains the</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student name(s), student number, date of allegation,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summary of allegation(s) and the final resolution.</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2.5.3</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formal student grievances</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where the allegations cannot be proven, including</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action completed.</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those presented to a panel</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2.6</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Graduation</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conferring of certificates, awards or qualifications</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on students who have met the criteria required to</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graduate from accredited or non-accredited training</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2.6.1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registration of all students</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30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to be awarded their qualification in an accredited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action completed.</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course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2.6.2</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registration of all students</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to be awarded their qualification in a non-accredited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action completed.</w:t>
            </w: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course.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3"/>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bl>
    <w:p>
      <w:pPr>
        <w:spacing w:after="0" w:line="200" w:lineRule="exact"/>
        <w:rPr>
          <w:sz w:val="20"/>
          <w:szCs w:val="20"/>
          <w:color w:val="auto"/>
        </w:rPr>
      </w:pPr>
    </w:p>
    <w:p>
      <w:pPr>
        <w:spacing w:after="0" w:line="229" w:lineRule="exact"/>
        <w:rPr>
          <w:sz w:val="20"/>
          <w:szCs w:val="20"/>
          <w:color w:val="auto"/>
        </w:rPr>
      </w:pPr>
    </w:p>
    <w:p>
      <w:pPr>
        <w:ind w:left="120" w:right="220"/>
        <w:spacing w:after="0" w:line="239" w:lineRule="auto"/>
        <w:rPr>
          <w:sz w:val="20"/>
          <w:szCs w:val="20"/>
          <w:color w:val="auto"/>
        </w:rPr>
      </w:pPr>
      <w:r>
        <w:rPr>
          <w:rFonts w:ascii="Verdana" w:cs="Verdana" w:eastAsia="Verdana" w:hAnsi="Verdana"/>
          <w:sz w:val="18"/>
          <w:szCs w:val="18"/>
          <w:color w:val="auto"/>
        </w:rPr>
        <w:t xml:space="preserve">This Retention and Disposal Authority </w:t>
      </w:r>
      <w:r>
        <w:rPr>
          <w:rFonts w:ascii="Verdana" w:cs="Verdana" w:eastAsia="Verdana" w:hAnsi="Verdana"/>
          <w:sz w:val="18"/>
          <w:szCs w:val="18"/>
          <w:b w:val="1"/>
          <w:bCs w:val="1"/>
          <w:color w:val="auto"/>
        </w:rPr>
        <w:t>must not be used</w:t>
      </w:r>
      <w:r>
        <w:rPr>
          <w:rFonts w:ascii="Verdana" w:cs="Verdana" w:eastAsia="Verdana" w:hAnsi="Verdana"/>
          <w:sz w:val="18"/>
          <w:szCs w:val="18"/>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2" w:lineRule="exact"/>
        <w:rPr>
          <w:sz w:val="20"/>
          <w:szCs w:val="20"/>
          <w:color w:val="auto"/>
        </w:rPr>
      </w:pPr>
    </w:p>
    <w:tbl>
      <w:tblPr>
        <w:tblLayout w:type="fixed"/>
        <w:tblInd w:w="120" w:type="dxa"/>
        <w:tblCellMar>
          <w:top w:w="0" w:type="dxa"/>
          <w:left w:w="0" w:type="dxa"/>
          <w:bottom w:w="0" w:type="dxa"/>
          <w:right w:w="0" w:type="dxa"/>
        </w:tblCellMar>
      </w:tblPr>
      <w:tr>
        <w:trPr>
          <w:trHeight w:val="219"/>
        </w:trPr>
        <w:tc>
          <w:tcPr>
            <w:tcW w:w="13900" w:type="dxa"/>
            <w:vAlign w:val="bottom"/>
          </w:tcPr>
          <w:p>
            <w:pPr>
              <w:spacing w:after="0"/>
              <w:rPr>
                <w:sz w:val="20"/>
                <w:szCs w:val="20"/>
                <w:color w:val="auto"/>
              </w:rPr>
            </w:pPr>
            <w:r>
              <w:rPr>
                <w:rFonts w:ascii="Verdana" w:cs="Verdana" w:eastAsia="Verdana" w:hAnsi="Verdana"/>
                <w:sz w:val="18"/>
                <w:szCs w:val="18"/>
                <w:color w:val="auto"/>
              </w:rPr>
              <w:t xml:space="preserve">Instead agencies </w:t>
            </w:r>
            <w:r>
              <w:rPr>
                <w:rFonts w:ascii="Verdana" w:cs="Verdana" w:eastAsia="Verdana" w:hAnsi="Verdana"/>
                <w:sz w:val="18"/>
                <w:szCs w:val="18"/>
                <w:b w:val="1"/>
                <w:bCs w:val="1"/>
                <w:color w:val="auto"/>
              </w:rPr>
              <w:t>must use PROS 19/08</w:t>
            </w:r>
            <w:r>
              <w:rPr>
                <w:rFonts w:ascii="Verdana" w:cs="Verdana" w:eastAsia="Verdana" w:hAnsi="Verdana"/>
                <w:sz w:val="18"/>
                <w:szCs w:val="18"/>
                <w:color w:val="auto"/>
              </w:rPr>
              <w:t xml:space="preserve"> Retention and Disposal Authority for Records of Organisational Response to Child Sexual Abuse Incidents and</w:t>
            </w:r>
          </w:p>
        </w:tc>
        <w:tc>
          <w:tcPr>
            <w:tcW w:w="860" w:type="dxa"/>
            <w:vAlign w:val="bottom"/>
          </w:tcPr>
          <w:p>
            <w:pPr>
              <w:spacing w:after="0"/>
              <w:rPr>
                <w:sz w:val="19"/>
                <w:szCs w:val="19"/>
                <w:color w:val="auto"/>
              </w:rPr>
            </w:pPr>
          </w:p>
        </w:tc>
      </w:tr>
      <w:tr>
        <w:trPr>
          <w:trHeight w:val="218"/>
        </w:trPr>
        <w:tc>
          <w:tcPr>
            <w:tcW w:w="13900" w:type="dxa"/>
            <w:vAlign w:val="bottom"/>
          </w:tcPr>
          <w:p>
            <w:pPr>
              <w:spacing w:after="0"/>
              <w:rPr>
                <w:sz w:val="20"/>
                <w:szCs w:val="20"/>
                <w:color w:val="auto"/>
              </w:rPr>
            </w:pPr>
            <w:r>
              <w:rPr>
                <w:rFonts w:ascii="Verdana" w:cs="Verdana" w:eastAsia="Verdana" w:hAnsi="Verdana"/>
                <w:sz w:val="18"/>
                <w:szCs w:val="18"/>
                <w:color w:val="auto"/>
              </w:rPr>
              <w:t>Allegations.</w:t>
            </w:r>
          </w:p>
        </w:tc>
        <w:tc>
          <w:tcPr>
            <w:tcW w:w="860" w:type="dxa"/>
            <w:vAlign w:val="bottom"/>
          </w:tcPr>
          <w:p>
            <w:pPr>
              <w:ind w:left="80"/>
              <w:spacing w:after="0"/>
              <w:rPr>
                <w:sz w:val="20"/>
                <w:szCs w:val="20"/>
                <w:color w:val="auto"/>
              </w:rPr>
            </w:pPr>
            <w:r>
              <w:rPr>
                <w:rFonts w:ascii="Verdana" w:cs="Verdana" w:eastAsia="Verdana" w:hAnsi="Verdana"/>
                <w:sz w:val="18"/>
                <w:szCs w:val="18"/>
                <w:color w:val="auto"/>
                <w:w w:val="97"/>
              </w:rPr>
              <w:t>17 of 18</w:t>
            </w:r>
          </w:p>
        </w:tc>
      </w:tr>
    </w:tbl>
    <w:p>
      <w:pPr>
        <w:sectPr>
          <w:pgSz w:w="16840" w:h="11906" w:orient="landscape"/>
          <w:cols w:equalWidth="0" w:num="1">
            <w:col w:w="14900"/>
          </w:cols>
          <w:pgMar w:left="1020" w:top="685" w:right="921" w:bottom="120" w:gutter="0" w:footer="0" w:header="0"/>
          <w:type w:val="continuous"/>
        </w:sectPr>
      </w:pPr>
    </w:p>
    <w:bookmarkStart w:id="17" w:name="page18"/>
    <w:bookmarkEnd w:id="17"/>
    <w:p>
      <w:pPr>
        <w:ind w:left="420"/>
        <w:spacing w:after="0"/>
        <w:rPr>
          <w:sz w:val="20"/>
          <w:szCs w:val="20"/>
          <w:color w:val="auto"/>
        </w:rPr>
      </w:pPr>
      <w:r>
        <w:rPr>
          <w:rFonts w:ascii="Verdana" w:cs="Verdana" w:eastAsia="Verdana" w:hAnsi="Verdana"/>
          <w:sz w:val="23"/>
          <w:szCs w:val="23"/>
          <w:b w:val="1"/>
          <w:bCs w:val="1"/>
          <w:color w:val="auto"/>
        </w:rPr>
        <w:t>Retention and Disposal Authority for Records of the Emergency Services Telecommunications Authority</w:t>
      </w:r>
    </w:p>
    <w:p>
      <w:pPr>
        <w:spacing w:after="0" w:line="200" w:lineRule="exact"/>
        <w:rPr>
          <w:sz w:val="20"/>
          <w:szCs w:val="20"/>
          <w:color w:val="auto"/>
        </w:rPr>
      </w:pPr>
    </w:p>
    <w:p>
      <w:pPr>
        <w:spacing w:after="0" w:line="224" w:lineRule="exact"/>
        <w:rPr>
          <w:sz w:val="20"/>
          <w:szCs w:val="20"/>
          <w:color w:val="auto"/>
        </w:rPr>
      </w:pPr>
    </w:p>
    <w:p>
      <w:pPr>
        <w:ind w:left="120"/>
        <w:spacing w:after="0"/>
        <w:rPr>
          <w:sz w:val="20"/>
          <w:szCs w:val="20"/>
          <w:color w:val="auto"/>
        </w:rPr>
      </w:pPr>
      <w:r>
        <w:rPr>
          <w:rFonts w:ascii="Verdana" w:cs="Verdana" w:eastAsia="Verdana" w:hAnsi="Verdana"/>
          <w:sz w:val="20"/>
          <w:szCs w:val="20"/>
          <w:b w:val="1"/>
          <w:bCs w:val="1"/>
          <w:color w:val="auto"/>
        </w:rPr>
        <w:t>Authority number: PROS 13/02 VAR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80645</wp:posOffset>
                </wp:positionV>
                <wp:extent cx="946023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5pt" to="744.9pt,6.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78105</wp:posOffset>
                </wp:positionV>
                <wp:extent cx="0" cy="211455"/>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6.15pt" to="0.2pt,22.8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821690</wp:posOffset>
                </wp:positionH>
                <wp:positionV relativeFrom="paragraph">
                  <wp:posOffset>78105</wp:posOffset>
                </wp:positionV>
                <wp:extent cx="0" cy="21145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7pt,6.15pt" to="64.7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2506980</wp:posOffset>
                </wp:positionH>
                <wp:positionV relativeFrom="paragraph">
                  <wp:posOffset>78105</wp:posOffset>
                </wp:positionV>
                <wp:extent cx="0" cy="211455"/>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7.4pt,6.15pt" to="197.4pt,22.8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6084570</wp:posOffset>
                </wp:positionH>
                <wp:positionV relativeFrom="paragraph">
                  <wp:posOffset>78105</wp:posOffset>
                </wp:positionV>
                <wp:extent cx="0" cy="21145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1pt,6.15pt" to="479.1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7770495</wp:posOffset>
                </wp:positionH>
                <wp:positionV relativeFrom="paragraph">
                  <wp:posOffset>78105</wp:posOffset>
                </wp:positionV>
                <wp:extent cx="0" cy="211455"/>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9143">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1.85pt,6.15pt" to="611.85pt,22.8pt" o:allowincell="f" strokecolor="#000000" strokeweight="0.7199pt"/>
            </w:pict>
          </mc:Fallback>
        </mc:AlternateContent>
        <mc:AlternateContent>
          <mc:Choice Requires="wps">
            <w:drawing>
              <wp:anchor simplePos="0" relativeHeight="251657728" behindDoc="1" locked="0" layoutInCell="0" allowOverlap="1">
                <wp:simplePos x="0" y="0"/>
                <wp:positionH relativeFrom="column">
                  <wp:posOffset>9457690</wp:posOffset>
                </wp:positionH>
                <wp:positionV relativeFrom="paragraph">
                  <wp:posOffset>78105</wp:posOffset>
                </wp:positionV>
                <wp:extent cx="0" cy="21145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114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44.7pt,6.15pt" to="744.7pt,22.8pt" o:allowincell="f" strokecolor="#000000" strokeweight="0.48pt"/>
            </w:pict>
          </mc:Fallback>
        </mc:AlternateContent>
      </w:r>
    </w:p>
    <w:p>
      <w:pPr>
        <w:sectPr>
          <w:pgSz w:w="16840" w:h="11906" w:orient="landscape"/>
          <w:cols w:equalWidth="0" w:num="1">
            <w:col w:w="14900"/>
          </w:cols>
          <w:pgMar w:left="1020" w:top="685" w:right="921" w:bottom="120" w:gutter="0" w:footer="0" w:header="0"/>
        </w:sectPr>
      </w:pPr>
    </w:p>
    <w:p>
      <w:pPr>
        <w:spacing w:after="0" w:line="194" w:lineRule="exact"/>
        <w:rPr>
          <w:sz w:val="20"/>
          <w:szCs w:val="20"/>
          <w:color w:val="auto"/>
        </w:rPr>
      </w:pPr>
    </w:p>
    <w:p>
      <w:pPr>
        <w:ind w:left="520"/>
        <w:spacing w:after="0"/>
        <w:rPr>
          <w:sz w:val="20"/>
          <w:szCs w:val="20"/>
          <w:color w:val="auto"/>
        </w:rPr>
      </w:pPr>
      <w:r>
        <w:rPr>
          <w:rFonts w:ascii="Verdana" w:cs="Verdana" w:eastAsia="Verdana" w:hAnsi="Verdana"/>
          <w:sz w:val="16"/>
          <w:szCs w:val="16"/>
          <w:b w:val="1"/>
          <w:bCs w:val="1"/>
          <w:color w:val="auto"/>
        </w:rPr>
        <w:t>No</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Function/Activity</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Description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-3975100</wp:posOffset>
                </wp:positionH>
                <wp:positionV relativeFrom="paragraph">
                  <wp:posOffset>47625</wp:posOffset>
                </wp:positionV>
                <wp:extent cx="946023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6023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pt,3.75pt" to="431.9pt,3.75pt" o:allowincell="f" strokecolor="#000000" strokeweight="0.48pt"/>
            </w:pict>
          </mc:Fallback>
        </mc:AlternateConten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6"/>
          <w:szCs w:val="16"/>
          <w:b w:val="1"/>
          <w:bCs w:val="1"/>
          <w:color w:val="auto"/>
        </w:rPr>
        <w:t>Status</w:t>
      </w:r>
    </w:p>
    <w:p>
      <w:pPr>
        <w:spacing w:after="0" w:line="20" w:lineRule="exact"/>
        <w:rPr>
          <w:sz w:val="20"/>
          <w:szCs w:val="20"/>
          <w:color w:val="auto"/>
        </w:rPr>
      </w:pPr>
      <w:r>
        <w:rPr>
          <w:sz w:val="20"/>
          <w:szCs w:val="20"/>
          <w:color w:val="auto"/>
        </w:rPr>
        <w:br w:type="column"/>
      </w:r>
    </w:p>
    <w:p>
      <w:pPr>
        <w:spacing w:after="0" w:line="174" w:lineRule="exact"/>
        <w:rPr>
          <w:sz w:val="20"/>
          <w:szCs w:val="20"/>
          <w:color w:val="auto"/>
        </w:rPr>
      </w:pPr>
    </w:p>
    <w:p>
      <w:pPr>
        <w:spacing w:after="0"/>
        <w:rPr>
          <w:sz w:val="20"/>
          <w:szCs w:val="20"/>
          <w:color w:val="auto"/>
        </w:rPr>
      </w:pPr>
      <w:r>
        <w:rPr>
          <w:rFonts w:ascii="Verdana" w:cs="Verdana" w:eastAsia="Verdana" w:hAnsi="Verdana"/>
          <w:sz w:val="15"/>
          <w:szCs w:val="15"/>
          <w:b w:val="1"/>
          <w:bCs w:val="1"/>
          <w:color w:val="auto"/>
        </w:rPr>
        <w:t>Disposal Action</w:t>
      </w:r>
    </w:p>
    <w:p>
      <w:pPr>
        <w:spacing w:after="0" w:line="198" w:lineRule="exact"/>
        <w:rPr>
          <w:sz w:val="20"/>
          <w:szCs w:val="20"/>
          <w:color w:val="auto"/>
        </w:rPr>
      </w:pPr>
    </w:p>
    <w:p>
      <w:pPr>
        <w:sectPr>
          <w:pgSz w:w="16840" w:h="11906" w:orient="landscape"/>
          <w:cols w:equalWidth="0" w:num="5">
            <w:col w:w="1120" w:space="720"/>
            <w:col w:w="3700" w:space="720"/>
            <w:col w:w="3640" w:space="720"/>
            <w:col w:w="1540" w:space="720"/>
            <w:col w:w="2020"/>
          </w:cols>
          <w:pgMar w:left="1020" w:top="685" w:right="921" w:bottom="120" w:gutter="0" w:footer="0" w:header="0"/>
          <w:type w:val="continuous"/>
        </w:sectPr>
      </w:pPr>
    </w:p>
    <w:p>
      <w:pPr>
        <w:ind w:left="120"/>
        <w:spacing w:after="0"/>
        <w:rPr>
          <w:sz w:val="20"/>
          <w:szCs w:val="20"/>
          <w:color w:val="auto"/>
        </w:rPr>
      </w:pPr>
      <w:r>
        <w:rPr>
          <w:rFonts w:ascii="Verdana" w:cs="Verdana" w:eastAsia="Verdana" w:hAnsi="Verdana"/>
          <w:sz w:val="20"/>
          <w:szCs w:val="20"/>
          <w:i w:val="1"/>
          <w:iCs w:val="1"/>
          <w:color w:val="auto"/>
        </w:rPr>
        <w:t>QUALITY ASSURANCE</w:t>
      </w:r>
    </w:p>
    <w:p>
      <w:pPr>
        <w:spacing w:after="0" w:line="101" w:lineRule="exact"/>
        <w:rPr>
          <w:sz w:val="20"/>
          <w:szCs w:val="20"/>
          <w:color w:val="auto"/>
        </w:rPr>
      </w:pPr>
    </w:p>
    <w:tbl>
      <w:tblPr>
        <w:tblLayout w:type="fixed"/>
        <w:tblInd w:w="10" w:type="dxa"/>
        <w:tblCellMar>
          <w:top w:w="0" w:type="dxa"/>
          <w:left w:w="0" w:type="dxa"/>
          <w:bottom w:w="0" w:type="dxa"/>
          <w:right w:w="0" w:type="dxa"/>
        </w:tblCellMar>
      </w:tblPr>
      <w:tr>
        <w:trPr>
          <w:trHeight w:val="371"/>
        </w:trPr>
        <w:tc>
          <w:tcPr>
            <w:tcW w:w="1300" w:type="dxa"/>
            <w:vAlign w:val="bottom"/>
            <w:tcBorders>
              <w:top w:val="single" w:sz="8" w:color="auto"/>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w:t>
            </w:r>
          </w:p>
        </w:tc>
        <w:tc>
          <w:tcPr>
            <w:tcW w:w="266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QUALITY</w:t>
            </w:r>
          </w:p>
        </w:tc>
        <w:tc>
          <w:tcPr>
            <w:tcW w:w="5640" w:type="dxa"/>
            <w:vAlign w:val="bottom"/>
            <w:tcBorders>
              <w:top w:val="single" w:sz="8" w:color="auto"/>
              <w:right w:val="single" w:sz="8" w:color="auto"/>
            </w:tcBorders>
          </w:tcPr>
          <w:p>
            <w:pPr>
              <w:ind w:left="100"/>
              <w:spacing w:after="0"/>
              <w:rPr>
                <w:sz w:val="20"/>
                <w:szCs w:val="20"/>
                <w:color w:val="auto"/>
              </w:rPr>
            </w:pPr>
            <w:r>
              <w:rPr>
                <w:rFonts w:ascii="Verdana" w:cs="Verdana" w:eastAsia="Verdana" w:hAnsi="Verdana"/>
                <w:sz w:val="20"/>
                <w:szCs w:val="20"/>
                <w:color w:val="auto"/>
              </w:rPr>
              <w:t>The management of quality assurance processes</w:t>
            </w:r>
          </w:p>
        </w:tc>
        <w:tc>
          <w:tcPr>
            <w:tcW w:w="2660" w:type="dxa"/>
            <w:vAlign w:val="bottom"/>
            <w:tcBorders>
              <w:top w:val="single" w:sz="8" w:color="auto"/>
              <w:right w:val="single" w:sz="8" w:color="auto"/>
            </w:tcBorders>
          </w:tcPr>
          <w:p>
            <w:pPr>
              <w:spacing w:after="0"/>
              <w:rPr>
                <w:sz w:val="24"/>
                <w:szCs w:val="24"/>
                <w:color w:val="auto"/>
              </w:rPr>
            </w:pPr>
          </w:p>
        </w:tc>
        <w:tc>
          <w:tcPr>
            <w:tcW w:w="2660" w:type="dxa"/>
            <w:vAlign w:val="bottom"/>
            <w:tcBorders>
              <w:top w:val="single" w:sz="8" w:color="auto"/>
              <w:right w:val="single" w:sz="8" w:color="auto"/>
            </w:tcBorders>
          </w:tcPr>
          <w:p>
            <w:pPr>
              <w:spacing w:after="0"/>
              <w:rPr>
                <w:sz w:val="24"/>
                <w:szCs w:val="24"/>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ASSURANCE</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undertaken in order to comply with agreed standards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process improvements. Compliance is measured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against industry best practise and standards for the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improvement of business function. Quality is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managed, maintained and continually improved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through the use of audits, data analysis, corrective</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and preventative action and the management review</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 quality policy objectives.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6"/>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b w:val="1"/>
                <w:bCs w:val="1"/>
                <w:color w:val="auto"/>
              </w:rPr>
              <w:t>Audit</w:t>
            </w: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The audit of business practises to assess compliance</w:t>
            </w:r>
          </w:p>
        </w:tc>
        <w:tc>
          <w:tcPr>
            <w:tcW w:w="2660" w:type="dxa"/>
            <w:vAlign w:val="bottom"/>
            <w:tcBorders>
              <w:right w:val="single" w:sz="8" w:color="auto"/>
            </w:tcBorders>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with internal and external standards. Includes audits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of call-taker and dispatch operational systems and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processes.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r>
        <w:trPr>
          <w:trHeight w:val="358"/>
        </w:trPr>
        <w:tc>
          <w:tcPr>
            <w:tcW w:w="1300" w:type="dxa"/>
            <w:vAlign w:val="bottom"/>
            <w:tcBorders>
              <w:left w:val="single" w:sz="8" w:color="auto"/>
              <w:right w:val="single" w:sz="8" w:color="auto"/>
            </w:tcBorders>
          </w:tcPr>
          <w:p>
            <w:pPr>
              <w:ind w:left="120"/>
              <w:spacing w:after="0"/>
              <w:rPr>
                <w:sz w:val="20"/>
                <w:szCs w:val="20"/>
                <w:color w:val="auto"/>
              </w:rPr>
            </w:pPr>
            <w:r>
              <w:rPr>
                <w:rFonts w:ascii="Verdana" w:cs="Verdana" w:eastAsia="Verdana" w:hAnsi="Verdana"/>
                <w:sz w:val="20"/>
                <w:szCs w:val="20"/>
                <w:color w:val="auto"/>
              </w:rPr>
              <w:t>3.1.1</w:t>
            </w:r>
          </w:p>
        </w:tc>
        <w:tc>
          <w:tcPr>
            <w:tcW w:w="2660" w:type="dxa"/>
            <w:vAlign w:val="bottom"/>
            <w:tcBorders>
              <w:right w:val="single" w:sz="8" w:color="auto"/>
            </w:tcBorders>
          </w:tcPr>
          <w:p>
            <w:pPr>
              <w:spacing w:after="0"/>
              <w:rPr>
                <w:sz w:val="24"/>
                <w:szCs w:val="24"/>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Records documenting the auditing of business</w:t>
            </w:r>
          </w:p>
        </w:tc>
        <w:tc>
          <w:tcPr>
            <w:tcW w:w="266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Temporary</w:t>
            </w: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Destroy 7 years after</w:t>
            </w:r>
          </w:p>
        </w:tc>
      </w:tr>
      <w:tr>
        <w:trPr>
          <w:trHeight w:val="243"/>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practises to assess compliance with internal and</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administrative use is</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external standards. Includes audit checklists,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ind w:left="80"/>
              <w:spacing w:after="0"/>
              <w:rPr>
                <w:sz w:val="20"/>
                <w:szCs w:val="20"/>
                <w:color w:val="auto"/>
              </w:rPr>
            </w:pPr>
            <w:r>
              <w:rPr>
                <w:rFonts w:ascii="Verdana" w:cs="Verdana" w:eastAsia="Verdana" w:hAnsi="Verdana"/>
                <w:sz w:val="20"/>
                <w:szCs w:val="20"/>
                <w:color w:val="auto"/>
              </w:rPr>
              <w:t>concluded.</w:t>
            </w: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registers of audit outcomes and audit reports.</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5"/>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Reports on audit findings are generated for continual</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242"/>
        </w:trPr>
        <w:tc>
          <w:tcPr>
            <w:tcW w:w="1300" w:type="dxa"/>
            <w:vAlign w:val="bottom"/>
            <w:tcBorders>
              <w:left w:val="single" w:sz="8" w:color="auto"/>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c>
          <w:tcPr>
            <w:tcW w:w="5640" w:type="dxa"/>
            <w:vAlign w:val="bottom"/>
            <w:tcBorders>
              <w:right w:val="single" w:sz="8" w:color="auto"/>
            </w:tcBorders>
          </w:tcPr>
          <w:p>
            <w:pPr>
              <w:ind w:left="100"/>
              <w:spacing w:after="0"/>
              <w:rPr>
                <w:sz w:val="20"/>
                <w:szCs w:val="20"/>
                <w:color w:val="auto"/>
              </w:rPr>
            </w:pPr>
            <w:r>
              <w:rPr>
                <w:rFonts w:ascii="Verdana" w:cs="Verdana" w:eastAsia="Verdana" w:hAnsi="Verdana"/>
                <w:sz w:val="20"/>
                <w:szCs w:val="20"/>
                <w:color w:val="auto"/>
              </w:rPr>
              <w:t>improvement.</w:t>
            </w:r>
          </w:p>
        </w:tc>
        <w:tc>
          <w:tcPr>
            <w:tcW w:w="2660" w:type="dxa"/>
            <w:vAlign w:val="bottom"/>
            <w:tcBorders>
              <w:right w:val="single" w:sz="8" w:color="auto"/>
            </w:tcBorders>
          </w:tcPr>
          <w:p>
            <w:pPr>
              <w:spacing w:after="0"/>
              <w:rPr>
                <w:sz w:val="21"/>
                <w:szCs w:val="21"/>
                <w:color w:val="auto"/>
              </w:rPr>
            </w:pPr>
          </w:p>
        </w:tc>
        <w:tc>
          <w:tcPr>
            <w:tcW w:w="2660" w:type="dxa"/>
            <w:vAlign w:val="bottom"/>
            <w:tcBorders>
              <w:right w:val="single" w:sz="8" w:color="auto"/>
            </w:tcBorders>
          </w:tcPr>
          <w:p>
            <w:pPr>
              <w:spacing w:after="0"/>
              <w:rPr>
                <w:sz w:val="21"/>
                <w:szCs w:val="21"/>
                <w:color w:val="auto"/>
              </w:rPr>
            </w:pPr>
          </w:p>
        </w:tc>
      </w:tr>
      <w:tr>
        <w:trPr>
          <w:trHeight w:val="121"/>
        </w:trPr>
        <w:tc>
          <w:tcPr>
            <w:tcW w:w="1300" w:type="dxa"/>
            <w:vAlign w:val="bottom"/>
            <w:tcBorders>
              <w:left w:val="single" w:sz="8" w:color="auto"/>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564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c>
          <w:tcPr>
            <w:tcW w:w="2660" w:type="dxa"/>
            <w:vAlign w:val="bottom"/>
            <w:tcBorders>
              <w:bottom w:val="single" w:sz="8" w:color="auto"/>
              <w:right w:val="single" w:sz="8" w:color="auto"/>
            </w:tcBorders>
          </w:tcPr>
          <w:p>
            <w:pPr>
              <w:spacing w:after="0"/>
              <w:rPr>
                <w:sz w:val="10"/>
                <w:szCs w:val="10"/>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120" w:right="220"/>
        <w:spacing w:after="0" w:line="239" w:lineRule="auto"/>
        <w:rPr>
          <w:sz w:val="20"/>
          <w:szCs w:val="20"/>
          <w:color w:val="auto"/>
        </w:rPr>
      </w:pPr>
      <w:r>
        <w:rPr>
          <w:rFonts w:ascii="Verdana" w:cs="Verdana" w:eastAsia="Verdana" w:hAnsi="Verdana"/>
          <w:sz w:val="18"/>
          <w:szCs w:val="18"/>
          <w:color w:val="auto"/>
        </w:rPr>
        <w:t xml:space="preserve">This Retention and Disposal Authority </w:t>
      </w:r>
      <w:r>
        <w:rPr>
          <w:rFonts w:ascii="Verdana" w:cs="Verdana" w:eastAsia="Verdana" w:hAnsi="Verdana"/>
          <w:sz w:val="18"/>
          <w:szCs w:val="18"/>
          <w:b w:val="1"/>
          <w:bCs w:val="1"/>
          <w:color w:val="auto"/>
        </w:rPr>
        <w:t>must not be used</w:t>
      </w:r>
      <w:r>
        <w:rPr>
          <w:rFonts w:ascii="Verdana" w:cs="Verdana" w:eastAsia="Verdana" w:hAnsi="Verdana"/>
          <w:sz w:val="18"/>
          <w:szCs w:val="18"/>
          <w:color w:val="auto"/>
        </w:rPr>
        <w:t xml:space="preserve"> for records about child sexual abuse incidents, allegations nor an agency’s prevention, identification and response to such incidents and allegations. This includes records of this nature created through an agency’s reporting, oversight or regulatory relationships with other agencies.</w:t>
      </w:r>
    </w:p>
    <w:p>
      <w:pPr>
        <w:spacing w:after="0" w:line="122" w:lineRule="exact"/>
        <w:rPr>
          <w:sz w:val="20"/>
          <w:szCs w:val="20"/>
          <w:color w:val="auto"/>
        </w:rPr>
      </w:pPr>
    </w:p>
    <w:tbl>
      <w:tblPr>
        <w:tblLayout w:type="fixed"/>
        <w:tblInd w:w="120" w:type="dxa"/>
        <w:tblCellMar>
          <w:top w:w="0" w:type="dxa"/>
          <w:left w:w="0" w:type="dxa"/>
          <w:bottom w:w="0" w:type="dxa"/>
          <w:right w:w="0" w:type="dxa"/>
        </w:tblCellMar>
      </w:tblPr>
      <w:tr>
        <w:trPr>
          <w:trHeight w:val="219"/>
        </w:trPr>
        <w:tc>
          <w:tcPr>
            <w:tcW w:w="13900" w:type="dxa"/>
            <w:vAlign w:val="bottom"/>
          </w:tcPr>
          <w:p>
            <w:pPr>
              <w:spacing w:after="0"/>
              <w:rPr>
                <w:sz w:val="20"/>
                <w:szCs w:val="20"/>
                <w:color w:val="auto"/>
              </w:rPr>
            </w:pPr>
            <w:r>
              <w:rPr>
                <w:rFonts w:ascii="Verdana" w:cs="Verdana" w:eastAsia="Verdana" w:hAnsi="Verdana"/>
                <w:sz w:val="18"/>
                <w:szCs w:val="18"/>
                <w:color w:val="auto"/>
              </w:rPr>
              <w:t xml:space="preserve">Instead agencies </w:t>
            </w:r>
            <w:r>
              <w:rPr>
                <w:rFonts w:ascii="Verdana" w:cs="Verdana" w:eastAsia="Verdana" w:hAnsi="Verdana"/>
                <w:sz w:val="18"/>
                <w:szCs w:val="18"/>
                <w:b w:val="1"/>
                <w:bCs w:val="1"/>
                <w:color w:val="auto"/>
              </w:rPr>
              <w:t>must use PROS 19/08</w:t>
            </w:r>
            <w:r>
              <w:rPr>
                <w:rFonts w:ascii="Verdana" w:cs="Verdana" w:eastAsia="Verdana" w:hAnsi="Verdana"/>
                <w:sz w:val="18"/>
                <w:szCs w:val="18"/>
                <w:color w:val="auto"/>
              </w:rPr>
              <w:t xml:space="preserve"> Retention and Disposal Authority for Records of Organisational Response to Child Sexual Abuse Incidents and</w:t>
            </w:r>
          </w:p>
        </w:tc>
        <w:tc>
          <w:tcPr>
            <w:tcW w:w="860" w:type="dxa"/>
            <w:vAlign w:val="bottom"/>
          </w:tcPr>
          <w:p>
            <w:pPr>
              <w:spacing w:after="0"/>
              <w:rPr>
                <w:sz w:val="19"/>
                <w:szCs w:val="19"/>
                <w:color w:val="auto"/>
              </w:rPr>
            </w:pPr>
          </w:p>
        </w:tc>
      </w:tr>
      <w:tr>
        <w:trPr>
          <w:trHeight w:val="218"/>
        </w:trPr>
        <w:tc>
          <w:tcPr>
            <w:tcW w:w="13900" w:type="dxa"/>
            <w:vAlign w:val="bottom"/>
          </w:tcPr>
          <w:p>
            <w:pPr>
              <w:spacing w:after="0"/>
              <w:rPr>
                <w:sz w:val="20"/>
                <w:szCs w:val="20"/>
                <w:color w:val="auto"/>
              </w:rPr>
            </w:pPr>
            <w:r>
              <w:rPr>
                <w:rFonts w:ascii="Verdana" w:cs="Verdana" w:eastAsia="Verdana" w:hAnsi="Verdana"/>
                <w:sz w:val="18"/>
                <w:szCs w:val="18"/>
                <w:color w:val="auto"/>
              </w:rPr>
              <w:t>Allegations.</w:t>
            </w:r>
          </w:p>
        </w:tc>
        <w:tc>
          <w:tcPr>
            <w:tcW w:w="860" w:type="dxa"/>
            <w:vAlign w:val="bottom"/>
          </w:tcPr>
          <w:p>
            <w:pPr>
              <w:ind w:left="80"/>
              <w:spacing w:after="0"/>
              <w:rPr>
                <w:sz w:val="20"/>
                <w:szCs w:val="20"/>
                <w:color w:val="auto"/>
              </w:rPr>
            </w:pPr>
            <w:r>
              <w:rPr>
                <w:rFonts w:ascii="Verdana" w:cs="Verdana" w:eastAsia="Verdana" w:hAnsi="Verdana"/>
                <w:sz w:val="18"/>
                <w:szCs w:val="18"/>
                <w:color w:val="auto"/>
                <w:w w:val="97"/>
              </w:rPr>
              <w:t>18 of 18</w:t>
            </w:r>
          </w:p>
        </w:tc>
      </w:tr>
    </w:tbl>
    <w:p>
      <w:pPr>
        <w:spacing w:after="0" w:line="1" w:lineRule="exact"/>
        <w:rPr>
          <w:sz w:val="20"/>
          <w:szCs w:val="20"/>
          <w:color w:val="auto"/>
        </w:rPr>
      </w:pPr>
    </w:p>
    <w:sectPr>
      <w:pgSz w:w="16840" w:h="11906" w:orient="landscape"/>
      <w:cols w:equalWidth="0" w:num="1">
        <w:col w:w="14900"/>
      </w:cols>
      <w:pgMar w:left="1020" w:top="685" w:right="921" w:bottom="12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2023-01-04T11:02:05Z</dcterms:created>
  <dcterms:modified xsi:type="dcterms:W3CDTF">2023-01-04T11:02:05Z</dcterms:modified>
</cp:coreProperties>
</file>