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5A1F"/>
          <w:sz w:val="44"/>
        </w:rPr>
        <w:t>ZICTEC</w:t>
      </w:r>
    </w:p>
    <w:p>
      <w:pPr>
        <w:jc w:val="center"/>
      </w:pPr>
      <w:r>
        <w:rPr>
          <w:b/>
          <w:color w:val="66657A"/>
          <w:sz w:val="20"/>
        </w:rPr>
        <w:t>DATASHEET / WHITEPAPER TÉCNICO-COMERCIAL</w:t>
      </w:r>
    </w:p>
    <w:p>
      <w:pPr>
        <w:jc w:val="center"/>
      </w:pPr>
      <w:r>
        <w:rPr>
          <w:b/>
          <w:color w:val="1B1648"/>
          <w:sz w:val="48"/>
        </w:rPr>
        <w:t>Chamada Verificada, STIR/SHAKEN e Origem Verificada</w:t>
      </w:r>
    </w:p>
    <w:p>
      <w:pPr>
        <w:jc w:val="center"/>
      </w:pPr>
      <w:r>
        <w:rPr>
          <w:color w:val="444157"/>
          <w:sz w:val="24"/>
        </w:rPr>
        <w:t>Guia de ofertas, arquitetura comercial, matriz de decisão e premissas para implantação assistida.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B1648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986"/>
            <w:vAlign w:val="center"/>
            <w:shd w:fill="FFF1EA"/>
          </w:tcPr>
          <w:p>
            <w:r/>
            <w:r>
              <w:rPr>
                <w:b w:val="0"/>
                <w:color w:val="171729"/>
                <w:sz w:val="18"/>
              </w:rPr>
              <w:t>17/06/2026</w:t>
            </w:r>
          </w:p>
        </w:tc>
      </w:tr>
      <w:tr>
        <w:tc>
          <w:tcPr>
            <w:tcW w:type="dxa" w:w="4986"/>
            <w:vAlign w:val="center"/>
            <w:shd w:fill="1B1648"/>
          </w:tcPr>
          <w:p>
            <w:r/>
            <w:r>
              <w:rPr>
                <w:b/>
                <w:color w:val="FFFFFF"/>
                <w:sz w:val="18"/>
              </w:rPr>
              <w:t>Preparado por</w:t>
            </w:r>
          </w:p>
        </w:tc>
        <w:tc>
          <w:tcPr>
            <w:tcW w:type="dxa" w:w="4986"/>
            <w:vAlign w:val="center"/>
            <w:shd w:fill="FFF1EA"/>
          </w:tcPr>
          <w:p>
            <w:r/>
            <w:r>
              <w:rPr>
                <w:b w:val="0"/>
                <w:color w:val="171729"/>
                <w:sz w:val="18"/>
              </w:rPr>
              <w:t>Jarvis / ZICTEC</w:t>
            </w:r>
          </w:p>
        </w:tc>
      </w:tr>
      <w:tr>
        <w:tc>
          <w:tcPr>
            <w:tcW w:type="dxa" w:w="4986"/>
            <w:vAlign w:val="center"/>
            <w:shd w:fill="1B1648"/>
          </w:tcPr>
          <w:p>
            <w:r/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4986"/>
            <w:vAlign w:val="center"/>
            <w:shd w:fill="FFF1EA"/>
          </w:tcPr>
          <w:p>
            <w:r/>
            <w:r>
              <w:rPr>
                <w:b w:val="0"/>
                <w:color w:val="171729"/>
                <w:sz w:val="18"/>
              </w:rPr>
              <w:t>Material técnico-comercial</w:t>
            </w:r>
          </w:p>
        </w:tc>
      </w:tr>
    </w:tbl>
    <w:p>
      <w:r>
        <w:br w:type="page"/>
      </w:r>
    </w:p>
    <w:p>
      <w:pPr>
        <w:pStyle w:val="Heading1"/>
      </w:pPr>
      <w:r>
        <w:t>Resumo executivo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1EA"/>
          </w:tcPr>
          <w:p>
            <w:r/>
            <w:r>
              <w:rPr>
                <w:b/>
                <w:color w:val="1B1648"/>
                <w:sz w:val="20"/>
              </w:rPr>
              <w:t>A ZICTEC organiza Chamada Verificada em uma jornada guiada: educa o cliente, separa Autenticação de Origem Verificada, diferencia API REST, SIP/ISBC, Client ProSBC, bundle híbrido e pacotes com servidor físico, e reduz risco de compra incompleta antes do checkout.</w:t>
            </w:r>
          </w:p>
        </w:tc>
      </w:tr>
    </w:tbl>
    <w:p>
      <w:pPr>
        <w:jc w:val="both"/>
      </w:pPr>
      <w:r>
        <w:t>Fonte: página Chamada Verificada ZICTEC validada em GitHub Pages</w:t>
      </w:r>
    </w:p>
    <w:p>
      <w:pPr>
        <w:jc w:val="both"/>
      </w:pPr>
      <w:r>
        <w:t>Data: 17/06/2026</w:t>
      </w:r>
    </w:p>
    <w:p>
      <w:pPr>
        <w:jc w:val="both"/>
      </w:pPr>
      <w:r>
        <w:t>Uso recomendado: material comercial, pré-venda, reunião executiva e alinhamento de escopo técnico.</w:t>
      </w:r>
    </w:p>
    <w:p>
      <w:pPr>
        <w:jc w:val="both"/>
      </w:pPr>
      <w:r>
        <w:t>A jornada de Chamada Verificada da ZICTEC organiza a oferta de Autenticação de Chamadas, STIR/SHAKEN e preparação para Origem Verificada em pacotes claros. O objetivo é reduzir risco operacional, evitar compra incompleta e guiar o cliente entre consumo por SIP/ISBC, API REST, Client ProSBC, bundle híbrido e pacotes com servidor físico.</w:t>
      </w:r>
    </w:p>
    <w:p>
      <w:pPr>
        <w:pStyle w:val="Heading1"/>
      </w:pPr>
      <w:r>
        <w:t>Conceitos centrais</w:t>
      </w:r>
    </w:p>
    <w:p>
      <w:pPr>
        <w:pStyle w:val="ListBullet"/>
      </w:pPr>
      <w:r>
        <w:t>STIR/SHAKEN: tecnologia/protocolo usado para assinatura e validação da origem da chamada.</w:t>
      </w:r>
    </w:p>
    <w:p>
      <w:pPr>
        <w:pStyle w:val="ListBullet"/>
      </w:pPr>
      <w:r>
        <w:t>Autenticação de chamadas: envio das chamadas nas interconexões autenticadas conforme regras do ecossistema operacional e regulatório.</w:t>
      </w:r>
    </w:p>
    <w:p>
      <w:pPr>
        <w:pStyle w:val="ListBullet"/>
      </w:pPr>
      <w:r>
        <w:t>Origem Verificada: camada brasileira de identificação/branded call, com marca, logo e campanha. Depende de Autenticação.</w:t>
      </w:r>
    </w:p>
    <w:p>
      <w:pPr>
        <w:pStyle w:val="ListBullet"/>
      </w:pPr>
      <w:r>
        <w:t>ABR Telecom: referência institucional e operacional a ser usada na terminologia comercial.</w:t>
      </w:r>
    </w:p>
    <w:p>
      <w:pPr>
        <w:pStyle w:val="Heading1"/>
      </w:pPr>
      <w:r>
        <w:t>Benefícios para o cliente</w:t>
      </w:r>
    </w:p>
    <w:p>
      <w:pPr>
        <w:pStyle w:val="ListNumber"/>
      </w:pPr>
      <w:r>
        <w:t>Menos risco na origem da chamada: validação técnica, trilha de auditoria e critérios para reduzir uso indevido de números, falhas de autenticação e contestação.</w:t>
      </w:r>
    </w:p>
    <w:p>
      <w:pPr>
        <w:pStyle w:val="ListNumber"/>
      </w:pPr>
      <w:r>
        <w:t>Pacote certo para a topologia atual: separa ISBC Cloud, API REST, Client ProSBC, setup, licença, hardware e suporte.</w:t>
      </w:r>
    </w:p>
    <w:p>
      <w:pPr>
        <w:pStyle w:val="ListNumber"/>
      </w:pPr>
      <w:r>
        <w:t>Base para Origem Verificada: primeiro autenticação; depois identificação, marca e campanhas com dependências explícitas.</w:t>
      </w:r>
    </w:p>
    <w:p>
      <w:pPr>
        <w:pStyle w:val="Heading1"/>
      </w:pPr>
      <w:r>
        <w:t>Formas de consumir a solução</w:t>
      </w:r>
    </w:p>
    <w:p>
      <w:pPr>
        <w:pStyle w:val="Heading1"/>
      </w:pPr>
      <w:r>
        <w:t>Matriz de pacotes / SKUs</w:t>
      </w:r>
    </w:p>
    <w:p>
      <w:pPr>
        <w:jc w:val="both"/>
      </w:pPr>
      <w:r>
        <w:t>Observação promocional: o pacote ZT_PROSBC_HW500_STIAS_HYBRID_API_A usa o cupom promocional hybrid7800 no shop, conforme jornada comercial publicada.</w:t>
      </w:r>
    </w:p>
    <w:p>
      <w:pPr>
        <w:pStyle w:val="Heading1"/>
      </w:pPr>
      <w:r>
        <w:t>Jornada de contratação</w:t>
      </w:r>
    </w:p>
    <w:p>
      <w:pPr>
        <w:pStyle w:val="ListNumber"/>
      </w:pPr>
      <w:r>
        <w:t>Educar em 2 minutos: diferenciar STIR/SHAKEN, Autenticação e Origem Verificada.</w:t>
      </w:r>
    </w:p>
    <w:p>
      <w:pPr>
        <w:pStyle w:val="ListNumber"/>
      </w:pPr>
      <w:r>
        <w:t>Escolher objetivo: cumprir regulação, operar com suporte, manter ProSBC atual, modernizar topologia ou ativar campanhas.</w:t>
      </w:r>
    </w:p>
    <w:p>
      <w:pPr>
        <w:pStyle w:val="ListNumber"/>
      </w:pPr>
      <w:r>
        <w:t>Responder checklist técnico: SBC/vendor, rotas, volumetria, status ABR, relatórios, campanhas e suporte.</w:t>
      </w:r>
    </w:p>
    <w:p>
      <w:pPr>
        <w:pStyle w:val="ListNumber"/>
      </w:pPr>
      <w:r>
        <w:t>Receber pacote recomendado: API REST, ISBC/SIP, Client ProSBC, bundle híbrido ou pacote com servidor.</w:t>
      </w:r>
    </w:p>
    <w:p>
      <w:pPr>
        <w:pStyle w:val="ListNumber"/>
      </w:pPr>
      <w:r>
        <w:t>Checkout ou lead qualificado: compra inicia validação; cenários complexos viram proposta formal.</w:t>
      </w:r>
    </w:p>
    <w:p>
      <w:pPr>
        <w:pStyle w:val="Heading1"/>
      </w:pPr>
      <w:r>
        <w:t>Checklist de kickoff</w:t>
      </w:r>
    </w:p>
    <w:p>
      <w:pPr>
        <w:pStyle w:val="Heading2"/>
      </w:pPr>
      <w:r>
        <w:t>Cliente e regulatório</w:t>
      </w:r>
    </w:p>
    <w:p>
      <w:pPr>
        <w:pStyle w:val="ListBullet"/>
      </w:pPr>
      <w:r>
        <w:t>Razão social, CNPJ e responsável técnico.</w:t>
      </w:r>
    </w:p>
    <w:p>
      <w:pPr>
        <w:pStyle w:val="ListBullet"/>
      </w:pPr>
      <w:r>
        <w:t>Status ABR Telecom: não iniciado, UAT/homologação ou produção.</w:t>
      </w:r>
    </w:p>
    <w:p>
      <w:pPr>
        <w:pStyle w:val="ListBullet"/>
      </w:pPr>
      <w:r>
        <w:t>Credenciais/certificados disponíveis.</w:t>
      </w:r>
    </w:p>
    <w:p>
      <w:pPr>
        <w:pStyle w:val="ListBullet"/>
      </w:pPr>
      <w:r>
        <w:t>Objetivo: Autenticação, Identificação/Origem Verificada ou ambos.</w:t>
      </w:r>
    </w:p>
    <w:p>
      <w:pPr>
        <w:pStyle w:val="Heading2"/>
      </w:pPr>
      <w:r>
        <w:t>Topologia e tráfego</w:t>
      </w:r>
    </w:p>
    <w:p>
      <w:pPr>
        <w:pStyle w:val="ListBullet"/>
      </w:pPr>
      <w:r>
        <w:t>SBC/vendor, versão e capacidade.</w:t>
      </w:r>
    </w:p>
    <w:p>
      <w:pPr>
        <w:pStyle w:val="ListBullet"/>
      </w:pPr>
      <w:r>
        <w:t>Rotas/interconexões e volumetria.</w:t>
      </w:r>
    </w:p>
    <w:p>
      <w:pPr>
        <w:pStyle w:val="ListBullet"/>
      </w:pPr>
      <w:r>
        <w:t>IN-BAND, OUT-OF-BAND ou indefinido.</w:t>
      </w:r>
    </w:p>
    <w:p>
      <w:pPr>
        <w:pStyle w:val="ListBullet"/>
      </w:pPr>
      <w:r>
        <w:t>Necessidade de ProSBC, licença, servidor físico ou expansão.</w:t>
      </w:r>
    </w:p>
    <w:p>
      <w:pPr>
        <w:pStyle w:val="Heading2"/>
      </w:pPr>
      <w:r>
        <w:t>Operação e aceite</w:t>
      </w:r>
    </w:p>
    <w:p>
      <w:pPr>
        <w:pStyle w:val="ListBullet"/>
      </w:pPr>
      <w:r>
        <w:t>Relatórios/auditoria esperados.</w:t>
      </w:r>
    </w:p>
    <w:p>
      <w:pPr>
        <w:pStyle w:val="ListBullet"/>
      </w:pPr>
      <w:r>
        <w:t>Suporte pós-go-live e SLA desejado.</w:t>
      </w:r>
    </w:p>
    <w:p>
      <w:pPr>
        <w:pStyle w:val="ListBullet"/>
      </w:pPr>
      <w:r>
        <w:t>Premissas fora de escopo.</w:t>
      </w:r>
    </w:p>
    <w:p>
      <w:pPr>
        <w:pStyle w:val="ListBullet"/>
      </w:pPr>
      <w:r>
        <w:t>Critério de homologação e aceite.</w:t>
      </w:r>
    </w:p>
    <w:p>
      <w:pPr>
        <w:pStyle w:val="Heading1"/>
      </w:pPr>
      <w:r>
        <w:t>Premissas e exclusões comerciais</w:t>
      </w:r>
    </w:p>
    <w:p>
      <w:pPr>
        <w:pStyle w:val="ListBullet"/>
      </w:pPr>
      <w:r>
        <w:t>O ecommerce deve reduzir fricção, não prometer implantação automática universal.</w:t>
      </w:r>
    </w:p>
    <w:p>
      <w:pPr>
        <w:pStyle w:val="ListBullet"/>
      </w:pPr>
      <w:r>
        <w:t>A compra inicia contratação/validação; produção depende de ambiente, rotas, credenciais, homologação e aceite.</w:t>
      </w:r>
    </w:p>
    <w:p>
      <w:pPr>
        <w:pStyle w:val="ListBullet"/>
      </w:pPr>
      <w:r>
        <w:t>API REST Tools não é ISBC Cloud; Client ProSBC não é licença da API SaaS.</w:t>
      </w:r>
    </w:p>
    <w:p>
      <w:pPr>
        <w:pStyle w:val="ListBullet"/>
      </w:pPr>
      <w:r>
        <w:t>SETUP é serviço, não licença. Para ProSBC, combinar com Client ou usar pacote fechado.</w:t>
      </w:r>
    </w:p>
    <w:p>
      <w:pPr>
        <w:pStyle w:val="ListBullet"/>
      </w:pPr>
      <w:r>
        <w:t>Pacotes com servidor físico são variações vinculadas aos itens sem servidor; o que renova no segundo ano deve ficar explícito.</w:t>
      </w:r>
    </w:p>
    <w:p>
      <w:pPr>
        <w:pStyle w:val="ListBullet"/>
      </w:pPr>
      <w:r>
        <w:t>Suporte operacional, banco de horas, transcoding, expansões e SLA dedicado ficam fora salvo contratação separada.</w:t>
      </w:r>
    </w:p>
    <w:p>
      <w:pPr>
        <w:pStyle w:val="Heading1"/>
      </w:pPr>
      <w:r>
        <w:t>Próxima ação recomendada</w:t>
      </w:r>
    </w:p>
    <w:p>
      <w:pPr>
        <w:jc w:val="both"/>
      </w:pPr>
      <w:r>
        <w:t>Usar o configurador comercial para gerar briefing de pré-venda e selecionar a rota adequada: compra direta, validação obrigatória ou proposta formal. Para reuniões comerciais, anexar este datasheet e a apresentação executiva como materiais de apoio.</w:t>
      </w:r>
    </w:p>
    <w:p>
      <w:r>
        <w:br w:type="page"/>
      </w:r>
    </w:p>
    <w:p>
      <w:pPr>
        <w:pStyle w:val="Heading1"/>
      </w:pPr>
      <w:r>
        <w:t>Tabela executiva de modalidades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1648"/>
          </w:tcPr>
          <w:p>
            <w:r/>
            <w:r>
              <w:rPr>
                <w:b/>
                <w:color w:val="FFFFFF"/>
                <w:sz w:val="16"/>
              </w:rPr>
              <w:t>Modalidade</w:t>
            </w:r>
          </w:p>
        </w:tc>
        <w:tc>
          <w:tcPr>
            <w:tcW w:type="dxa" w:w="2493"/>
            <w:shd w:fill="1B1648"/>
          </w:tcPr>
          <w:p>
            <w:r/>
            <w:r>
              <w:rPr>
                <w:b/>
                <w:color w:val="FFFFFF"/>
                <w:sz w:val="16"/>
              </w:rPr>
              <w:t>Canal</w:t>
            </w:r>
          </w:p>
        </w:tc>
        <w:tc>
          <w:tcPr>
            <w:tcW w:type="dxa" w:w="2493"/>
            <w:shd w:fill="1B1648"/>
          </w:tcPr>
          <w:p>
            <w:r/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2493"/>
            <w:shd w:fill="1B1648"/>
          </w:tcPr>
          <w:p>
            <w:r/>
            <w:r>
              <w:rPr>
                <w:b/>
                <w:color w:val="FFFFFF"/>
                <w:sz w:val="16"/>
              </w:rPr>
              <w:t>Atenção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FF5A1F"/>
                <w:sz w:val="16"/>
              </w:rPr>
              <w:t>Starter AS-OOB SaaS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SIP/ISBC Cloud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Base SaaS operacional com relatórios/auditoria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Validar limites Light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FF5A1F"/>
                <w:sz w:val="16"/>
              </w:rPr>
              <w:t>API REST Tools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REST direto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API, auditoria, CDR, volumetria e falhas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Não inclui SIP/ISBC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FF5A1F"/>
                <w:sz w:val="16"/>
              </w:rPr>
              <w:t>Client ProSBC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ProSBC local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Script/cliente por SBC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Não inclui setup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FF5A1F"/>
                <w:sz w:val="16"/>
              </w:rPr>
              <w:t>Bundle híbrido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API + Client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API SaaS + Client ProSBC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Sem servidor e sem setup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FF5A1F"/>
                <w:sz w:val="16"/>
              </w:rPr>
              <w:t>Pacotes com servidor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Modernização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Hardware + 500 sessões + STIR/SHAKEN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171729"/>
                <w:sz w:val="16"/>
              </w:rPr>
              <w:t>Suporte fora salvo contratação</w:t>
            </w:r>
          </w:p>
        </w:tc>
      </w:tr>
    </w:tbl>
    <w:p>
      <w:pPr>
        <w:pStyle w:val="Heading1"/>
      </w:pPr>
      <w:r>
        <w:t>Matriz de SKUs e valores de referência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1648"/>
          </w:tcPr>
          <w:p>
            <w:r/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3324"/>
            <w:shd w:fill="1B1648"/>
          </w:tcPr>
          <w:p>
            <w:r/>
            <w:r>
              <w:rPr>
                <w:b/>
                <w:color w:val="FFFFFF"/>
                <w:sz w:val="16"/>
              </w:rPr>
              <w:t>Oferta</w:t>
            </w:r>
          </w:p>
        </w:tc>
        <w:tc>
          <w:tcPr>
            <w:tcW w:type="dxa" w:w="3324"/>
            <w:shd w:fill="1B1648"/>
          </w:tcPr>
          <w:p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SAAS_STIAS_OOB_A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Starter AS-OOB SaaS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R$ 39.000,00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ZT_STIAS_API_A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API REST Tools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R$ 31.200,00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ZT_STIAS_PROSBC_CLIENT_A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Client ProSBC anual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R$ 12.000,00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ZT_STIAS_PROSBC_SETUP_CLIENT_A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SETUP + Client 1º ano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R$ 18.400,04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ZT_PROSBC_HW500_STIAS_SETUP_CLIENT_A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Server + 500 + SETUP + Client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R$ 33.864,44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ZT_PROSBC_HW500_STIAS_HYBRID_API_A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Server + Client + API Tools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R$ 49.464,44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FF5A1F"/>
                <w:sz w:val="16"/>
              </w:rPr>
              <w:t>ZTSHAKENDEPLOY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Setup avulso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color w:val="171729"/>
                <w:sz w:val="16"/>
              </w:rPr>
              <w:t>R$ 14.285,78</w:t>
            </w:r>
          </w:p>
        </w:tc>
      </w:tr>
    </w:tbl>
    <w:p/>
    <w:p>
      <w:pPr>
        <w:jc w:val="center"/>
      </w:pPr>
      <w:r>
        <w:rPr>
          <w:b/>
          <w:color w:val="1B1648"/>
        </w:rPr>
        <w:t>Próxima ação: usar o configurador comercial e anexar este material junto à apresentação executiva em reuniões de pré-venda.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57A"/>
        <w:sz w:val="16"/>
      </w:rPr>
      <w:t>Documento técnico-comercial • material de apoio à pré-venda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B1648"/>
      </w:rPr>
      <w:t>ZICTEC | Chamada Verificada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B16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B16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B16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