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23084" w14:textId="77777777" w:rsidR="00EF18E9" w:rsidRDefault="00EF18E9">
      <w:pPr>
        <w:spacing w:after="400"/>
      </w:pPr>
    </w:p>
    <w:p w14:paraId="14AC0F3F" w14:textId="77777777" w:rsidR="00EF18E9" w:rsidRDefault="009907F7">
      <w:pPr>
        <w:spacing w:after="80"/>
        <w:jc w:val="center"/>
      </w:pPr>
      <w:r>
        <w:rPr>
          <w:b/>
          <w:bCs/>
          <w:color w:val="1F4E79"/>
          <w:sz w:val="36"/>
          <w:szCs w:val="36"/>
        </w:rPr>
        <w:t>FINANCE BACKGROUND</w:t>
      </w:r>
    </w:p>
    <w:p w14:paraId="27D1AED1" w14:textId="77777777" w:rsidR="00EF18E9" w:rsidRDefault="009907F7">
      <w:pPr>
        <w:spacing w:after="60"/>
        <w:jc w:val="center"/>
      </w:pPr>
      <w:r>
        <w:rPr>
          <w:b/>
          <w:bCs/>
          <w:color w:val="2E75B6"/>
          <w:sz w:val="30"/>
          <w:szCs w:val="30"/>
        </w:rPr>
        <w:t>FOR MACHINE LEARNING ENGINEERS</w:t>
      </w:r>
    </w:p>
    <w:p w14:paraId="39D487ED" w14:textId="77777777" w:rsidR="0014414B" w:rsidRDefault="009907F7" w:rsidP="0014414B">
      <w:pPr>
        <w:spacing w:after="120"/>
        <w:jc w:val="center"/>
      </w:pPr>
      <w:r>
        <w:rPr>
          <w:color w:val="333333"/>
          <w:sz w:val="24"/>
          <w:szCs w:val="24"/>
        </w:rPr>
        <w:t>Essential Financial Concepts for the Credit Scoring Capstone</w:t>
      </w:r>
    </w:p>
    <w:p w14:paraId="2FBDEC05" w14:textId="77777777" w:rsidR="0014414B" w:rsidRDefault="0014414B" w:rsidP="0014414B">
      <w:pPr>
        <w:spacing w:after="120"/>
        <w:jc w:val="center"/>
      </w:pPr>
    </w:p>
    <w:p w14:paraId="699E85AB" w14:textId="296F5934" w:rsidR="00EF18E9" w:rsidRDefault="009907F7" w:rsidP="0014414B">
      <w:pPr>
        <w:spacing w:after="120"/>
        <w:jc w:val="center"/>
      </w:pPr>
      <w:r>
        <w:rPr>
          <w:b/>
          <w:bCs/>
          <w:color w:val="1F4E79"/>
          <w:sz w:val="32"/>
          <w:szCs w:val="32"/>
        </w:rPr>
        <w:t>Why You Need This Guide</w:t>
      </w:r>
    </w:p>
    <w:p w14:paraId="017AE7E3" w14:textId="5057E1AB" w:rsidR="00EF18E9" w:rsidRDefault="009907F7">
      <w:pPr>
        <w:spacing w:after="140"/>
      </w:pPr>
      <w:r>
        <w:t xml:space="preserve">The capstone project in Module 1 asks you to build a credit scoring model. To do this well, you need to understand what credit is, why people default, how banks make lending decisions, what regulators care about, and why certain features are predictive of repayment behavior. This guide covers </w:t>
      </w:r>
      <w:r w:rsidR="00AA5EAE">
        <w:t>all</w:t>
      </w:r>
      <w:r>
        <w:t xml:space="preserve"> these topics from scratch, assuming no prior knowledge of finance or banking. </w:t>
      </w:r>
    </w:p>
    <w:p w14:paraId="631E9F1E" w14:textId="77777777" w:rsidR="00EF18E9" w:rsidRDefault="009907F7">
      <w:r>
        <w:br w:type="page"/>
      </w:r>
    </w:p>
    <w:p w14:paraId="28CB2FD2" w14:textId="77777777" w:rsidR="00EF18E9" w:rsidRDefault="009907F7">
      <w:pPr>
        <w:pStyle w:val="Heading1"/>
      </w:pPr>
      <w:r>
        <w:lastRenderedPageBreak/>
        <w:t>1. How Consumer Lending Works</w:t>
      </w:r>
    </w:p>
    <w:p w14:paraId="15F65C24" w14:textId="77777777" w:rsidR="00EF18E9" w:rsidRDefault="009907F7">
      <w:pPr>
        <w:spacing w:after="140"/>
      </w:pPr>
      <w:r>
        <w:t>At its most basic, consumer lending is a bank giving money to an individual today in exchange for the promise that the individual will pay it back later, with interest. The bank earns profit from the interest payments. The bank loses money when the borrower fails to repay (defaults). The entire business model depends on the bank's ability to predict which applicants will repay and which will not. This prediction is exactly what your credit scoring model does.</w:t>
      </w:r>
    </w:p>
    <w:p w14:paraId="2739842E" w14:textId="77777777" w:rsidR="00EF18E9" w:rsidRDefault="00EF18E9">
      <w:pPr>
        <w:spacing w:after="140"/>
      </w:pPr>
    </w:p>
    <w:p w14:paraId="6490ADE7" w14:textId="77777777" w:rsidR="00EF18E9" w:rsidRDefault="009907F7">
      <w:pPr>
        <w:pStyle w:val="Heading2"/>
      </w:pPr>
      <w:r>
        <w:t>1.1 The Lending Process</w:t>
      </w:r>
    </w:p>
    <w:p w14:paraId="1D6C64EA" w14:textId="77777777" w:rsidR="00EF18E9" w:rsidRDefault="009907F7">
      <w:pPr>
        <w:spacing w:after="140"/>
      </w:pPr>
      <w:r>
        <w:t>When a consumer applies for a loan (a mortgage, car loan, credit card, or personal loan), the following steps occur:</w:t>
      </w:r>
    </w:p>
    <w:p w14:paraId="6268315C" w14:textId="77777777" w:rsidR="00EF18E9" w:rsidRDefault="009907F7">
      <w:pPr>
        <w:pStyle w:val="ListParagraph"/>
        <w:numPr>
          <w:ilvl w:val="0"/>
          <w:numId w:val="2"/>
        </w:numPr>
        <w:spacing w:after="60"/>
      </w:pPr>
      <w:r>
        <w:t>Application: The borrower submits personal and financial information: income, employment, existing debts, assets, and the purpose of the loan.</w:t>
      </w:r>
    </w:p>
    <w:p w14:paraId="523A73C8" w14:textId="77777777" w:rsidR="00EF18E9" w:rsidRDefault="009907F7">
      <w:pPr>
        <w:pStyle w:val="ListParagraph"/>
        <w:numPr>
          <w:ilvl w:val="0"/>
          <w:numId w:val="2"/>
        </w:numPr>
        <w:spacing w:after="60"/>
      </w:pPr>
      <w:r>
        <w:t>Credit check: The lender pulls the borrower's credit report from one or more credit bureaus (companies that track borrowing and repayment history for hundreds of millions of consumers). The credit report shows the borrower's history of payments, current debts, length of credit history, and recent inquiries.</w:t>
      </w:r>
    </w:p>
    <w:p w14:paraId="2778A5EF" w14:textId="77777777" w:rsidR="00EF18E9" w:rsidRDefault="009907F7">
      <w:pPr>
        <w:pStyle w:val="ListParagraph"/>
        <w:numPr>
          <w:ilvl w:val="0"/>
          <w:numId w:val="2"/>
        </w:numPr>
        <w:spacing w:after="60"/>
      </w:pPr>
      <w:r>
        <w:t>Underwriting: The lender evaluates the application using a combination of automated scoring models and human judgment. The model assigns a risk score (probability of default). Based on this score, the lender decides to approve, decline, or refer the application for manual review.</w:t>
      </w:r>
    </w:p>
    <w:p w14:paraId="5A829957" w14:textId="77777777" w:rsidR="00EF18E9" w:rsidRDefault="009907F7">
      <w:pPr>
        <w:pStyle w:val="ListParagraph"/>
        <w:numPr>
          <w:ilvl w:val="0"/>
          <w:numId w:val="2"/>
        </w:numPr>
        <w:spacing w:after="60"/>
      </w:pPr>
      <w:r>
        <w:t>Pricing: If approved, the lender sets the interest rate based on the borrower's risk level. Higher-risk borrowers pay higher interest rates to compensate the bank for the increased chance of loss.</w:t>
      </w:r>
    </w:p>
    <w:p w14:paraId="5F417E70" w14:textId="77777777" w:rsidR="00EF18E9" w:rsidRDefault="009907F7">
      <w:pPr>
        <w:pStyle w:val="ListParagraph"/>
        <w:numPr>
          <w:ilvl w:val="0"/>
          <w:numId w:val="2"/>
        </w:numPr>
        <w:spacing w:after="60"/>
      </w:pPr>
      <w:r>
        <w:t>Servicing: After the loan is issued, the bank monitors the borrower's payments. If the borrower misses payments, the bank initiates collection procedures. If the borrower stops paying entirely, the loan is 'charged off' (written off as a loss).</w:t>
      </w:r>
    </w:p>
    <w:p w14:paraId="6E9C74BD" w14:textId="77777777" w:rsidR="00EF18E9" w:rsidRDefault="00EF18E9">
      <w:pPr>
        <w:spacing w:after="140"/>
      </w:pPr>
    </w:p>
    <w:p w14:paraId="03375FA4" w14:textId="77777777" w:rsidR="00EF18E9" w:rsidRDefault="009907F7">
      <w:pPr>
        <w:spacing w:after="140"/>
      </w:pPr>
      <w:r>
        <w:t>Your credit scoring model operates at step 3 (underwriting). It takes the information available at the time of application and predicts the probability that the applicant will default. The model does NOT predict the exact dollar amount of loss, the timing of default, or whether the borrower will experience a life event (job loss, illness) that causes default. It predicts the overall likelihood based on patterns in historical data.</w:t>
      </w:r>
    </w:p>
    <w:p w14:paraId="7E5CB61F" w14:textId="77777777" w:rsidR="00EF18E9" w:rsidRDefault="00EF18E9">
      <w:pPr>
        <w:spacing w:after="140"/>
      </w:pPr>
    </w:p>
    <w:p w14:paraId="45C3AF29" w14:textId="77777777" w:rsidR="00EF18E9" w:rsidRDefault="009907F7">
      <w:pPr>
        <w:pStyle w:val="Heading2"/>
      </w:pPr>
      <w:r>
        <w:t>1.2 Types of Consumer Credit</w:t>
      </w:r>
    </w:p>
    <w:p w14:paraId="7F239806" w14:textId="77777777" w:rsidR="00EF18E9" w:rsidRDefault="009907F7">
      <w:pPr>
        <w:spacing w:after="140"/>
      </w:pPr>
      <w:r>
        <w:t>Understanding the difference between credit types helps you interpret the features in your dataset:</w:t>
      </w:r>
    </w:p>
    <w:p w14:paraId="138C201C" w14:textId="77777777" w:rsidR="00EF18E9" w:rsidRDefault="00EF18E9">
      <w:pPr>
        <w:spacing w:after="140"/>
      </w:pPr>
    </w:p>
    <w:p w14:paraId="01B88474" w14:textId="77777777" w:rsidR="00EF18E9" w:rsidRDefault="009907F7">
      <w:pPr>
        <w:spacing w:after="140"/>
        <w:rPr>
          <w:b/>
          <w:bCs/>
        </w:rPr>
      </w:pPr>
      <w:r>
        <w:rPr>
          <w:b/>
          <w:bCs/>
        </w:rPr>
        <w:t>Revolving credit (e.g., credit cards)</w:t>
      </w:r>
    </w:p>
    <w:p w14:paraId="1EBE050C" w14:textId="77777777" w:rsidR="00EF18E9" w:rsidRDefault="009907F7">
      <w:pPr>
        <w:spacing w:after="140"/>
      </w:pPr>
      <w:r>
        <w:t xml:space="preserve">The borrower has a credit limit and can borrow up to that limit, repay, and borrow again. The balance fluctuates month to month. Key metric: credit utilization = current balance / credit limit. </w:t>
      </w:r>
      <w:r>
        <w:lastRenderedPageBreak/>
        <w:t>High utilization (above 80%) signals financial stress and is one of the strongest default predictors. The borrower is only required to make a minimum payment each month, which is why many people carry balances for years.</w:t>
      </w:r>
    </w:p>
    <w:p w14:paraId="7AD46BF5" w14:textId="77777777" w:rsidR="00EF18E9" w:rsidRDefault="00EF18E9">
      <w:pPr>
        <w:spacing w:after="140"/>
      </w:pPr>
    </w:p>
    <w:p w14:paraId="423E9B9A" w14:textId="77777777" w:rsidR="00EF18E9" w:rsidRDefault="009907F7">
      <w:pPr>
        <w:spacing w:after="140"/>
        <w:rPr>
          <w:b/>
          <w:bCs/>
        </w:rPr>
      </w:pPr>
      <w:r>
        <w:rPr>
          <w:b/>
          <w:bCs/>
        </w:rPr>
        <w:t>Installment credit (e.g., mortgages, car loans, personal loans)</w:t>
      </w:r>
    </w:p>
    <w:p w14:paraId="76E437B0" w14:textId="77777777" w:rsidR="00EF18E9" w:rsidRDefault="009907F7">
      <w:pPr>
        <w:spacing w:after="140"/>
      </w:pPr>
      <w:r>
        <w:t>The borrower receives a fixed amount and repays it in equal monthly installments over a set period (the loan term). The monthly payment is fixed. Key metrics: loan-to-value ratio (loan amount / asset value, relevant for secured loans) and debt-to-income ratio (monthly payment / monthly income). Installment loans are more predictable than revolving credit because the payment schedule is fixed.</w:t>
      </w:r>
    </w:p>
    <w:p w14:paraId="2C39457D" w14:textId="77777777" w:rsidR="00EF18E9" w:rsidRDefault="00EF18E9">
      <w:pPr>
        <w:spacing w:after="140"/>
      </w:pPr>
    </w:p>
    <w:p w14:paraId="2C2B8B47" w14:textId="77777777" w:rsidR="00EF18E9" w:rsidRDefault="009907F7">
      <w:pPr>
        <w:spacing w:after="140"/>
        <w:rPr>
          <w:b/>
          <w:bCs/>
        </w:rPr>
      </w:pPr>
      <w:r>
        <w:rPr>
          <w:b/>
          <w:bCs/>
        </w:rPr>
        <w:t>Cash loans vs. revolving loans in the capstone dataset</w:t>
      </w:r>
    </w:p>
    <w:p w14:paraId="1D8AE57B" w14:textId="77777777" w:rsidR="00EF18E9" w:rsidRDefault="009907F7">
      <w:pPr>
        <w:spacing w:after="140"/>
      </w:pPr>
      <w:r>
        <w:t>The capstone dataset contains both cash loans (one-time disbursement, fixed repayment schedule) and revolving loans (credit line). The NAME_CONTRACT_TYPE feature distinguishes these. Cash loans have a different risk profile than revolving loans, and your model should be able to capture this difference.</w:t>
      </w:r>
    </w:p>
    <w:p w14:paraId="74926C7B" w14:textId="77777777" w:rsidR="00EF18E9" w:rsidRDefault="00EF18E9">
      <w:pPr>
        <w:spacing w:after="140"/>
      </w:pPr>
    </w:p>
    <w:p w14:paraId="3058B1DB" w14:textId="77777777" w:rsidR="00EF18E9" w:rsidRDefault="009907F7">
      <w:pPr>
        <w:spacing w:before="120" w:after="50"/>
      </w:pPr>
      <w:r>
        <w:rPr>
          <w:b/>
          <w:bCs/>
          <w:color w:val="CC0000"/>
        </w:rPr>
        <w:t>🎥</w:t>
      </w:r>
      <w:r>
        <w:rPr>
          <w:b/>
          <w:bCs/>
          <w:color w:val="CC0000"/>
        </w:rPr>
        <w:t xml:space="preserve"> Recommended Video Resources</w:t>
      </w:r>
    </w:p>
    <w:p w14:paraId="55ABEC1C" w14:textId="77777777" w:rsidR="00EF18E9" w:rsidRDefault="009907F7">
      <w:pPr>
        <w:spacing w:after="45"/>
        <w:ind w:left="360"/>
      </w:pPr>
      <w:r>
        <w:rPr>
          <w:color w:val="CC0000"/>
          <w:sz w:val="20"/>
          <w:szCs w:val="20"/>
        </w:rPr>
        <w:t xml:space="preserve">▶ </w:t>
      </w:r>
      <w:hyperlink r:id="rId7" w:history="1">
        <w:r w:rsidR="00EF18E9">
          <w:rPr>
            <w:rStyle w:val="Hyperlink"/>
            <w:sz w:val="20"/>
            <w:szCs w:val="20"/>
          </w:rPr>
          <w:t>YouTube: How Do Banks Make Money? (Economics Explained)</w:t>
        </w:r>
      </w:hyperlink>
    </w:p>
    <w:p w14:paraId="3F8DC7F0" w14:textId="77777777" w:rsidR="00EF18E9" w:rsidRDefault="009907F7">
      <w:pPr>
        <w:spacing w:after="45"/>
        <w:ind w:left="360"/>
      </w:pPr>
      <w:r>
        <w:rPr>
          <w:color w:val="CC0000"/>
          <w:sz w:val="20"/>
          <w:szCs w:val="20"/>
        </w:rPr>
        <w:t xml:space="preserve">▶ </w:t>
      </w:r>
      <w:hyperlink r:id="rId8" w:history="1">
        <w:r w:rsidR="00EF18E9">
          <w:rPr>
            <w:rStyle w:val="Hyperlink"/>
            <w:sz w:val="20"/>
            <w:szCs w:val="20"/>
          </w:rPr>
          <w:t>YouTube: What is a Credit Score? (</w:t>
        </w:r>
        <w:proofErr w:type="spellStart"/>
        <w:r w:rsidR="00EF18E9">
          <w:rPr>
            <w:rStyle w:val="Hyperlink"/>
            <w:sz w:val="20"/>
            <w:szCs w:val="20"/>
          </w:rPr>
          <w:t>ClearValue</w:t>
        </w:r>
        <w:proofErr w:type="spellEnd"/>
        <w:r w:rsidR="00EF18E9">
          <w:rPr>
            <w:rStyle w:val="Hyperlink"/>
            <w:sz w:val="20"/>
            <w:szCs w:val="20"/>
          </w:rPr>
          <w:t xml:space="preserve"> Tax)</w:t>
        </w:r>
      </w:hyperlink>
    </w:p>
    <w:p w14:paraId="3D3C0CE4" w14:textId="77777777" w:rsidR="00EF18E9" w:rsidRDefault="009907F7">
      <w:pPr>
        <w:spacing w:after="45"/>
        <w:ind w:left="360"/>
      </w:pPr>
      <w:r>
        <w:rPr>
          <w:color w:val="CC0000"/>
          <w:sz w:val="20"/>
          <w:szCs w:val="20"/>
        </w:rPr>
        <w:t xml:space="preserve">▶ </w:t>
      </w:r>
      <w:hyperlink r:id="rId9" w:history="1">
        <w:r w:rsidR="00EF18E9">
          <w:rPr>
            <w:rStyle w:val="Hyperlink"/>
            <w:sz w:val="20"/>
            <w:szCs w:val="20"/>
          </w:rPr>
          <w:t>YouTube: How Loans Work (Khan Academy)</w:t>
        </w:r>
      </w:hyperlink>
    </w:p>
    <w:p w14:paraId="43C76457" w14:textId="77777777" w:rsidR="00EF18E9" w:rsidRDefault="009907F7">
      <w:pPr>
        <w:spacing w:after="45"/>
        <w:ind w:left="360"/>
      </w:pPr>
      <w:r>
        <w:rPr>
          <w:color w:val="CC0000"/>
          <w:sz w:val="20"/>
          <w:szCs w:val="20"/>
        </w:rPr>
        <w:t xml:space="preserve">▶ </w:t>
      </w:r>
      <w:hyperlink r:id="rId10" w:history="1">
        <w:r w:rsidR="00EF18E9">
          <w:rPr>
            <w:rStyle w:val="Hyperlink"/>
            <w:sz w:val="20"/>
            <w:szCs w:val="20"/>
          </w:rPr>
          <w:t>LinkedIn Learning: Financial Literacy Basics</w:t>
        </w:r>
      </w:hyperlink>
    </w:p>
    <w:p w14:paraId="53612B75" w14:textId="77777777" w:rsidR="00EF18E9" w:rsidRDefault="009907F7">
      <w:pPr>
        <w:spacing w:before="120" w:after="50"/>
      </w:pPr>
      <w:r>
        <w:rPr>
          <w:b/>
          <w:bCs/>
          <w:color w:val="1565C0"/>
        </w:rPr>
        <w:t>🌐</w:t>
      </w:r>
      <w:r>
        <w:rPr>
          <w:b/>
          <w:bCs/>
          <w:color w:val="1565C0"/>
        </w:rPr>
        <w:t xml:space="preserve"> Recommended Websites &amp; Reading</w:t>
      </w:r>
    </w:p>
    <w:p w14:paraId="51CCF6C7" w14:textId="77777777" w:rsidR="00EF18E9" w:rsidRDefault="009907F7">
      <w:pPr>
        <w:spacing w:after="45"/>
        <w:ind w:left="360"/>
      </w:pPr>
      <w:r>
        <w:rPr>
          <w:sz w:val="20"/>
          <w:szCs w:val="20"/>
        </w:rPr>
        <w:t>🌐</w:t>
      </w:r>
      <w:r>
        <w:rPr>
          <w:sz w:val="20"/>
          <w:szCs w:val="20"/>
        </w:rPr>
        <w:t xml:space="preserve"> </w:t>
      </w:r>
      <w:hyperlink r:id="rId11" w:history="1">
        <w:r w:rsidR="00EF18E9">
          <w:rPr>
            <w:rStyle w:val="Hyperlink"/>
            <w:sz w:val="20"/>
            <w:szCs w:val="20"/>
          </w:rPr>
          <w:t>Investopedia: How Credit Scores Work</w:t>
        </w:r>
      </w:hyperlink>
    </w:p>
    <w:p w14:paraId="3F2410E0" w14:textId="77777777" w:rsidR="00EF18E9" w:rsidRDefault="009907F7">
      <w:pPr>
        <w:spacing w:after="45"/>
        <w:ind w:left="360"/>
      </w:pPr>
      <w:r>
        <w:rPr>
          <w:sz w:val="20"/>
          <w:szCs w:val="20"/>
        </w:rPr>
        <w:t>🌐</w:t>
      </w:r>
      <w:r>
        <w:rPr>
          <w:sz w:val="20"/>
          <w:szCs w:val="20"/>
        </w:rPr>
        <w:t xml:space="preserve"> </w:t>
      </w:r>
      <w:hyperlink r:id="rId12" w:history="1">
        <w:r w:rsidR="00EF18E9">
          <w:rPr>
            <w:rStyle w:val="Hyperlink"/>
            <w:sz w:val="20"/>
            <w:szCs w:val="20"/>
          </w:rPr>
          <w:t>Financial Consumer Agency of Canada (FCAC): What is a credit report?</w:t>
        </w:r>
      </w:hyperlink>
    </w:p>
    <w:p w14:paraId="65A84062" w14:textId="77777777" w:rsidR="00EF18E9" w:rsidRDefault="009907F7">
      <w:pPr>
        <w:spacing w:after="45"/>
        <w:ind w:left="360"/>
      </w:pPr>
      <w:r>
        <w:rPr>
          <w:sz w:val="20"/>
          <w:szCs w:val="20"/>
        </w:rPr>
        <w:t>🌐</w:t>
      </w:r>
      <w:r>
        <w:rPr>
          <w:sz w:val="20"/>
          <w:szCs w:val="20"/>
        </w:rPr>
        <w:t xml:space="preserve"> </w:t>
      </w:r>
      <w:hyperlink r:id="rId13" w:history="1">
        <w:r w:rsidR="00EF18E9">
          <w:rPr>
            <w:rStyle w:val="Hyperlink"/>
            <w:sz w:val="20"/>
            <w:szCs w:val="20"/>
          </w:rPr>
          <w:t>Bank of Canada: Credit Indicators</w:t>
        </w:r>
      </w:hyperlink>
    </w:p>
    <w:p w14:paraId="02BAD5BC" w14:textId="77777777" w:rsidR="00EF18E9" w:rsidRDefault="009907F7">
      <w:r>
        <w:br w:type="page"/>
      </w:r>
    </w:p>
    <w:p w14:paraId="54A63083" w14:textId="77777777" w:rsidR="00EF18E9" w:rsidRDefault="009907F7">
      <w:pPr>
        <w:pStyle w:val="Heading1"/>
      </w:pPr>
      <w:r>
        <w:lastRenderedPageBreak/>
        <w:t>2. Credit Risk: Why People Default</w:t>
      </w:r>
    </w:p>
    <w:p w14:paraId="069FF9AC" w14:textId="77777777" w:rsidR="00EF18E9" w:rsidRDefault="009907F7">
      <w:pPr>
        <w:spacing w:after="140"/>
      </w:pPr>
      <w:r>
        <w:t>Credit risk is the risk that a borrower will fail to make required payments. Understanding why people default helps you build better features and interpret your model's behavior. Default is not random; it follows predictable patterns related to the borrower's financial capacity, willingness to pay, and external economic conditions.</w:t>
      </w:r>
    </w:p>
    <w:p w14:paraId="4239EB10" w14:textId="77777777" w:rsidR="00EF18E9" w:rsidRDefault="00EF18E9">
      <w:pPr>
        <w:spacing w:after="140"/>
      </w:pPr>
    </w:p>
    <w:p w14:paraId="42FBABC4" w14:textId="77777777" w:rsidR="00EF18E9" w:rsidRDefault="009907F7">
      <w:pPr>
        <w:pStyle w:val="Heading2"/>
      </w:pPr>
      <w:r>
        <w:t>2.1 The Five Cs of Credit</w:t>
      </w:r>
    </w:p>
    <w:p w14:paraId="4BF947B5" w14:textId="77777777" w:rsidR="00EF18E9" w:rsidRDefault="009907F7">
      <w:pPr>
        <w:spacing w:after="140"/>
      </w:pPr>
      <w:r>
        <w:t xml:space="preserve">Lenders traditionally evaluate borrowers using five factors, known as the 'Five Cs.' Each </w:t>
      </w:r>
      <w:proofErr w:type="gramStart"/>
      <w:r>
        <w:t>maps</w:t>
      </w:r>
      <w:proofErr w:type="gramEnd"/>
      <w:r>
        <w:t xml:space="preserve"> directly to features in your dataset:</w:t>
      </w:r>
    </w:p>
    <w:p w14:paraId="3540CBDD" w14:textId="77777777" w:rsidR="00EF18E9" w:rsidRDefault="00EF18E9">
      <w:pPr>
        <w:spacing w:after="140"/>
      </w:pPr>
    </w:p>
    <w:p w14:paraId="11D9A059" w14:textId="77777777" w:rsidR="00EF18E9" w:rsidRDefault="009907F7">
      <w:pPr>
        <w:spacing w:after="140"/>
        <w:rPr>
          <w:b/>
          <w:bCs/>
        </w:rPr>
      </w:pPr>
      <w:r>
        <w:rPr>
          <w:b/>
          <w:bCs/>
        </w:rPr>
        <w:t>Character (willingness to repay)</w:t>
      </w:r>
    </w:p>
    <w:p w14:paraId="64E93F9C" w14:textId="77777777" w:rsidR="00EF18E9" w:rsidRDefault="009907F7">
      <w:pPr>
        <w:spacing w:after="140"/>
      </w:pPr>
      <w:r>
        <w:t>Measured by credit history: has the borrower repaid previous loans on time? The number of late payments (30/60/90 days past due), the number of previous defaults, and the length of credit history are all character indicators. In your dataset, the bureau tables contain this history. A borrower who has been 90 days late on a previous loan is significantly more likely to default on the current loan. This is the single most predictive category of features in most credit models.</w:t>
      </w:r>
    </w:p>
    <w:p w14:paraId="633A363C" w14:textId="77777777" w:rsidR="00EF18E9" w:rsidRDefault="00EF18E9">
      <w:pPr>
        <w:spacing w:after="140"/>
      </w:pPr>
    </w:p>
    <w:p w14:paraId="4B3F9195" w14:textId="77777777" w:rsidR="00EF18E9" w:rsidRDefault="009907F7">
      <w:pPr>
        <w:spacing w:after="140"/>
        <w:rPr>
          <w:b/>
          <w:bCs/>
        </w:rPr>
      </w:pPr>
      <w:r>
        <w:rPr>
          <w:b/>
          <w:bCs/>
        </w:rPr>
        <w:t>Capacity (ability to repay)</w:t>
      </w:r>
    </w:p>
    <w:p w14:paraId="60C0EFA5" w14:textId="77777777" w:rsidR="00EF18E9" w:rsidRDefault="009907F7">
      <w:pPr>
        <w:spacing w:after="140"/>
      </w:pPr>
      <w:r>
        <w:t>Measured by income relative to obligations. The debt-to-income ratio (DTI) is the primary capacity metric: monthly debt payments divided by gross monthly income. A DTI above 43% is considered high-risk by most lenders and may disqualify borrowers under certain regulations. In your dataset, AMT_ANNUITY (monthly payment) divided by AMT_INCOME_TOTAL (monthly income) approximates DTI.</w:t>
      </w:r>
    </w:p>
    <w:p w14:paraId="64B68A12" w14:textId="77777777" w:rsidR="00EF18E9" w:rsidRDefault="00EF18E9">
      <w:pPr>
        <w:spacing w:after="140"/>
      </w:pPr>
    </w:p>
    <w:p w14:paraId="49DBBB6A" w14:textId="77777777" w:rsidR="00EF18E9" w:rsidRDefault="009907F7">
      <w:pPr>
        <w:spacing w:after="140"/>
        <w:rPr>
          <w:b/>
          <w:bCs/>
        </w:rPr>
      </w:pPr>
      <w:r>
        <w:rPr>
          <w:b/>
          <w:bCs/>
        </w:rPr>
        <w:t>Capital (financial reserves)</w:t>
      </w:r>
    </w:p>
    <w:p w14:paraId="0DB1BA69" w14:textId="77777777" w:rsidR="00EF18E9" w:rsidRDefault="009907F7">
      <w:pPr>
        <w:spacing w:after="140"/>
      </w:pPr>
      <w:r>
        <w:t>Measured by savings, investments, and other assets that the borrower could liquidate if income is disrupted. Borrowers with substantial capital can weather temporary income shocks (job loss, illness) without defaulting. This is partially captured by income-related features but is often underrepresented in credit datasets.</w:t>
      </w:r>
    </w:p>
    <w:p w14:paraId="76490D02" w14:textId="77777777" w:rsidR="00EF18E9" w:rsidRDefault="00EF18E9">
      <w:pPr>
        <w:spacing w:after="140"/>
      </w:pPr>
    </w:p>
    <w:p w14:paraId="6B84EEC6" w14:textId="77777777" w:rsidR="00EF18E9" w:rsidRDefault="009907F7">
      <w:pPr>
        <w:spacing w:after="140"/>
        <w:rPr>
          <w:b/>
          <w:bCs/>
        </w:rPr>
      </w:pPr>
      <w:r>
        <w:rPr>
          <w:b/>
          <w:bCs/>
        </w:rPr>
        <w:t>Collateral (security for the loan)</w:t>
      </w:r>
    </w:p>
    <w:p w14:paraId="65C9153E" w14:textId="77777777" w:rsidR="00EF18E9" w:rsidRDefault="009907F7">
      <w:pPr>
        <w:spacing w:after="140"/>
      </w:pPr>
      <w:r>
        <w:t>For secured loans (mortgages, car loans), the asset itself serves as collateral. If the borrower defaults, the lender can seize and sell the asset. The loan-to-value (LTV) ratio measures how much of the asset's value is financed by the loan. An LTV above 80% means the borrower has little equity, increasing the lender's exposure. For unsecured loans (credit cards, personal loans), there is no collateral, and the lender absorbs the full loss upon default.</w:t>
      </w:r>
    </w:p>
    <w:p w14:paraId="6E40DA57" w14:textId="77777777" w:rsidR="00EF18E9" w:rsidRDefault="00EF18E9">
      <w:pPr>
        <w:spacing w:after="140"/>
      </w:pPr>
    </w:p>
    <w:p w14:paraId="49052E3F" w14:textId="77777777" w:rsidR="00EF18E9" w:rsidRDefault="009907F7">
      <w:pPr>
        <w:spacing w:after="140"/>
        <w:rPr>
          <w:b/>
          <w:bCs/>
        </w:rPr>
      </w:pPr>
      <w:r>
        <w:rPr>
          <w:b/>
          <w:bCs/>
        </w:rPr>
        <w:t>Conditions (external environment)</w:t>
      </w:r>
    </w:p>
    <w:p w14:paraId="66CBFD6D" w14:textId="77777777" w:rsidR="00EF18E9" w:rsidRDefault="009907F7">
      <w:pPr>
        <w:spacing w:after="140"/>
      </w:pPr>
      <w:r>
        <w:lastRenderedPageBreak/>
        <w:t>Economic conditions affect default rates across entire portfolios. During recessions, unemployment rises, incomes fall, and default rates spike. The 2008 financial crisis saw credit card default rates double and mortgage defaults increase fivefold. Your model is trained on data from a specific economic period. If that period was benign, the model may underestimate risk in a downturn. This is a fundamental limitation that you must acknowledge in your documentation.</w:t>
      </w:r>
    </w:p>
    <w:p w14:paraId="3AC636EF" w14:textId="77777777" w:rsidR="00EF18E9" w:rsidRDefault="00EF18E9">
      <w:pPr>
        <w:spacing w:after="140"/>
      </w:pPr>
    </w:p>
    <w:p w14:paraId="61363DB9" w14:textId="77777777" w:rsidR="00EF18E9" w:rsidRDefault="009907F7">
      <w:pPr>
        <w:spacing w:before="120" w:after="50"/>
      </w:pPr>
      <w:r>
        <w:rPr>
          <w:b/>
          <w:bCs/>
          <w:color w:val="CC0000"/>
        </w:rPr>
        <w:t>🎥</w:t>
      </w:r>
      <w:r>
        <w:rPr>
          <w:b/>
          <w:bCs/>
          <w:color w:val="CC0000"/>
        </w:rPr>
        <w:t xml:space="preserve"> Recommended Video Resources</w:t>
      </w:r>
    </w:p>
    <w:p w14:paraId="78EAC64F" w14:textId="77777777" w:rsidR="00EF18E9" w:rsidRDefault="009907F7">
      <w:pPr>
        <w:spacing w:after="45"/>
        <w:ind w:left="360"/>
      </w:pPr>
      <w:r>
        <w:rPr>
          <w:color w:val="CC0000"/>
          <w:sz w:val="20"/>
          <w:szCs w:val="20"/>
        </w:rPr>
        <w:t xml:space="preserve">▶ </w:t>
      </w:r>
      <w:hyperlink r:id="rId14" w:history="1">
        <w:r w:rsidR="00EF18E9">
          <w:rPr>
            <w:rStyle w:val="Hyperlink"/>
            <w:sz w:val="20"/>
            <w:szCs w:val="20"/>
          </w:rPr>
          <w:t>YouTube: The 5 Cs of Credit Explained (Corporate Finance Institute)</w:t>
        </w:r>
      </w:hyperlink>
    </w:p>
    <w:p w14:paraId="61C6B850" w14:textId="77777777" w:rsidR="00EF18E9" w:rsidRDefault="009907F7">
      <w:pPr>
        <w:spacing w:after="45"/>
        <w:ind w:left="360"/>
      </w:pPr>
      <w:r>
        <w:rPr>
          <w:color w:val="CC0000"/>
          <w:sz w:val="20"/>
          <w:szCs w:val="20"/>
        </w:rPr>
        <w:t xml:space="preserve">▶ </w:t>
      </w:r>
      <w:hyperlink r:id="rId15" w:history="1">
        <w:r w:rsidR="00EF18E9">
          <w:rPr>
            <w:rStyle w:val="Hyperlink"/>
            <w:sz w:val="20"/>
            <w:szCs w:val="20"/>
          </w:rPr>
          <w:t>YouTube: What is Credit Risk? (Risk Management 101)</w:t>
        </w:r>
      </w:hyperlink>
    </w:p>
    <w:p w14:paraId="1F99B965" w14:textId="77777777" w:rsidR="00EF18E9" w:rsidRDefault="009907F7">
      <w:pPr>
        <w:spacing w:after="45"/>
        <w:ind w:left="360"/>
      </w:pPr>
      <w:r>
        <w:rPr>
          <w:color w:val="CC0000"/>
          <w:sz w:val="20"/>
          <w:szCs w:val="20"/>
        </w:rPr>
        <w:t xml:space="preserve">▶ </w:t>
      </w:r>
      <w:hyperlink r:id="rId16" w:history="1">
        <w:r w:rsidR="00EF18E9">
          <w:rPr>
            <w:rStyle w:val="Hyperlink"/>
            <w:sz w:val="20"/>
            <w:szCs w:val="20"/>
          </w:rPr>
          <w:t>YouTube: Why Do People Default on Loans? (Patrick Boyle)</w:t>
        </w:r>
      </w:hyperlink>
    </w:p>
    <w:p w14:paraId="676A137B" w14:textId="77777777" w:rsidR="00EF18E9" w:rsidRDefault="009907F7">
      <w:pPr>
        <w:spacing w:before="120" w:after="50"/>
      </w:pPr>
      <w:r>
        <w:rPr>
          <w:b/>
          <w:bCs/>
          <w:color w:val="1565C0"/>
        </w:rPr>
        <w:t>🌐</w:t>
      </w:r>
      <w:r>
        <w:rPr>
          <w:b/>
          <w:bCs/>
          <w:color w:val="1565C0"/>
        </w:rPr>
        <w:t xml:space="preserve"> Recommended Websites &amp; Reading</w:t>
      </w:r>
    </w:p>
    <w:p w14:paraId="6B7A53EF" w14:textId="77777777" w:rsidR="00EF18E9" w:rsidRDefault="009907F7">
      <w:pPr>
        <w:spacing w:after="45"/>
        <w:ind w:left="360"/>
      </w:pPr>
      <w:r>
        <w:rPr>
          <w:sz w:val="20"/>
          <w:szCs w:val="20"/>
        </w:rPr>
        <w:t>🌐</w:t>
      </w:r>
      <w:r>
        <w:rPr>
          <w:sz w:val="20"/>
          <w:szCs w:val="20"/>
        </w:rPr>
        <w:t xml:space="preserve"> </w:t>
      </w:r>
      <w:hyperlink r:id="rId17" w:history="1">
        <w:r w:rsidR="00EF18E9">
          <w:rPr>
            <w:rStyle w:val="Hyperlink"/>
            <w:sz w:val="20"/>
            <w:szCs w:val="20"/>
          </w:rPr>
          <w:t>Investopedia: The 5 Cs of Credit</w:t>
        </w:r>
      </w:hyperlink>
    </w:p>
    <w:p w14:paraId="4EF2FA80" w14:textId="77777777" w:rsidR="00EF18E9" w:rsidRDefault="009907F7">
      <w:pPr>
        <w:spacing w:after="45"/>
        <w:ind w:left="360"/>
      </w:pPr>
      <w:r>
        <w:rPr>
          <w:sz w:val="20"/>
          <w:szCs w:val="20"/>
        </w:rPr>
        <w:t>🌐</w:t>
      </w:r>
      <w:r>
        <w:rPr>
          <w:sz w:val="20"/>
          <w:szCs w:val="20"/>
        </w:rPr>
        <w:t xml:space="preserve"> </w:t>
      </w:r>
      <w:hyperlink r:id="rId18" w:history="1">
        <w:r w:rsidR="00EF18E9">
          <w:rPr>
            <w:rStyle w:val="Hyperlink"/>
            <w:sz w:val="20"/>
            <w:szCs w:val="20"/>
          </w:rPr>
          <w:t>Investopedia: Default Rate Definition</w:t>
        </w:r>
      </w:hyperlink>
    </w:p>
    <w:p w14:paraId="5A80D1F2" w14:textId="77777777" w:rsidR="00EF18E9" w:rsidRDefault="009907F7">
      <w:pPr>
        <w:spacing w:after="45"/>
        <w:ind w:left="360"/>
      </w:pPr>
      <w:r>
        <w:rPr>
          <w:sz w:val="20"/>
          <w:szCs w:val="20"/>
        </w:rPr>
        <w:t>🌐</w:t>
      </w:r>
      <w:r>
        <w:rPr>
          <w:sz w:val="20"/>
          <w:szCs w:val="20"/>
        </w:rPr>
        <w:t xml:space="preserve"> </w:t>
      </w:r>
      <w:hyperlink r:id="rId19" w:history="1">
        <w:r w:rsidR="00EF18E9">
          <w:rPr>
            <w:rStyle w:val="Hyperlink"/>
            <w:sz w:val="20"/>
            <w:szCs w:val="20"/>
          </w:rPr>
          <w:t>OSFI: Credit Risk Management Guidelines</w:t>
        </w:r>
      </w:hyperlink>
    </w:p>
    <w:p w14:paraId="1B031BC4" w14:textId="77777777" w:rsidR="00EF18E9" w:rsidRDefault="009907F7">
      <w:r>
        <w:br w:type="page"/>
      </w:r>
    </w:p>
    <w:p w14:paraId="614CE26D" w14:textId="77777777" w:rsidR="00EF18E9" w:rsidRDefault="009907F7">
      <w:pPr>
        <w:pStyle w:val="Heading1"/>
      </w:pPr>
      <w:r>
        <w:lastRenderedPageBreak/>
        <w:t>3. Credit Scores and Credit Bureaus</w:t>
      </w:r>
    </w:p>
    <w:p w14:paraId="5D976097" w14:textId="77777777" w:rsidR="00EF18E9" w:rsidRDefault="009907F7">
      <w:pPr>
        <w:spacing w:after="140"/>
      </w:pPr>
      <w:r>
        <w:t>Credit scores are numerical summaries of a borrower's creditworthiness. They compress a complex credit history into a single number that lenders can use for quick decisioning. Understanding how credit scores work is essential because the capstone dataset contains external credit bureau scores (EXT_SOURCE_1, EXT_SOURCE_2, EXT_SOURCE_3) that are the single most predictive features in the entire dataset.</w:t>
      </w:r>
    </w:p>
    <w:p w14:paraId="13615767" w14:textId="77777777" w:rsidR="00EF18E9" w:rsidRDefault="00EF18E9">
      <w:pPr>
        <w:spacing w:after="140"/>
      </w:pPr>
    </w:p>
    <w:p w14:paraId="1862B607" w14:textId="77777777" w:rsidR="00EF18E9" w:rsidRDefault="009907F7">
      <w:pPr>
        <w:pStyle w:val="Heading2"/>
      </w:pPr>
      <w:r>
        <w:t>3.1 What is a Credit Score?</w:t>
      </w:r>
    </w:p>
    <w:p w14:paraId="1DEDF972" w14:textId="77777777" w:rsidR="00EF18E9" w:rsidRDefault="009907F7">
      <w:pPr>
        <w:spacing w:after="140"/>
      </w:pPr>
      <w:r>
        <w:t>A credit score is a number, typically ranging from 300 to 850, that summarizes a borrower's credit risk based on their credit history. Higher scores indicate lower risk. The score is computed by credit bureaus (companies like Equifax and TransUnion in Canada (Experian operates primarily in the US)) using proprietary models that weigh factors like payment history, credit utilization, length of credit history, types of credit, and recent inquiries.</w:t>
      </w:r>
    </w:p>
    <w:p w14:paraId="4D874828" w14:textId="77777777" w:rsidR="00EF18E9" w:rsidRDefault="009907F7">
      <w:pPr>
        <w:spacing w:after="140"/>
      </w:pPr>
      <w:r>
        <w:t>The most widely known scoring model weights these factors approximately as follows: payment history (35%), credit utilization (30%), length of credit history (15%), credit mix (10%), and new credit inquiries (10%). These weights vary by scoring model, but the general pattern is consistent: past repayment behavior is the strongest predictor of future behavior.</w:t>
      </w:r>
    </w:p>
    <w:p w14:paraId="59E7F3C8" w14:textId="77777777" w:rsidR="00EF18E9" w:rsidRDefault="009907F7">
      <w:pPr>
        <w:spacing w:after="140"/>
      </w:pPr>
      <w:r>
        <w:t>In your capstone dataset, the EXT_SOURCE features represent scores from external credit bureaus. They are already aggregated into a single number per source. You do not know the exact methodology behind each score, but you do know they are highly predictive. Combining them (computing the mean, standard deviation, or product across the three sources) often improves model performance because each source may capture slightly different aspects of creditworthiness.</w:t>
      </w:r>
    </w:p>
    <w:p w14:paraId="328023E9" w14:textId="77777777" w:rsidR="00EF18E9" w:rsidRDefault="00EF18E9">
      <w:pPr>
        <w:spacing w:after="140"/>
      </w:pPr>
    </w:p>
    <w:p w14:paraId="78EE7CD4" w14:textId="77777777" w:rsidR="00EF18E9" w:rsidRDefault="009907F7">
      <w:pPr>
        <w:pStyle w:val="Heading2"/>
      </w:pPr>
      <w:r>
        <w:t>3.2 Credit Bureau Data</w:t>
      </w:r>
    </w:p>
    <w:p w14:paraId="7037D363" w14:textId="77777777" w:rsidR="00EF18E9" w:rsidRDefault="009907F7">
      <w:pPr>
        <w:spacing w:after="140"/>
      </w:pPr>
      <w:r>
        <w:t>The bureau.csv table in your dataset contains historical credit records from a credit bureau. Each row represents a previous credit account that the applicant held. Key fields include:</w:t>
      </w:r>
    </w:p>
    <w:p w14:paraId="28B57F44" w14:textId="77777777" w:rsidR="00EF18E9" w:rsidRDefault="009907F7">
      <w:pPr>
        <w:pStyle w:val="ListParagraph"/>
        <w:numPr>
          <w:ilvl w:val="0"/>
          <w:numId w:val="3"/>
        </w:numPr>
        <w:spacing w:after="60"/>
      </w:pPr>
      <w:r>
        <w:t>CREDIT_ACTIVE: Whether the account is currently active or closed. Many active accounts can indicate higher risk (more exposure) or lower risk (more credit experience).</w:t>
      </w:r>
    </w:p>
    <w:p w14:paraId="55E028BF" w14:textId="77777777" w:rsidR="00EF18E9" w:rsidRDefault="009907F7">
      <w:pPr>
        <w:pStyle w:val="ListParagraph"/>
        <w:numPr>
          <w:ilvl w:val="0"/>
          <w:numId w:val="3"/>
        </w:numPr>
        <w:spacing w:after="60"/>
      </w:pPr>
      <w:r>
        <w:t>DAYS_CREDIT: How long ago the account was opened. Older accounts suggest longer credit history (generally positive).</w:t>
      </w:r>
    </w:p>
    <w:p w14:paraId="13880773" w14:textId="77777777" w:rsidR="00EF18E9" w:rsidRDefault="009907F7">
      <w:pPr>
        <w:pStyle w:val="ListParagraph"/>
        <w:numPr>
          <w:ilvl w:val="0"/>
          <w:numId w:val="3"/>
        </w:numPr>
        <w:spacing w:after="60"/>
      </w:pPr>
      <w:r>
        <w:t>AMT_CREDIT_SUM: The credit limit or total amount of the account.</w:t>
      </w:r>
    </w:p>
    <w:p w14:paraId="64927502" w14:textId="77777777" w:rsidR="00EF18E9" w:rsidRDefault="009907F7">
      <w:pPr>
        <w:pStyle w:val="ListParagraph"/>
        <w:numPr>
          <w:ilvl w:val="0"/>
          <w:numId w:val="3"/>
        </w:numPr>
        <w:spacing w:after="60"/>
      </w:pPr>
      <w:r>
        <w:t>AMT_CREDIT_SUM_DEBT: The current outstanding balance on the account.</w:t>
      </w:r>
    </w:p>
    <w:p w14:paraId="619FAA56" w14:textId="77777777" w:rsidR="00EF18E9" w:rsidRDefault="009907F7">
      <w:pPr>
        <w:pStyle w:val="ListParagraph"/>
        <w:numPr>
          <w:ilvl w:val="0"/>
          <w:numId w:val="3"/>
        </w:numPr>
        <w:spacing w:after="60"/>
      </w:pPr>
      <w:r>
        <w:t>AMT_CREDIT_SUM_OVERDUE: The amount currently past due. Any overdue amount is a strong negative signal.</w:t>
      </w:r>
    </w:p>
    <w:p w14:paraId="45569290" w14:textId="77777777" w:rsidR="00EF18E9" w:rsidRDefault="009907F7">
      <w:pPr>
        <w:pStyle w:val="ListParagraph"/>
        <w:numPr>
          <w:ilvl w:val="0"/>
          <w:numId w:val="3"/>
        </w:numPr>
        <w:spacing w:after="60"/>
      </w:pPr>
      <w:r>
        <w:t>CREDIT_DAY_OVERDUE: The number of days the account is overdue. Accounts 90+ days overdue are considered seriously delinquent.</w:t>
      </w:r>
    </w:p>
    <w:p w14:paraId="254178AE" w14:textId="77777777" w:rsidR="00EF18E9" w:rsidRDefault="00EF18E9">
      <w:pPr>
        <w:spacing w:after="140"/>
      </w:pPr>
    </w:p>
    <w:p w14:paraId="5BBF60EF" w14:textId="77777777" w:rsidR="00EF18E9" w:rsidRDefault="009907F7">
      <w:pPr>
        <w:spacing w:after="140"/>
      </w:pPr>
      <w:r>
        <w:t xml:space="preserve">Because each applicant may have many bureau records (10, 20, or more), you must aggregate these to the applicant level before using them as features. Standard aggregations </w:t>
      </w:r>
      <w:proofErr w:type="gramStart"/>
      <w:r>
        <w:t>include:</w:t>
      </w:r>
      <w:proofErr w:type="gramEnd"/>
      <w:r>
        <w:t xml:space="preserve"> count of bureau records (credit experience), count of active credits (current exposure), maximum </w:t>
      </w:r>
      <w:r>
        <w:lastRenderedPageBreak/>
        <w:t>overdue amount (worst historical behavior), mean credit amount (typical credit level), and standard deviation of balances (variability in credit usage).</w:t>
      </w:r>
    </w:p>
    <w:p w14:paraId="57F693BA" w14:textId="77777777" w:rsidR="00EF18E9" w:rsidRDefault="00EF18E9">
      <w:pPr>
        <w:spacing w:after="140"/>
      </w:pPr>
    </w:p>
    <w:p w14:paraId="298E3DC8" w14:textId="77777777" w:rsidR="00EF18E9" w:rsidRDefault="009907F7">
      <w:pPr>
        <w:spacing w:before="120" w:after="50"/>
      </w:pPr>
      <w:r>
        <w:rPr>
          <w:b/>
          <w:bCs/>
          <w:color w:val="CC0000"/>
        </w:rPr>
        <w:t>🎥</w:t>
      </w:r>
      <w:r>
        <w:rPr>
          <w:b/>
          <w:bCs/>
          <w:color w:val="CC0000"/>
        </w:rPr>
        <w:t xml:space="preserve"> Recommended Video Resources</w:t>
      </w:r>
    </w:p>
    <w:p w14:paraId="50E4FB1F" w14:textId="77777777" w:rsidR="00EF18E9" w:rsidRDefault="009907F7">
      <w:pPr>
        <w:spacing w:after="45"/>
        <w:ind w:left="360"/>
      </w:pPr>
      <w:r>
        <w:rPr>
          <w:color w:val="CC0000"/>
          <w:sz w:val="20"/>
          <w:szCs w:val="20"/>
        </w:rPr>
        <w:t xml:space="preserve">▶ </w:t>
      </w:r>
      <w:hyperlink r:id="rId20" w:history="1">
        <w:r w:rsidR="00EF18E9">
          <w:rPr>
            <w:rStyle w:val="Hyperlink"/>
            <w:sz w:val="20"/>
            <w:szCs w:val="20"/>
          </w:rPr>
          <w:t>YouTube: Credit Scores Explained (NerdWallet)</w:t>
        </w:r>
      </w:hyperlink>
    </w:p>
    <w:p w14:paraId="7B82A974" w14:textId="77777777" w:rsidR="00EF18E9" w:rsidRDefault="009907F7">
      <w:pPr>
        <w:spacing w:after="45"/>
        <w:ind w:left="360"/>
      </w:pPr>
      <w:r>
        <w:rPr>
          <w:color w:val="CC0000"/>
          <w:sz w:val="20"/>
          <w:szCs w:val="20"/>
        </w:rPr>
        <w:t xml:space="preserve">▶ </w:t>
      </w:r>
      <w:hyperlink r:id="rId21" w:history="1">
        <w:r w:rsidR="00EF18E9">
          <w:rPr>
            <w:rStyle w:val="Hyperlink"/>
            <w:sz w:val="20"/>
            <w:szCs w:val="20"/>
          </w:rPr>
          <w:t>YouTube: How Credit Bureaus Work (Two Cents / PBS)</w:t>
        </w:r>
      </w:hyperlink>
    </w:p>
    <w:p w14:paraId="5EABB522" w14:textId="77777777" w:rsidR="00EF18E9" w:rsidRDefault="009907F7">
      <w:pPr>
        <w:spacing w:after="45"/>
        <w:ind w:left="360"/>
      </w:pPr>
      <w:r>
        <w:rPr>
          <w:color w:val="CC0000"/>
          <w:sz w:val="20"/>
          <w:szCs w:val="20"/>
        </w:rPr>
        <w:t xml:space="preserve">▶ </w:t>
      </w:r>
      <w:hyperlink r:id="rId22" w:history="1">
        <w:r w:rsidR="00EF18E9">
          <w:rPr>
            <w:rStyle w:val="Hyperlink"/>
            <w:sz w:val="20"/>
            <w:szCs w:val="20"/>
          </w:rPr>
          <w:t>YouTube: Understanding Your Credit Report (Khan Academy)</w:t>
        </w:r>
      </w:hyperlink>
    </w:p>
    <w:p w14:paraId="7C50CC10" w14:textId="77777777" w:rsidR="00EF18E9" w:rsidRDefault="009907F7">
      <w:pPr>
        <w:spacing w:before="120" w:after="50"/>
      </w:pPr>
      <w:r>
        <w:rPr>
          <w:b/>
          <w:bCs/>
          <w:color w:val="1565C0"/>
        </w:rPr>
        <w:t>🌐</w:t>
      </w:r>
      <w:r>
        <w:rPr>
          <w:b/>
          <w:bCs/>
          <w:color w:val="1565C0"/>
        </w:rPr>
        <w:t xml:space="preserve"> Recommended Websites &amp; Reading</w:t>
      </w:r>
    </w:p>
    <w:p w14:paraId="42B18589" w14:textId="77777777" w:rsidR="00EF18E9" w:rsidRDefault="009907F7">
      <w:pPr>
        <w:spacing w:after="45"/>
        <w:ind w:left="360"/>
      </w:pPr>
      <w:r>
        <w:rPr>
          <w:sz w:val="20"/>
          <w:szCs w:val="20"/>
        </w:rPr>
        <w:t>🌐</w:t>
      </w:r>
      <w:r>
        <w:rPr>
          <w:sz w:val="20"/>
          <w:szCs w:val="20"/>
        </w:rPr>
        <w:t xml:space="preserve"> </w:t>
      </w:r>
      <w:hyperlink r:id="rId23" w:history="1">
        <w:r w:rsidR="00EF18E9">
          <w:rPr>
            <w:rStyle w:val="Hyperlink"/>
            <w:sz w:val="20"/>
            <w:szCs w:val="20"/>
          </w:rPr>
          <w:t>Investopedia: How Credit Scores Are Calculated</w:t>
        </w:r>
      </w:hyperlink>
    </w:p>
    <w:p w14:paraId="2F5CBF33" w14:textId="77777777" w:rsidR="00EF18E9" w:rsidRDefault="009907F7">
      <w:pPr>
        <w:spacing w:after="45"/>
        <w:ind w:left="360"/>
      </w:pPr>
      <w:r>
        <w:rPr>
          <w:sz w:val="20"/>
          <w:szCs w:val="20"/>
        </w:rPr>
        <w:t>🌐</w:t>
      </w:r>
      <w:r>
        <w:rPr>
          <w:sz w:val="20"/>
          <w:szCs w:val="20"/>
        </w:rPr>
        <w:t xml:space="preserve"> </w:t>
      </w:r>
      <w:hyperlink r:id="rId24" w:history="1">
        <w:r w:rsidR="00EF18E9">
          <w:rPr>
            <w:rStyle w:val="Hyperlink"/>
            <w:sz w:val="20"/>
            <w:szCs w:val="20"/>
          </w:rPr>
          <w:t>Investopedia: Credit Bureau Definition</w:t>
        </w:r>
      </w:hyperlink>
    </w:p>
    <w:p w14:paraId="141FC69F" w14:textId="77777777" w:rsidR="00EF18E9" w:rsidRDefault="009907F7">
      <w:pPr>
        <w:spacing w:after="45"/>
        <w:ind w:left="360"/>
      </w:pPr>
      <w:r>
        <w:rPr>
          <w:sz w:val="20"/>
          <w:szCs w:val="20"/>
        </w:rPr>
        <w:t>🌐</w:t>
      </w:r>
      <w:r>
        <w:rPr>
          <w:sz w:val="20"/>
          <w:szCs w:val="20"/>
        </w:rPr>
        <w:t xml:space="preserve"> </w:t>
      </w:r>
      <w:hyperlink r:id="rId25" w:history="1">
        <w:proofErr w:type="spellStart"/>
        <w:r w:rsidR="00EF18E9">
          <w:rPr>
            <w:rStyle w:val="Hyperlink"/>
            <w:sz w:val="20"/>
            <w:szCs w:val="20"/>
          </w:rPr>
          <w:t>myFICO</w:t>
        </w:r>
        <w:proofErr w:type="spellEnd"/>
        <w:r w:rsidR="00EF18E9">
          <w:rPr>
            <w:rStyle w:val="Hyperlink"/>
            <w:sz w:val="20"/>
            <w:szCs w:val="20"/>
          </w:rPr>
          <w:t>: What is a Credit Score?</w:t>
        </w:r>
      </w:hyperlink>
    </w:p>
    <w:p w14:paraId="221372FE" w14:textId="77777777" w:rsidR="00EF18E9" w:rsidRDefault="009907F7">
      <w:r>
        <w:br w:type="page"/>
      </w:r>
    </w:p>
    <w:p w14:paraId="5F2F3AB6" w14:textId="77777777" w:rsidR="00EF18E9" w:rsidRDefault="009907F7">
      <w:pPr>
        <w:pStyle w:val="Heading1"/>
      </w:pPr>
      <w:r>
        <w:lastRenderedPageBreak/>
        <w:t>4. Key Financial Metrics You Will Encounter</w:t>
      </w:r>
    </w:p>
    <w:p w14:paraId="31EC3A0D" w14:textId="77777777" w:rsidR="00EF18E9" w:rsidRDefault="009907F7">
      <w:pPr>
        <w:spacing w:after="140"/>
      </w:pPr>
      <w:r>
        <w:t>Several financial metrics appear repeatedly in credit risk modeling. Understanding their meaning, calculation, and business significance will help you engineer better features and interpret your model results.</w:t>
      </w:r>
    </w:p>
    <w:p w14:paraId="4E7BC7B5" w14:textId="77777777" w:rsidR="00EF18E9" w:rsidRDefault="00EF18E9">
      <w:pPr>
        <w:spacing w:after="140"/>
      </w:pPr>
    </w:p>
    <w:p w14:paraId="7DA9536D" w14:textId="77777777" w:rsidR="00EF18E9" w:rsidRDefault="009907F7">
      <w:pPr>
        <w:pStyle w:val="Heading2"/>
      </w:pPr>
      <w:r>
        <w:t>4.1 Debt-to-Income Ratio (DTI)</w:t>
      </w:r>
    </w:p>
    <w:p w14:paraId="63F27348" w14:textId="77777777" w:rsidR="00EF18E9" w:rsidRDefault="009907F7">
      <w:pPr>
        <w:spacing w:after="140"/>
      </w:pPr>
      <w:r>
        <w:t>DTI is the ratio of a borrower's total monthly debt payments to their gross monthly income, expressed as a percentage. It measures the borrower's capacity to take on additional debt. For example, if a borrower earns $5,000 per month and has $1,500 in monthly debt payments (mortgage, car loan, credit card minimums), their DTI is 30%.</w:t>
      </w:r>
    </w:p>
    <w:p w14:paraId="673D8691" w14:textId="77777777" w:rsidR="00EF18E9" w:rsidRDefault="009907F7">
      <w:pPr>
        <w:spacing w:after="140"/>
      </w:pPr>
      <w:r>
        <w:t>Most lenders consider DTI above 36% to be moderate risk and above 43% to be high risk. For qualifying mortgages in Canada, a DTI above 43% generally disqualifies the borrower. In your capstone project, you can compute an approximate DTI as AMT_ANNUITY / (AMT_INCOME_TOTAL / 12). This is one of the features you should engineer in Topic 2.</w:t>
      </w:r>
    </w:p>
    <w:p w14:paraId="3E605AB8" w14:textId="77777777" w:rsidR="00EF18E9" w:rsidRDefault="00EF18E9">
      <w:pPr>
        <w:spacing w:after="140"/>
      </w:pPr>
    </w:p>
    <w:p w14:paraId="118509DB" w14:textId="77777777" w:rsidR="00EF18E9" w:rsidRDefault="009907F7">
      <w:pPr>
        <w:pStyle w:val="Heading2"/>
      </w:pPr>
      <w:r>
        <w:t>4.2 Loan-to-Value Ratio (LTV)</w:t>
      </w:r>
    </w:p>
    <w:p w14:paraId="37D7D533" w14:textId="77777777" w:rsidR="00EF18E9" w:rsidRDefault="009907F7">
      <w:pPr>
        <w:spacing w:after="140"/>
      </w:pPr>
      <w:r>
        <w:t>LTV is the ratio of the loan amount to the value of the underlying asset, used primarily for secured loans (mortgages, car loans). An LTV of 80% means the borrower is financing 80% of the asset's value and has put 20% down as equity. Higher LTV means the borrower has less 'skin in the game' and is more likely to walk away from the loan if the asset's value declines.</w:t>
      </w:r>
    </w:p>
    <w:p w14:paraId="6E1AD9AB" w14:textId="77777777" w:rsidR="00EF18E9" w:rsidRDefault="009907F7">
      <w:pPr>
        <w:spacing w:after="140"/>
      </w:pPr>
      <w:r>
        <w:t>LTV is particularly relevant during economic downturns. If home prices fall by 20% and the borrower's LTV was 95%, the borrower is now 'underwater' (they owe more than the home is worth), which dramatically increases the probability of strategic default (choosing not to pay even if they can afford to). In the capstone dataset, AMT_CREDIT / AMT_GOODS_PRICE approximates LTV for loans used to purchase goods.</w:t>
      </w:r>
    </w:p>
    <w:p w14:paraId="171D74A7" w14:textId="77777777" w:rsidR="00EF18E9" w:rsidRDefault="00EF18E9">
      <w:pPr>
        <w:spacing w:after="140"/>
      </w:pPr>
    </w:p>
    <w:p w14:paraId="6010E423" w14:textId="77777777" w:rsidR="00EF18E9" w:rsidRDefault="009907F7">
      <w:pPr>
        <w:pStyle w:val="Heading2"/>
      </w:pPr>
      <w:r>
        <w:t>4.3 Credit Utilization</w:t>
      </w:r>
    </w:p>
    <w:p w14:paraId="030CF8C5" w14:textId="77777777" w:rsidR="00EF18E9" w:rsidRDefault="009907F7">
      <w:pPr>
        <w:spacing w:after="140"/>
      </w:pPr>
      <w:r>
        <w:t>Credit utilization is the ratio of current revolving balance to total revolving credit limit. For example, if a borrower has a $10,000 credit card limit and a $7,000 balance, their utilization is 70%. High utilization (above 30%) signals that the borrower is relying heavily on credit and may be experiencing financial stress. Utilization above 80% is one of the strongest predictors of default in consumer credit models.</w:t>
      </w:r>
    </w:p>
    <w:p w14:paraId="23B0602E" w14:textId="77777777" w:rsidR="00EF18E9" w:rsidRDefault="009907F7">
      <w:pPr>
        <w:spacing w:after="140"/>
      </w:pPr>
      <w:r>
        <w:t>The relationship between utilization and default is non-linear: very low utilization (0-5%) can also indicate risk because it means the borrower is not actively using credit, which may mean they have other income sources or are building a thin credit file. The sweet spot for lowest risk is typically 10-30% utilization.</w:t>
      </w:r>
    </w:p>
    <w:p w14:paraId="40668A8C" w14:textId="77777777" w:rsidR="00EF18E9" w:rsidRDefault="00EF18E9">
      <w:pPr>
        <w:spacing w:after="140"/>
      </w:pPr>
    </w:p>
    <w:p w14:paraId="38DDF26E" w14:textId="77777777" w:rsidR="00EF18E9" w:rsidRDefault="009907F7">
      <w:pPr>
        <w:pStyle w:val="Heading2"/>
      </w:pPr>
      <w:r>
        <w:t>4.4 Default, Delinquency, and Charge-Off</w:t>
      </w:r>
    </w:p>
    <w:p w14:paraId="35AA2A12" w14:textId="77777777" w:rsidR="00EF18E9" w:rsidRDefault="009907F7">
      <w:pPr>
        <w:spacing w:after="140"/>
      </w:pPr>
      <w:r>
        <w:lastRenderedPageBreak/>
        <w:t>These three terms describe progressively severe stages of non-payment:</w:t>
      </w:r>
    </w:p>
    <w:p w14:paraId="5C1CD2A6" w14:textId="77777777" w:rsidR="00EF18E9" w:rsidRDefault="009907F7">
      <w:pPr>
        <w:pStyle w:val="ListParagraph"/>
        <w:numPr>
          <w:ilvl w:val="0"/>
          <w:numId w:val="3"/>
        </w:numPr>
        <w:spacing w:after="60"/>
      </w:pPr>
      <w:r>
        <w:t>Delinquency: The borrower has missed one or more payments. Delinquency is tracked in 30-day buckets: 30 days past due (DPD), 60 DPD, 90 DPD, 120+ DPD. Each stage represents increasing severity and increasing probability of eventual default.</w:t>
      </w:r>
    </w:p>
    <w:p w14:paraId="58CA098A" w14:textId="77777777" w:rsidR="00EF18E9" w:rsidRDefault="009907F7">
      <w:pPr>
        <w:pStyle w:val="ListParagraph"/>
        <w:numPr>
          <w:ilvl w:val="0"/>
          <w:numId w:val="3"/>
        </w:numPr>
        <w:spacing w:after="60"/>
      </w:pPr>
      <w:r>
        <w:t xml:space="preserve">Default: The borrower has failed to meet the contractual obligations of the loan. The exact definition varies by lender and </w:t>
      </w:r>
      <w:proofErr w:type="gramStart"/>
      <w:r>
        <w:t>product, but</w:t>
      </w:r>
      <w:proofErr w:type="gramEnd"/>
      <w:r>
        <w:t xml:space="preserve"> typically occurs at 90-180 days past due. Once a loan is in default, the lender begins recovery procedures (collections, repossession of collateral).</w:t>
      </w:r>
    </w:p>
    <w:p w14:paraId="59DCC7CD" w14:textId="77777777" w:rsidR="00EF18E9" w:rsidRDefault="009907F7">
      <w:pPr>
        <w:pStyle w:val="ListParagraph"/>
        <w:numPr>
          <w:ilvl w:val="0"/>
          <w:numId w:val="3"/>
        </w:numPr>
        <w:spacing w:after="60"/>
      </w:pPr>
      <w:r>
        <w:t>Charge-off: The lender writes off the loan as a loss on their books. This typically happens at 180 days past due for unsecured loans. The lender may still attempt to collect the debt (through internal collections or by selling the debt to a collection agency), but the amount recovered is usually a fraction of the original balance.</w:t>
      </w:r>
    </w:p>
    <w:p w14:paraId="05E9E70E" w14:textId="77777777" w:rsidR="00EF18E9" w:rsidRDefault="00EF18E9">
      <w:pPr>
        <w:spacing w:after="140"/>
      </w:pPr>
    </w:p>
    <w:p w14:paraId="7951C6EB" w14:textId="77777777" w:rsidR="00EF18E9" w:rsidRDefault="009907F7">
      <w:pPr>
        <w:spacing w:after="140"/>
      </w:pPr>
      <w:r>
        <w:t>In your capstone dataset, TARGET = 1 indicates that the applicant experienced payment difficulties (delinquency or default). This is the outcome you are predicting.</w:t>
      </w:r>
    </w:p>
    <w:p w14:paraId="51492679" w14:textId="77777777" w:rsidR="00EF18E9" w:rsidRDefault="00EF18E9">
      <w:pPr>
        <w:spacing w:after="140"/>
      </w:pPr>
    </w:p>
    <w:p w14:paraId="7E55C898" w14:textId="77777777" w:rsidR="00EF18E9" w:rsidRDefault="009907F7">
      <w:pPr>
        <w:pStyle w:val="Heading2"/>
      </w:pPr>
      <w:r>
        <w:t>4.5 Interest Rate and Annual Percentage Rate (APR)</w:t>
      </w:r>
    </w:p>
    <w:p w14:paraId="3BFD6ADA" w14:textId="77777777" w:rsidR="00EF18E9" w:rsidRDefault="009907F7">
      <w:pPr>
        <w:spacing w:after="140"/>
      </w:pPr>
      <w:r>
        <w:t>The interest rate is the cost of borrowing, expressed as a percentage of the loan amount per year. Higher-risk borrowers pay higher interest rates because the lender needs to compensate for the higher probability of loss. The relationship between interest rate and default is complex: high interest rates both reflect high risk (the lender charged more because the borrower is risky) and cause high risk (higher payments make repayment more difficult).</w:t>
      </w:r>
    </w:p>
    <w:p w14:paraId="03F8FBF3" w14:textId="77777777" w:rsidR="00EF18E9" w:rsidRDefault="009907F7">
      <w:pPr>
        <w:spacing w:after="140"/>
      </w:pPr>
      <w:r>
        <w:t>APR includes not just the interest rate but also fees (origination fees, closing costs, annual fees), giving a more complete picture of the total cost of borrowing. In the capstone dataset, the interest rate is implicitly captured through the AMT_ANNUITY field (higher annuity relative to credit amount implies higher interest rate).</w:t>
      </w:r>
    </w:p>
    <w:p w14:paraId="01E64916" w14:textId="77777777" w:rsidR="00EF18E9" w:rsidRDefault="00EF18E9">
      <w:pPr>
        <w:spacing w:after="140"/>
      </w:pPr>
    </w:p>
    <w:p w14:paraId="7A8E801E" w14:textId="77777777" w:rsidR="00EF18E9" w:rsidRDefault="009907F7">
      <w:pPr>
        <w:spacing w:before="120" w:after="50"/>
      </w:pPr>
      <w:r>
        <w:rPr>
          <w:b/>
          <w:bCs/>
          <w:color w:val="CC0000"/>
        </w:rPr>
        <w:t>🎥</w:t>
      </w:r>
      <w:r>
        <w:rPr>
          <w:b/>
          <w:bCs/>
          <w:color w:val="CC0000"/>
        </w:rPr>
        <w:t xml:space="preserve"> Recommended Video Resources</w:t>
      </w:r>
    </w:p>
    <w:p w14:paraId="47D608C5" w14:textId="77777777" w:rsidR="00EF18E9" w:rsidRDefault="009907F7">
      <w:pPr>
        <w:spacing w:after="45"/>
        <w:ind w:left="360"/>
      </w:pPr>
      <w:r>
        <w:rPr>
          <w:color w:val="CC0000"/>
          <w:sz w:val="20"/>
          <w:szCs w:val="20"/>
        </w:rPr>
        <w:t xml:space="preserve">▶ </w:t>
      </w:r>
      <w:hyperlink r:id="rId26" w:history="1">
        <w:r w:rsidR="00EF18E9">
          <w:rPr>
            <w:rStyle w:val="Hyperlink"/>
            <w:sz w:val="20"/>
            <w:szCs w:val="20"/>
          </w:rPr>
          <w:t>YouTube: Debt-to-Income Ratio Explained (NerdWallet)</w:t>
        </w:r>
      </w:hyperlink>
    </w:p>
    <w:p w14:paraId="791B4082" w14:textId="77777777" w:rsidR="00EF18E9" w:rsidRDefault="009907F7">
      <w:pPr>
        <w:spacing w:after="45"/>
        <w:ind w:left="360"/>
      </w:pPr>
      <w:r>
        <w:rPr>
          <w:color w:val="CC0000"/>
          <w:sz w:val="20"/>
          <w:szCs w:val="20"/>
        </w:rPr>
        <w:t xml:space="preserve">▶ </w:t>
      </w:r>
      <w:hyperlink r:id="rId27" w:history="1">
        <w:r w:rsidR="00EF18E9">
          <w:rPr>
            <w:rStyle w:val="Hyperlink"/>
            <w:sz w:val="20"/>
            <w:szCs w:val="20"/>
          </w:rPr>
          <w:t>YouTube: Loan-to-Value Ratio Explained (TD Bank)</w:t>
        </w:r>
      </w:hyperlink>
    </w:p>
    <w:p w14:paraId="2586BE5A" w14:textId="77777777" w:rsidR="00EF18E9" w:rsidRDefault="009907F7">
      <w:pPr>
        <w:spacing w:after="45"/>
        <w:ind w:left="360"/>
      </w:pPr>
      <w:r>
        <w:rPr>
          <w:color w:val="CC0000"/>
          <w:sz w:val="20"/>
          <w:szCs w:val="20"/>
        </w:rPr>
        <w:t xml:space="preserve">▶ </w:t>
      </w:r>
      <w:hyperlink r:id="rId28" w:history="1">
        <w:r w:rsidR="00EF18E9">
          <w:rPr>
            <w:rStyle w:val="Hyperlink"/>
            <w:sz w:val="20"/>
            <w:szCs w:val="20"/>
          </w:rPr>
          <w:t>YouTube: Credit Utilization Explained (CreditCards.com)</w:t>
        </w:r>
      </w:hyperlink>
    </w:p>
    <w:p w14:paraId="3D4157BD" w14:textId="77777777" w:rsidR="00EF18E9" w:rsidRDefault="009907F7">
      <w:pPr>
        <w:spacing w:after="45"/>
        <w:ind w:left="360"/>
      </w:pPr>
      <w:r>
        <w:rPr>
          <w:color w:val="CC0000"/>
          <w:sz w:val="20"/>
          <w:szCs w:val="20"/>
        </w:rPr>
        <w:t xml:space="preserve">▶ </w:t>
      </w:r>
      <w:hyperlink r:id="rId29" w:history="1">
        <w:r w:rsidR="00EF18E9">
          <w:rPr>
            <w:rStyle w:val="Hyperlink"/>
            <w:sz w:val="20"/>
            <w:szCs w:val="20"/>
          </w:rPr>
          <w:t>YouTube: What Happens When You Default on a Loan (Two Cents / PBS)</w:t>
        </w:r>
      </w:hyperlink>
    </w:p>
    <w:p w14:paraId="0ECFCDB9" w14:textId="77777777" w:rsidR="00EF18E9" w:rsidRDefault="009907F7">
      <w:pPr>
        <w:spacing w:before="120" w:after="50"/>
      </w:pPr>
      <w:r>
        <w:rPr>
          <w:b/>
          <w:bCs/>
          <w:color w:val="1565C0"/>
        </w:rPr>
        <w:t>🌐</w:t>
      </w:r>
      <w:r>
        <w:rPr>
          <w:b/>
          <w:bCs/>
          <w:color w:val="1565C0"/>
        </w:rPr>
        <w:t xml:space="preserve"> Recommended Websites &amp; Reading</w:t>
      </w:r>
    </w:p>
    <w:p w14:paraId="5513E070" w14:textId="77777777" w:rsidR="00EF18E9" w:rsidRDefault="009907F7">
      <w:pPr>
        <w:spacing w:after="45"/>
        <w:ind w:left="360"/>
      </w:pPr>
      <w:r>
        <w:rPr>
          <w:sz w:val="20"/>
          <w:szCs w:val="20"/>
        </w:rPr>
        <w:t>🌐</w:t>
      </w:r>
      <w:r>
        <w:rPr>
          <w:sz w:val="20"/>
          <w:szCs w:val="20"/>
        </w:rPr>
        <w:t xml:space="preserve"> </w:t>
      </w:r>
      <w:hyperlink r:id="rId30" w:history="1">
        <w:r w:rsidR="00EF18E9">
          <w:rPr>
            <w:rStyle w:val="Hyperlink"/>
            <w:sz w:val="20"/>
            <w:szCs w:val="20"/>
          </w:rPr>
          <w:t>Investopedia: Debt-to-Income Ratio</w:t>
        </w:r>
      </w:hyperlink>
    </w:p>
    <w:p w14:paraId="7696054C" w14:textId="77777777" w:rsidR="00EF18E9" w:rsidRDefault="009907F7">
      <w:pPr>
        <w:spacing w:after="45"/>
        <w:ind w:left="360"/>
      </w:pPr>
      <w:r>
        <w:rPr>
          <w:sz w:val="20"/>
          <w:szCs w:val="20"/>
        </w:rPr>
        <w:t>🌐</w:t>
      </w:r>
      <w:r>
        <w:rPr>
          <w:sz w:val="20"/>
          <w:szCs w:val="20"/>
        </w:rPr>
        <w:t xml:space="preserve"> </w:t>
      </w:r>
      <w:hyperlink r:id="rId31" w:history="1">
        <w:r w:rsidR="00EF18E9">
          <w:rPr>
            <w:rStyle w:val="Hyperlink"/>
            <w:sz w:val="20"/>
            <w:szCs w:val="20"/>
          </w:rPr>
          <w:t>Investopedia: Loan-to-Value Ratio</w:t>
        </w:r>
      </w:hyperlink>
    </w:p>
    <w:p w14:paraId="745621ED" w14:textId="77777777" w:rsidR="00EF18E9" w:rsidRDefault="009907F7">
      <w:pPr>
        <w:spacing w:after="45"/>
        <w:ind w:left="360"/>
      </w:pPr>
      <w:r>
        <w:rPr>
          <w:sz w:val="20"/>
          <w:szCs w:val="20"/>
        </w:rPr>
        <w:t>🌐</w:t>
      </w:r>
      <w:r>
        <w:rPr>
          <w:sz w:val="20"/>
          <w:szCs w:val="20"/>
        </w:rPr>
        <w:t xml:space="preserve"> </w:t>
      </w:r>
      <w:hyperlink r:id="rId32" w:history="1">
        <w:r w:rsidR="00EF18E9">
          <w:rPr>
            <w:rStyle w:val="Hyperlink"/>
            <w:sz w:val="20"/>
            <w:szCs w:val="20"/>
          </w:rPr>
          <w:t>Investopedia: What is a Charge-Off?</w:t>
        </w:r>
      </w:hyperlink>
    </w:p>
    <w:p w14:paraId="276081E7" w14:textId="77777777" w:rsidR="00EF18E9" w:rsidRDefault="009907F7">
      <w:r>
        <w:br w:type="page"/>
      </w:r>
    </w:p>
    <w:p w14:paraId="3C6437AF" w14:textId="77777777" w:rsidR="00EF18E9" w:rsidRDefault="009907F7">
      <w:pPr>
        <w:pStyle w:val="Heading1"/>
      </w:pPr>
      <w:r>
        <w:lastRenderedPageBreak/>
        <w:t>5. Financial Regulation for ML Models</w:t>
      </w:r>
    </w:p>
    <w:p w14:paraId="6BB91A53" w14:textId="77777777" w:rsidR="00EF18E9" w:rsidRDefault="009907F7">
      <w:pPr>
        <w:spacing w:after="140"/>
      </w:pPr>
      <w:r>
        <w:t>Machine learning models in financial institutions are regulated assets. Unlike models in tech companies (where you can deploy quickly and iterate), financial models must pass through a formal validation process before deployment. Understanding this regulatory landscape is not optional; it directly affects how you build, document, and monitor your model.</w:t>
      </w:r>
    </w:p>
    <w:p w14:paraId="3733D59E" w14:textId="77777777" w:rsidR="00EF18E9" w:rsidRDefault="00EF18E9">
      <w:pPr>
        <w:spacing w:after="140"/>
      </w:pPr>
    </w:p>
    <w:p w14:paraId="5A96E4CA" w14:textId="77777777" w:rsidR="00EF18E9" w:rsidRDefault="009907F7">
      <w:pPr>
        <w:pStyle w:val="Heading2"/>
      </w:pPr>
      <w:r>
        <w:t>5.1 OSFI E-23: Model Risk Management</w:t>
      </w:r>
    </w:p>
    <w:p w14:paraId="69D403C7" w14:textId="77777777" w:rsidR="00EF18E9" w:rsidRDefault="009907F7">
      <w:pPr>
        <w:spacing w:after="140"/>
      </w:pPr>
      <w:r>
        <w:t>OSFI E-23 is OSFI's guidance on model risk management, issued in 2011 and still the governing framework for all quantitative models used by banks in Canada. It defines a 'model' broadly: any quantitative method that processes inputs to produce outputs for use in business decisions. This includes credit scoring models, fraud detection systems, pricing algorithms, and risk calculators.</w:t>
      </w:r>
    </w:p>
    <w:p w14:paraId="05A1E6CD" w14:textId="77777777" w:rsidR="00EF18E9" w:rsidRDefault="009907F7">
      <w:pPr>
        <w:spacing w:after="140"/>
      </w:pPr>
      <w:r>
        <w:t>OSFI E-23 requires three things from every model: (1) Conceptual soundness: the model's design and methodology must be appropriate for the intended purpose, supported by theory and evidence. (2) Outcome analysis: the model must produce accurate predictions on out-of-sample data, validated with appropriate metrics. (3) Ongoing monitoring: there must be a plan to track model performance in production and trigger retraining when performance degrades.</w:t>
      </w:r>
    </w:p>
    <w:p w14:paraId="2F200377" w14:textId="77777777" w:rsidR="00EF18E9" w:rsidRDefault="009907F7">
      <w:pPr>
        <w:spacing w:after="140"/>
      </w:pPr>
      <w:r>
        <w:t>For your capstone project, this means: your choice of algorithm must be justified (why Random Forest instead of logistic regression?), your performance must be validated on held-out data with financial metrics (AUROC, Gini, KS), and your documentation must include a monitoring plan (what PSI threshold triggers review).</w:t>
      </w:r>
    </w:p>
    <w:p w14:paraId="7A31C086" w14:textId="77777777" w:rsidR="00EF18E9" w:rsidRDefault="00EF18E9">
      <w:pPr>
        <w:spacing w:after="140"/>
      </w:pPr>
    </w:p>
    <w:p w14:paraId="61B3BBC7" w14:textId="77777777" w:rsidR="00EF18E9" w:rsidRDefault="009907F7">
      <w:pPr>
        <w:pStyle w:val="Heading2"/>
      </w:pPr>
      <w:r>
        <w:t>5.2 FCAC/CHRA and Fair Lending</w:t>
      </w:r>
    </w:p>
    <w:p w14:paraId="4737BF19" w14:textId="77777777" w:rsidR="00EF18E9" w:rsidRDefault="009907F7">
      <w:pPr>
        <w:spacing w:after="140"/>
      </w:pPr>
      <w:r>
        <w:t xml:space="preserve">The Canadian Human Rights Act and FCAC consumer protection guidelines </w:t>
      </w:r>
      <w:proofErr w:type="gramStart"/>
      <w:r>
        <w:t>prohibits</w:t>
      </w:r>
      <w:proofErr w:type="gramEnd"/>
      <w:r>
        <w:t xml:space="preserve"> discrimination in lending based on race, color, religion, national origin, sex, marital status, age, or receipt of public assistance. This has two practical implications for ML models:</w:t>
      </w:r>
    </w:p>
    <w:p w14:paraId="40AAFAF3" w14:textId="77777777" w:rsidR="00EF18E9" w:rsidRDefault="00EF18E9">
      <w:pPr>
        <w:spacing w:after="140"/>
      </w:pPr>
    </w:p>
    <w:p w14:paraId="7A6A0016" w14:textId="77777777" w:rsidR="00EF18E9" w:rsidRDefault="009907F7">
      <w:pPr>
        <w:spacing w:after="140"/>
        <w:rPr>
          <w:b/>
          <w:bCs/>
        </w:rPr>
      </w:pPr>
      <w:r>
        <w:rPr>
          <w:b/>
          <w:bCs/>
        </w:rPr>
        <w:t>Adverse action notices</w:t>
      </w:r>
    </w:p>
    <w:p w14:paraId="4F923497" w14:textId="77777777" w:rsidR="00EF18E9" w:rsidRDefault="009907F7">
      <w:pPr>
        <w:spacing w:after="140"/>
      </w:pPr>
      <w:r>
        <w:t>When a lender denies credit, they must provide the applicant with specific reasons for the denial. For a logistic regression model, these reasons come directly from the coefficients (the features with the largest negative contributions to the applicant's score). For complex models like Random Forest, SHAP values serve this purpose: the features with the most negative SHAP values for a specific prediction are the adverse action reasons. Your capstone must demonstrate this capability.</w:t>
      </w:r>
    </w:p>
    <w:p w14:paraId="36F87493" w14:textId="77777777" w:rsidR="00EF18E9" w:rsidRDefault="00EF18E9">
      <w:pPr>
        <w:spacing w:after="140"/>
      </w:pPr>
    </w:p>
    <w:p w14:paraId="749CFE92" w14:textId="77777777" w:rsidR="00EF18E9" w:rsidRDefault="009907F7">
      <w:pPr>
        <w:spacing w:after="140"/>
        <w:rPr>
          <w:b/>
          <w:bCs/>
        </w:rPr>
      </w:pPr>
      <w:r>
        <w:rPr>
          <w:b/>
          <w:bCs/>
        </w:rPr>
        <w:t>Disparate impact testing</w:t>
      </w:r>
    </w:p>
    <w:p w14:paraId="45DF18B5" w14:textId="77777777" w:rsidR="00EF18E9" w:rsidRDefault="009907F7">
      <w:pPr>
        <w:spacing w:after="140"/>
      </w:pPr>
      <w:r>
        <w:t xml:space="preserve">Even if a model does not explicitly use protected attributes (race, gender), it can still produce discriminatory outcomes if it relies on proxy variables. For example, zip code correlates with race due to historical residential segregation patterns. A model that heavily weights zip code may produce disparate impact even though it never sees a race variable. In production, models </w:t>
      </w:r>
      <w:r>
        <w:lastRenderedPageBreak/>
        <w:t>are tested for disparate impact by comparing approval rates across demographic groups. If the approval rate for a minority group is less than 80% of the majority group's rate (adverse impact testing thresholds), the model may be subject to regulatory challenge.</w:t>
      </w:r>
    </w:p>
    <w:p w14:paraId="1AC3A05D" w14:textId="77777777" w:rsidR="00EF18E9" w:rsidRDefault="00EF18E9">
      <w:pPr>
        <w:spacing w:after="140"/>
      </w:pPr>
    </w:p>
    <w:p w14:paraId="5DEBC3A2" w14:textId="5FD6EC39" w:rsidR="00EF18E9" w:rsidRDefault="009907F7">
      <w:pPr>
        <w:pStyle w:val="Heading2"/>
      </w:pPr>
      <w:r>
        <w:t xml:space="preserve">5.3 OSFI E-23 </w:t>
      </w:r>
    </w:p>
    <w:p w14:paraId="38BD125E" w14:textId="77777777" w:rsidR="00EF18E9" w:rsidRDefault="009907F7">
      <w:pPr>
        <w:spacing w:after="140"/>
      </w:pPr>
      <w:r>
        <w:t>OSFI Guideline E-23 (Enterprise-Wide Model Risk Management) is the governing framework for model risk management in Canada. Effective May 2025, E-23 requires all federally regulated financial institutions to establish a comprehensive model risk management framework covering model development, validation, and ongoing monitoring. The principles are substantively the same as OSFI E-23: document your methodology, validate your performance, and monitor for degradation.</w:t>
      </w:r>
    </w:p>
    <w:p w14:paraId="487664EF" w14:textId="77777777" w:rsidR="00EF18E9" w:rsidRDefault="00EF18E9">
      <w:pPr>
        <w:spacing w:after="140"/>
      </w:pPr>
    </w:p>
    <w:p w14:paraId="010AF4ED" w14:textId="77777777" w:rsidR="00EF18E9" w:rsidRDefault="009907F7">
      <w:pPr>
        <w:spacing w:before="120" w:after="50"/>
      </w:pPr>
      <w:r>
        <w:rPr>
          <w:b/>
          <w:bCs/>
          <w:color w:val="CC0000"/>
        </w:rPr>
        <w:t>🎥</w:t>
      </w:r>
      <w:r>
        <w:rPr>
          <w:b/>
          <w:bCs/>
          <w:color w:val="CC0000"/>
        </w:rPr>
        <w:t xml:space="preserve"> Recommended Video Resources</w:t>
      </w:r>
    </w:p>
    <w:p w14:paraId="1C62E23F" w14:textId="77777777" w:rsidR="00EF18E9" w:rsidRDefault="009907F7">
      <w:pPr>
        <w:spacing w:after="45"/>
        <w:ind w:left="360"/>
      </w:pPr>
      <w:r>
        <w:rPr>
          <w:color w:val="CC0000"/>
          <w:sz w:val="20"/>
          <w:szCs w:val="20"/>
        </w:rPr>
        <w:t xml:space="preserve">▶ </w:t>
      </w:r>
      <w:hyperlink r:id="rId33" w:history="1">
        <w:r w:rsidR="00EF18E9">
          <w:rPr>
            <w:rStyle w:val="Hyperlink"/>
            <w:sz w:val="20"/>
            <w:szCs w:val="20"/>
          </w:rPr>
          <w:t>YouTube: Model Risk Management Explained (</w:t>
        </w:r>
        <w:proofErr w:type="spellStart"/>
        <w:r w:rsidR="00EF18E9">
          <w:rPr>
            <w:rStyle w:val="Hyperlink"/>
            <w:sz w:val="20"/>
            <w:szCs w:val="20"/>
          </w:rPr>
          <w:t>QuantUniversity</w:t>
        </w:r>
        <w:proofErr w:type="spellEnd"/>
        <w:r w:rsidR="00EF18E9">
          <w:rPr>
            <w:rStyle w:val="Hyperlink"/>
            <w:sz w:val="20"/>
            <w:szCs w:val="20"/>
          </w:rPr>
          <w:t>)</w:t>
        </w:r>
      </w:hyperlink>
    </w:p>
    <w:p w14:paraId="188E3C91" w14:textId="77777777" w:rsidR="00EF18E9" w:rsidRDefault="009907F7">
      <w:pPr>
        <w:spacing w:after="45"/>
        <w:ind w:left="360"/>
      </w:pPr>
      <w:r>
        <w:rPr>
          <w:color w:val="CC0000"/>
          <w:sz w:val="20"/>
          <w:szCs w:val="20"/>
        </w:rPr>
        <w:t xml:space="preserve">▶ </w:t>
      </w:r>
      <w:hyperlink r:id="rId34" w:history="1">
        <w:r w:rsidR="00EF18E9">
          <w:rPr>
            <w:rStyle w:val="Hyperlink"/>
            <w:sz w:val="20"/>
            <w:szCs w:val="20"/>
          </w:rPr>
          <w:t>YouTube: Fair Lending and Machine Learning (AI Finance)</w:t>
        </w:r>
      </w:hyperlink>
    </w:p>
    <w:p w14:paraId="23B65610" w14:textId="77777777" w:rsidR="00EF18E9" w:rsidRDefault="009907F7">
      <w:pPr>
        <w:spacing w:after="45"/>
        <w:ind w:left="360"/>
      </w:pPr>
      <w:r>
        <w:rPr>
          <w:color w:val="CC0000"/>
          <w:sz w:val="20"/>
          <w:szCs w:val="20"/>
        </w:rPr>
        <w:t xml:space="preserve">▶ </w:t>
      </w:r>
      <w:hyperlink r:id="rId35" w:history="1">
        <w:r w:rsidR="00EF18E9">
          <w:rPr>
            <w:rStyle w:val="Hyperlink"/>
            <w:sz w:val="20"/>
            <w:szCs w:val="20"/>
          </w:rPr>
          <w:t>YouTube: What is Model Validation? (SAS)</w:t>
        </w:r>
      </w:hyperlink>
    </w:p>
    <w:p w14:paraId="25107BAB" w14:textId="77777777" w:rsidR="00EF18E9" w:rsidRDefault="009907F7">
      <w:pPr>
        <w:spacing w:before="120" w:after="50"/>
      </w:pPr>
      <w:r>
        <w:rPr>
          <w:b/>
          <w:bCs/>
          <w:color w:val="1565C0"/>
        </w:rPr>
        <w:t>🌐</w:t>
      </w:r>
      <w:r>
        <w:rPr>
          <w:b/>
          <w:bCs/>
          <w:color w:val="1565C0"/>
        </w:rPr>
        <w:t xml:space="preserve"> Recommended Websites &amp; Reading</w:t>
      </w:r>
    </w:p>
    <w:p w14:paraId="046514C5" w14:textId="77777777" w:rsidR="00EF18E9" w:rsidRDefault="009907F7">
      <w:pPr>
        <w:spacing w:after="45"/>
        <w:ind w:left="360"/>
      </w:pPr>
      <w:r>
        <w:rPr>
          <w:sz w:val="20"/>
          <w:szCs w:val="20"/>
        </w:rPr>
        <w:t>🌐</w:t>
      </w:r>
      <w:r>
        <w:rPr>
          <w:sz w:val="20"/>
          <w:szCs w:val="20"/>
        </w:rPr>
        <w:t xml:space="preserve"> </w:t>
      </w:r>
      <w:hyperlink r:id="rId36" w:history="1">
        <w:r w:rsidR="00EF18E9">
          <w:rPr>
            <w:rStyle w:val="Hyperlink"/>
            <w:sz w:val="20"/>
            <w:szCs w:val="20"/>
          </w:rPr>
          <w:t>OSFI E-23 (Full Text)</w:t>
        </w:r>
      </w:hyperlink>
    </w:p>
    <w:p w14:paraId="34DA89E5" w14:textId="77777777" w:rsidR="00EF18E9" w:rsidRDefault="009907F7">
      <w:pPr>
        <w:spacing w:after="45"/>
        <w:ind w:left="360"/>
      </w:pPr>
      <w:r>
        <w:rPr>
          <w:sz w:val="20"/>
          <w:szCs w:val="20"/>
        </w:rPr>
        <w:t>🌐</w:t>
      </w:r>
      <w:r>
        <w:rPr>
          <w:sz w:val="20"/>
          <w:szCs w:val="20"/>
        </w:rPr>
        <w:t xml:space="preserve"> </w:t>
      </w:r>
      <w:hyperlink r:id="rId37" w:history="1">
        <w:r w:rsidR="00EF18E9">
          <w:rPr>
            <w:rStyle w:val="Hyperlink"/>
            <w:sz w:val="20"/>
            <w:szCs w:val="20"/>
          </w:rPr>
          <w:t>FCAC: Consumer Rights and Responsibilities</w:t>
        </w:r>
      </w:hyperlink>
    </w:p>
    <w:p w14:paraId="3EE8DA7D" w14:textId="77777777" w:rsidR="00EF18E9" w:rsidRDefault="009907F7">
      <w:pPr>
        <w:spacing w:after="45"/>
        <w:ind w:left="360"/>
      </w:pPr>
      <w:r>
        <w:rPr>
          <w:sz w:val="20"/>
          <w:szCs w:val="20"/>
        </w:rPr>
        <w:t>🌐</w:t>
      </w:r>
      <w:r>
        <w:rPr>
          <w:sz w:val="20"/>
          <w:szCs w:val="20"/>
        </w:rPr>
        <w:t xml:space="preserve"> </w:t>
      </w:r>
      <w:hyperlink r:id="rId38" w:history="1">
        <w:r w:rsidR="00EF18E9">
          <w:rPr>
            <w:rStyle w:val="Hyperlink"/>
            <w:sz w:val="20"/>
            <w:szCs w:val="20"/>
          </w:rPr>
          <w:t>OSFI Guideline E-23: Model Risk Management</w:t>
        </w:r>
      </w:hyperlink>
    </w:p>
    <w:p w14:paraId="0612C9C3" w14:textId="77777777" w:rsidR="00EF18E9" w:rsidRDefault="009907F7">
      <w:r>
        <w:br w:type="page"/>
      </w:r>
    </w:p>
    <w:p w14:paraId="19D2FFA1" w14:textId="77777777" w:rsidR="00EF18E9" w:rsidRDefault="009907F7">
      <w:pPr>
        <w:pStyle w:val="Heading1"/>
      </w:pPr>
      <w:r>
        <w:lastRenderedPageBreak/>
        <w:t>6. Understanding the Capstone Dataset Features</w:t>
      </w:r>
    </w:p>
    <w:p w14:paraId="4EA58965" w14:textId="77777777" w:rsidR="00EF18E9" w:rsidRDefault="009907F7">
      <w:pPr>
        <w:spacing w:after="140"/>
      </w:pPr>
      <w:r>
        <w:t>The capstone dataset contains 122 features. Many have cryptic names. This section maps the most important features to the financial concepts you just learned, so you know what each feature means and why it matters for default prediction.</w:t>
      </w:r>
    </w:p>
    <w:p w14:paraId="3F94D397" w14:textId="77777777" w:rsidR="00EF18E9" w:rsidRDefault="00EF18E9">
      <w:pPr>
        <w:spacing w:after="140"/>
      </w:pPr>
    </w:p>
    <w:p w14:paraId="4B8610E9" w14:textId="77777777" w:rsidR="00EF18E9" w:rsidRDefault="009907F7">
      <w:pPr>
        <w:pStyle w:val="Heading2"/>
      </w:pPr>
      <w:r>
        <w:t>6.1 Application Features (application_train.csv)</w:t>
      </w:r>
    </w:p>
    <w:p w14:paraId="7143984D" w14:textId="77777777" w:rsidR="00EF18E9" w:rsidRDefault="009907F7">
      <w:pPr>
        <w:pStyle w:val="ListParagraph"/>
        <w:numPr>
          <w:ilvl w:val="0"/>
          <w:numId w:val="3"/>
        </w:numPr>
        <w:spacing w:after="60"/>
      </w:pPr>
      <w:r>
        <w:t>AMT_INCOME_TOTAL: The applicant's total annual income. Higher income generally means more capacity to repay. However, income alone is not sufficient; what matters is income relative to obligations (DTI).</w:t>
      </w:r>
    </w:p>
    <w:p w14:paraId="4936C41F" w14:textId="77777777" w:rsidR="00EF18E9" w:rsidRDefault="009907F7">
      <w:pPr>
        <w:pStyle w:val="ListParagraph"/>
        <w:numPr>
          <w:ilvl w:val="0"/>
          <w:numId w:val="3"/>
        </w:numPr>
        <w:spacing w:after="60"/>
      </w:pPr>
      <w:r>
        <w:t>AMT_CREDIT: The total credit amount of the loan. This is the amount the borrower is requesting. Larger loans carry more risk because the dollar amount of potential loss is higher.</w:t>
      </w:r>
    </w:p>
    <w:p w14:paraId="550EC6BB" w14:textId="77777777" w:rsidR="00EF18E9" w:rsidRDefault="009907F7">
      <w:pPr>
        <w:pStyle w:val="ListParagraph"/>
        <w:numPr>
          <w:ilvl w:val="0"/>
          <w:numId w:val="3"/>
        </w:numPr>
        <w:spacing w:after="60"/>
      </w:pPr>
      <w:r>
        <w:t>AMT_ANNUITY: The monthly payment amount. This is fixed for installment loans. The ratio AMT_ANNUITY / (AMT_INCOME_TOTAL / 12) approximates the debt-to-income ratio.</w:t>
      </w:r>
    </w:p>
    <w:p w14:paraId="32EADC3C" w14:textId="77777777" w:rsidR="00EF18E9" w:rsidRDefault="009907F7">
      <w:pPr>
        <w:pStyle w:val="ListParagraph"/>
        <w:numPr>
          <w:ilvl w:val="0"/>
          <w:numId w:val="3"/>
        </w:numPr>
        <w:spacing w:after="60"/>
      </w:pPr>
      <w:r>
        <w:t>AMT_GOODS_PRICE: The price of the goods being purchased (for consumer goods loans). AMT_CREDIT / AMT_GOODS_PRICE approximates the loan-to-value ratio.</w:t>
      </w:r>
    </w:p>
    <w:p w14:paraId="770FBDA3" w14:textId="77777777" w:rsidR="00EF18E9" w:rsidRDefault="009907F7">
      <w:pPr>
        <w:pStyle w:val="ListParagraph"/>
        <w:numPr>
          <w:ilvl w:val="0"/>
          <w:numId w:val="3"/>
        </w:numPr>
        <w:spacing w:after="60"/>
      </w:pPr>
      <w:r>
        <w:t>DAYS_BIRTH: The applicant's age in days (negative number, counted backward from application date). Convert to years: age = -DAYS_BIRTH / 365. Younger and older borrowers tend to have higher default rates than middle-aged borrowers.</w:t>
      </w:r>
    </w:p>
    <w:p w14:paraId="31EB203C" w14:textId="77777777" w:rsidR="00EF18E9" w:rsidRDefault="009907F7">
      <w:pPr>
        <w:pStyle w:val="ListParagraph"/>
        <w:numPr>
          <w:ilvl w:val="0"/>
          <w:numId w:val="3"/>
        </w:numPr>
        <w:spacing w:after="60"/>
      </w:pPr>
      <w:r>
        <w:t xml:space="preserve">DAYS_EMPLOYED: Days of employment (negative number). Watch for the sentinel value 365,243 which means unemployed/retired, not 1,000 years of employment. Replace with </w:t>
      </w:r>
      <w:proofErr w:type="spellStart"/>
      <w:r>
        <w:t>NaN</w:t>
      </w:r>
      <w:proofErr w:type="spellEnd"/>
      <w:r>
        <w:t xml:space="preserve"> before analysis.</w:t>
      </w:r>
    </w:p>
    <w:p w14:paraId="244067C1" w14:textId="77777777" w:rsidR="00EF18E9" w:rsidRDefault="009907F7">
      <w:pPr>
        <w:pStyle w:val="ListParagraph"/>
        <w:numPr>
          <w:ilvl w:val="0"/>
          <w:numId w:val="3"/>
        </w:numPr>
        <w:spacing w:after="60"/>
      </w:pPr>
      <w:r>
        <w:t>EXT_SOURCE_1, EXT_SOURCE_2, EXT_SOURCE_3: External credit bureau scores (normalized to 0-1 range). These are the most predictive features in the entire dataset. They represent aggregated credit risk assessments from external agencies.</w:t>
      </w:r>
    </w:p>
    <w:p w14:paraId="55D9154E" w14:textId="77777777" w:rsidR="00EF18E9" w:rsidRDefault="009907F7">
      <w:pPr>
        <w:pStyle w:val="ListParagraph"/>
        <w:numPr>
          <w:ilvl w:val="0"/>
          <w:numId w:val="3"/>
        </w:numPr>
        <w:spacing w:after="60"/>
      </w:pPr>
      <w:r>
        <w:t>NAME_CONTRACT_TYPE: Cash loan vs. revolving loan. These have different risk profiles.</w:t>
      </w:r>
    </w:p>
    <w:p w14:paraId="0413220A" w14:textId="77777777" w:rsidR="00EF18E9" w:rsidRDefault="009907F7">
      <w:pPr>
        <w:pStyle w:val="ListParagraph"/>
        <w:numPr>
          <w:ilvl w:val="0"/>
          <w:numId w:val="3"/>
        </w:numPr>
        <w:spacing w:after="60"/>
      </w:pPr>
      <w:r>
        <w:t>NAME_INCOME_TYPE: Source of income (employed, commercial associate, pensioner, state servant). Income type affects repayment stability.</w:t>
      </w:r>
    </w:p>
    <w:p w14:paraId="6D0D7ECB" w14:textId="77777777" w:rsidR="00EF18E9" w:rsidRDefault="009907F7">
      <w:pPr>
        <w:pStyle w:val="ListParagraph"/>
        <w:numPr>
          <w:ilvl w:val="0"/>
          <w:numId w:val="3"/>
        </w:numPr>
        <w:spacing w:after="60"/>
      </w:pPr>
      <w:r>
        <w:t>NAME_EDUCATION_TYPE: Education level. Higher education correlates with higher income and more stable employment, both of which reduce default risk.</w:t>
      </w:r>
    </w:p>
    <w:p w14:paraId="39C6358C" w14:textId="77777777" w:rsidR="00EF18E9" w:rsidRDefault="009907F7">
      <w:pPr>
        <w:pStyle w:val="ListParagraph"/>
        <w:numPr>
          <w:ilvl w:val="0"/>
          <w:numId w:val="3"/>
        </w:numPr>
        <w:spacing w:after="60"/>
      </w:pPr>
      <w:r>
        <w:t>OCCUPATION_TYPE: The applicant's occupation. Some occupations have higher default rates due to income volatility or industry-specific risk.</w:t>
      </w:r>
    </w:p>
    <w:p w14:paraId="040102D2" w14:textId="77777777" w:rsidR="00EF18E9" w:rsidRDefault="009907F7">
      <w:pPr>
        <w:pStyle w:val="ListParagraph"/>
        <w:numPr>
          <w:ilvl w:val="0"/>
          <w:numId w:val="3"/>
        </w:numPr>
        <w:spacing w:after="60"/>
      </w:pPr>
      <w:r>
        <w:t>CNT_FAM_MEMBERS: Number of family members. More dependents mean more financial obligations.</w:t>
      </w:r>
    </w:p>
    <w:p w14:paraId="35D5E64A" w14:textId="77777777" w:rsidR="00EF18E9" w:rsidRDefault="00EF18E9">
      <w:pPr>
        <w:spacing w:after="140"/>
      </w:pPr>
    </w:p>
    <w:p w14:paraId="69F080F8" w14:textId="77777777" w:rsidR="00EF18E9" w:rsidRDefault="009907F7">
      <w:pPr>
        <w:pStyle w:val="Heading2"/>
      </w:pPr>
      <w:r>
        <w:t>6.2 Bureau Features (bureau.csv)</w:t>
      </w:r>
    </w:p>
    <w:p w14:paraId="4A908D00" w14:textId="77777777" w:rsidR="00EF18E9" w:rsidRDefault="009907F7">
      <w:pPr>
        <w:spacing w:after="140"/>
      </w:pPr>
      <w:r>
        <w:t>Each row is a historical credit account for one applicant. Aggregate to the applicant level before merging:</w:t>
      </w:r>
    </w:p>
    <w:p w14:paraId="267E09D9" w14:textId="77777777" w:rsidR="00EF18E9" w:rsidRDefault="009907F7">
      <w:pPr>
        <w:pStyle w:val="ListParagraph"/>
        <w:numPr>
          <w:ilvl w:val="0"/>
          <w:numId w:val="3"/>
        </w:numPr>
        <w:spacing w:after="60"/>
      </w:pPr>
      <w:r>
        <w:t>Count of records: How many previous credit accounts does the applicant have? More accounts generally indicate more credit experience.</w:t>
      </w:r>
    </w:p>
    <w:p w14:paraId="4C4CA34C" w14:textId="77777777" w:rsidR="00EF18E9" w:rsidRDefault="009907F7">
      <w:pPr>
        <w:pStyle w:val="ListParagraph"/>
        <w:numPr>
          <w:ilvl w:val="0"/>
          <w:numId w:val="3"/>
        </w:numPr>
        <w:spacing w:after="60"/>
      </w:pPr>
      <w:r>
        <w:lastRenderedPageBreak/>
        <w:t>Count of active accounts: How many accounts are currently open? Many open accounts can indicate either mature credit management or overextension.</w:t>
      </w:r>
    </w:p>
    <w:p w14:paraId="33216FCE" w14:textId="77777777" w:rsidR="00EF18E9" w:rsidRDefault="009907F7">
      <w:pPr>
        <w:pStyle w:val="ListParagraph"/>
        <w:numPr>
          <w:ilvl w:val="0"/>
          <w:numId w:val="3"/>
        </w:numPr>
        <w:spacing w:after="60"/>
      </w:pPr>
      <w:r>
        <w:t>Maximum overdue amount: The worst behavior across all accounts. Even a single instance of significant overdue amount is a strong negative signal.</w:t>
      </w:r>
    </w:p>
    <w:p w14:paraId="24CAF978" w14:textId="77777777" w:rsidR="00EF18E9" w:rsidRDefault="009907F7">
      <w:pPr>
        <w:pStyle w:val="ListParagraph"/>
        <w:numPr>
          <w:ilvl w:val="0"/>
          <w:numId w:val="3"/>
        </w:numPr>
        <w:spacing w:after="60"/>
      </w:pPr>
      <w:r>
        <w:t>Mean credit amount: The typical size of the applicant's previous credit accounts. Borrowers who have successfully managed large credits in the past may be lower risk for current credit.</w:t>
      </w:r>
    </w:p>
    <w:p w14:paraId="19D13CF3" w14:textId="77777777" w:rsidR="00EF18E9" w:rsidRDefault="00EF18E9">
      <w:pPr>
        <w:spacing w:after="140"/>
      </w:pPr>
    </w:p>
    <w:p w14:paraId="0B1BED47" w14:textId="77777777" w:rsidR="00EF18E9" w:rsidRDefault="009907F7">
      <w:pPr>
        <w:pStyle w:val="Heading2"/>
      </w:pPr>
      <w:r>
        <w:t>6.3 Other Tables (for Advanced Feature Engineering)</w:t>
      </w:r>
    </w:p>
    <w:p w14:paraId="496A7CB5" w14:textId="77777777" w:rsidR="00EF18E9" w:rsidRDefault="009907F7">
      <w:pPr>
        <w:spacing w:after="140"/>
      </w:pPr>
      <w:r>
        <w:t>The dataset includes five additional tables that contain transactional detail:</w:t>
      </w:r>
    </w:p>
    <w:p w14:paraId="153F0346" w14:textId="77777777" w:rsidR="00EF18E9" w:rsidRDefault="009907F7">
      <w:pPr>
        <w:pStyle w:val="ListParagraph"/>
        <w:numPr>
          <w:ilvl w:val="0"/>
          <w:numId w:val="3"/>
        </w:numPr>
        <w:spacing w:after="60"/>
      </w:pPr>
      <w:r>
        <w:t>previous_application.csv: Previous loan applications by the same applicant. Whether previous applications were approved, refused, or cancelled provides signal about the applicant's relationship with the institution.</w:t>
      </w:r>
    </w:p>
    <w:p w14:paraId="2D6D4DE7" w14:textId="77777777" w:rsidR="00EF18E9" w:rsidRDefault="009907F7">
      <w:pPr>
        <w:pStyle w:val="ListParagraph"/>
        <w:numPr>
          <w:ilvl w:val="0"/>
          <w:numId w:val="3"/>
        </w:numPr>
        <w:spacing w:after="60"/>
      </w:pPr>
      <w:r>
        <w:t>installments_payments.csv: Payment history on previous loans. Whether the applicant paid on time, early, or late is one of the strongest behavioral signals.</w:t>
      </w:r>
    </w:p>
    <w:p w14:paraId="5552569B" w14:textId="77777777" w:rsidR="00EF18E9" w:rsidRDefault="009907F7">
      <w:pPr>
        <w:pStyle w:val="ListParagraph"/>
        <w:numPr>
          <w:ilvl w:val="0"/>
          <w:numId w:val="3"/>
        </w:numPr>
        <w:spacing w:after="60"/>
      </w:pPr>
      <w:r>
        <w:t>credit_card_balance.csv: Monthly credit card statements. Tracks balance, payments, and utilization over time for revolving credit accounts.</w:t>
      </w:r>
    </w:p>
    <w:p w14:paraId="52D16148" w14:textId="77777777" w:rsidR="00EF18E9" w:rsidRDefault="009907F7">
      <w:pPr>
        <w:pStyle w:val="ListParagraph"/>
        <w:numPr>
          <w:ilvl w:val="0"/>
          <w:numId w:val="3"/>
        </w:numPr>
        <w:spacing w:after="60"/>
      </w:pPr>
      <w:r>
        <w:t>POS_CASH_balance.csv: Monthly balance snapshots for point-of-sale and cash loans.</w:t>
      </w:r>
    </w:p>
    <w:p w14:paraId="458DF35A" w14:textId="77777777" w:rsidR="00EF18E9" w:rsidRDefault="009907F7">
      <w:pPr>
        <w:pStyle w:val="ListParagraph"/>
        <w:numPr>
          <w:ilvl w:val="0"/>
          <w:numId w:val="3"/>
        </w:numPr>
        <w:spacing w:after="60"/>
      </w:pPr>
      <w:r>
        <w:t>bureau_balance.csv: Monthly balance and status updates for accounts in the credit bureau file.</w:t>
      </w:r>
    </w:p>
    <w:p w14:paraId="71BDA89F" w14:textId="77777777" w:rsidR="00EF18E9" w:rsidRDefault="00EF18E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18E9" w14:paraId="5AB5C9F8"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3FACF4E" w14:textId="77777777" w:rsidR="00EF18E9" w:rsidRDefault="009907F7">
            <w:pPr>
              <w:spacing w:after="80"/>
            </w:pPr>
            <w:r>
              <w:rPr>
                <w:b/>
                <w:bCs/>
                <w:color w:val="E65100"/>
              </w:rPr>
              <w:t>💡</w:t>
            </w:r>
            <w:r>
              <w:rPr>
                <w:b/>
                <w:bCs/>
                <w:color w:val="E65100"/>
              </w:rPr>
              <w:t xml:space="preserve"> Feature Engineering Tips from a Finance Perspective</w:t>
            </w:r>
          </w:p>
          <w:p w14:paraId="17EF9A69" w14:textId="77777777" w:rsidR="00EF18E9" w:rsidRDefault="009907F7">
            <w:pPr>
              <w:spacing w:after="55"/>
            </w:pPr>
            <w:r>
              <w:rPr>
                <w:sz w:val="20"/>
                <w:szCs w:val="20"/>
              </w:rPr>
              <w:t>The EXT_SOURCE features are pre-computed credit scores. Combining them (mean, product, max, min) often adds 1-2 AUROC points because each score may capture different risk dimensions.</w:t>
            </w:r>
          </w:p>
          <w:p w14:paraId="5E037506" w14:textId="77777777" w:rsidR="00EF18E9" w:rsidRDefault="009907F7">
            <w:pPr>
              <w:spacing w:after="55"/>
            </w:pPr>
            <w:r>
              <w:rPr>
                <w:sz w:val="20"/>
                <w:szCs w:val="20"/>
              </w:rPr>
              <w:t>Payment behavior on previous loans (from installments_payments.csv) is the strongest behavioral predictor. Late payments on previous loans strongly predict default on the current loan.</w:t>
            </w:r>
          </w:p>
          <w:p w14:paraId="45AD60F0" w14:textId="77777777" w:rsidR="00EF18E9" w:rsidRDefault="009907F7">
            <w:pPr>
              <w:spacing w:after="55"/>
            </w:pPr>
            <w:r>
              <w:rPr>
                <w:sz w:val="20"/>
                <w:szCs w:val="20"/>
              </w:rPr>
              <w:t xml:space="preserve">DAYS_EMPLOYED sentinel (365,243) must be replaced with </w:t>
            </w:r>
            <w:proofErr w:type="spellStart"/>
            <w:r>
              <w:rPr>
                <w:sz w:val="20"/>
                <w:szCs w:val="20"/>
              </w:rPr>
              <w:t>NaN</w:t>
            </w:r>
            <w:proofErr w:type="spellEnd"/>
            <w:r>
              <w:rPr>
                <w:sz w:val="20"/>
                <w:szCs w:val="20"/>
              </w:rPr>
              <w:t>. It represents unemployed/retired applicants, not extremely long employment.</w:t>
            </w:r>
          </w:p>
          <w:p w14:paraId="276CB766" w14:textId="77777777" w:rsidR="00EF18E9" w:rsidRDefault="009907F7">
            <w:pPr>
              <w:spacing w:after="55"/>
            </w:pPr>
            <w:r>
              <w:rPr>
                <w:sz w:val="20"/>
                <w:szCs w:val="20"/>
              </w:rPr>
              <w:t>DAYS_BIRTH should be converted to positive age in years for interpretability.</w:t>
            </w:r>
          </w:p>
          <w:p w14:paraId="10C4803A" w14:textId="77777777" w:rsidR="00EF18E9" w:rsidRDefault="009907F7">
            <w:pPr>
              <w:spacing w:after="55"/>
            </w:pPr>
            <w:r>
              <w:rPr>
                <w:sz w:val="20"/>
                <w:szCs w:val="20"/>
              </w:rPr>
              <w:t>Ratio features (credit/income, annuity/income, credit/goods price) are almost always more predictive than raw amounts because they normalize for borrower scale.</w:t>
            </w:r>
          </w:p>
          <w:p w14:paraId="5D77DF13" w14:textId="77777777" w:rsidR="00EF18E9" w:rsidRDefault="009907F7">
            <w:pPr>
              <w:spacing w:after="55"/>
            </w:pPr>
            <w:r>
              <w:rPr>
                <w:sz w:val="20"/>
                <w:szCs w:val="20"/>
              </w:rPr>
              <w:t>Features from related tables must be aggregated to the applicant level BEFORE merging. If you merge without aggregating, you create duplicate rows that bias your model.</w:t>
            </w:r>
          </w:p>
        </w:tc>
      </w:tr>
    </w:tbl>
    <w:p w14:paraId="0B1228C8" w14:textId="77777777" w:rsidR="00EF18E9" w:rsidRDefault="009907F7">
      <w:r>
        <w:br w:type="page"/>
      </w:r>
    </w:p>
    <w:p w14:paraId="52B33388" w14:textId="77777777" w:rsidR="00EF18E9" w:rsidRDefault="009907F7">
      <w:pPr>
        <w:pStyle w:val="Heading1"/>
      </w:pPr>
      <w:r>
        <w:lastRenderedPageBreak/>
        <w:t>Recommended Resources for Further Learning</w:t>
      </w:r>
    </w:p>
    <w:p w14:paraId="3FCCCF0F" w14:textId="77777777" w:rsidR="00EF18E9" w:rsidRDefault="00EF18E9">
      <w:pPr>
        <w:spacing w:after="140"/>
      </w:pPr>
    </w:p>
    <w:p w14:paraId="2F304672" w14:textId="77777777" w:rsidR="00EF18E9" w:rsidRDefault="009907F7">
      <w:pPr>
        <w:pStyle w:val="Heading2"/>
      </w:pPr>
      <w:r>
        <w:t>Books</w:t>
      </w:r>
    </w:p>
    <w:p w14:paraId="6A0B4EA4" w14:textId="77777777" w:rsidR="00EF18E9" w:rsidRDefault="009907F7">
      <w:pPr>
        <w:pStyle w:val="ListParagraph"/>
        <w:numPr>
          <w:ilvl w:val="0"/>
          <w:numId w:val="3"/>
        </w:numPr>
        <w:spacing w:after="60"/>
      </w:pPr>
      <w:r>
        <w:t>Credit Risk Scorecard: Developing and Implementing Intelligent Credit Scoring, by Naeem Siddiqi (Wiley). The industry standard textbook on credit scoring methodology.</w:t>
      </w:r>
    </w:p>
    <w:p w14:paraId="4ED4D181" w14:textId="77777777" w:rsidR="00EF18E9" w:rsidRDefault="009907F7">
      <w:pPr>
        <w:pStyle w:val="ListParagraph"/>
        <w:numPr>
          <w:ilvl w:val="0"/>
          <w:numId w:val="3"/>
        </w:numPr>
        <w:spacing w:after="60"/>
      </w:pPr>
      <w:r>
        <w:t>Advances in Financial Machine Learning, by Marcos Lopez de Prado (Wiley). Covers ML pitfalls specific to financial data.</w:t>
      </w:r>
    </w:p>
    <w:p w14:paraId="5576193B" w14:textId="77777777" w:rsidR="00EF18E9" w:rsidRDefault="009907F7">
      <w:pPr>
        <w:pStyle w:val="ListParagraph"/>
        <w:numPr>
          <w:ilvl w:val="0"/>
          <w:numId w:val="3"/>
        </w:numPr>
        <w:spacing w:after="60"/>
      </w:pPr>
      <w:r>
        <w:t xml:space="preserve">An Introduction to Credit Risk Modeling, by Lore and </w:t>
      </w:r>
      <w:proofErr w:type="spellStart"/>
      <w:r>
        <w:t>Borodovsky</w:t>
      </w:r>
      <w:proofErr w:type="spellEnd"/>
      <w:r>
        <w:t xml:space="preserve"> (Chapman &amp; Hall). Accessible introduction to credit risk concepts.</w:t>
      </w:r>
    </w:p>
    <w:p w14:paraId="2EB2BE55" w14:textId="77777777" w:rsidR="00EF18E9" w:rsidRDefault="00EF18E9">
      <w:pPr>
        <w:spacing w:after="140"/>
      </w:pPr>
    </w:p>
    <w:p w14:paraId="1A3C8AD0" w14:textId="77777777" w:rsidR="00EF18E9" w:rsidRDefault="009907F7">
      <w:pPr>
        <w:pStyle w:val="Heading2"/>
      </w:pPr>
      <w:r>
        <w:t>Online Courses</w:t>
      </w:r>
    </w:p>
    <w:p w14:paraId="1FA60F6D" w14:textId="77777777" w:rsidR="00EF18E9" w:rsidRDefault="009907F7">
      <w:pPr>
        <w:spacing w:after="45"/>
        <w:ind w:left="360"/>
      </w:pPr>
      <w:r>
        <w:rPr>
          <w:color w:val="CC0000"/>
          <w:sz w:val="20"/>
          <w:szCs w:val="20"/>
        </w:rPr>
        <w:t xml:space="preserve">▶ </w:t>
      </w:r>
      <w:hyperlink r:id="rId39" w:history="1">
        <w:r w:rsidR="00EF18E9">
          <w:rPr>
            <w:rStyle w:val="Hyperlink"/>
            <w:sz w:val="20"/>
            <w:szCs w:val="20"/>
          </w:rPr>
          <w:t>LinkedIn Learning: Financial Literacy: Managing Personal Cash Flow</w:t>
        </w:r>
      </w:hyperlink>
    </w:p>
    <w:p w14:paraId="40AA9579" w14:textId="77777777" w:rsidR="00EF18E9" w:rsidRDefault="009907F7">
      <w:pPr>
        <w:spacing w:after="45"/>
        <w:ind w:left="360"/>
      </w:pPr>
      <w:r>
        <w:rPr>
          <w:color w:val="CC0000"/>
          <w:sz w:val="20"/>
          <w:szCs w:val="20"/>
        </w:rPr>
        <w:t xml:space="preserve">▶ </w:t>
      </w:r>
      <w:hyperlink r:id="rId40" w:history="1">
        <w:r w:rsidR="00EF18E9">
          <w:rPr>
            <w:rStyle w:val="Hyperlink"/>
            <w:sz w:val="20"/>
            <w:szCs w:val="20"/>
          </w:rPr>
          <w:t>LinkedIn Learning: Finance Foundations</w:t>
        </w:r>
      </w:hyperlink>
    </w:p>
    <w:p w14:paraId="6B352ABB" w14:textId="77777777" w:rsidR="00EF18E9" w:rsidRDefault="009907F7">
      <w:pPr>
        <w:spacing w:after="45"/>
        <w:ind w:left="360"/>
      </w:pPr>
      <w:r>
        <w:rPr>
          <w:color w:val="CC0000"/>
          <w:sz w:val="20"/>
          <w:szCs w:val="20"/>
        </w:rPr>
        <w:t xml:space="preserve">▶ </w:t>
      </w:r>
      <w:hyperlink r:id="rId41" w:history="1">
        <w:r w:rsidR="00EF18E9">
          <w:rPr>
            <w:rStyle w:val="Hyperlink"/>
            <w:sz w:val="20"/>
            <w:szCs w:val="20"/>
          </w:rPr>
          <w:t>Coursera: Financial Markets (Yale, Robert Shiller)</w:t>
        </w:r>
      </w:hyperlink>
    </w:p>
    <w:p w14:paraId="71B537B9" w14:textId="77777777" w:rsidR="00EF18E9" w:rsidRDefault="009907F7">
      <w:pPr>
        <w:spacing w:after="45"/>
        <w:ind w:left="360"/>
      </w:pPr>
      <w:r>
        <w:rPr>
          <w:color w:val="CC0000"/>
          <w:sz w:val="20"/>
          <w:szCs w:val="20"/>
        </w:rPr>
        <w:t xml:space="preserve">▶ </w:t>
      </w:r>
      <w:hyperlink r:id="rId42" w:history="1">
        <w:r w:rsidR="00EF18E9">
          <w:rPr>
            <w:rStyle w:val="Hyperlink"/>
            <w:sz w:val="20"/>
            <w:szCs w:val="20"/>
          </w:rPr>
          <w:t>Khan Academy: Finance and Capital Markets (free)</w:t>
        </w:r>
      </w:hyperlink>
    </w:p>
    <w:p w14:paraId="5027B4B5" w14:textId="77777777" w:rsidR="00EF18E9" w:rsidRDefault="00EF18E9">
      <w:pPr>
        <w:spacing w:after="140"/>
      </w:pPr>
    </w:p>
    <w:p w14:paraId="1E4C7160" w14:textId="77777777" w:rsidR="00EF18E9" w:rsidRDefault="009907F7">
      <w:pPr>
        <w:pStyle w:val="Heading2"/>
      </w:pPr>
      <w:r>
        <w:t>Websites</w:t>
      </w:r>
    </w:p>
    <w:p w14:paraId="75A63FBF" w14:textId="77777777" w:rsidR="00EF18E9" w:rsidRDefault="009907F7">
      <w:pPr>
        <w:spacing w:after="45"/>
        <w:ind w:left="360"/>
      </w:pPr>
      <w:r>
        <w:rPr>
          <w:sz w:val="20"/>
          <w:szCs w:val="20"/>
        </w:rPr>
        <w:t>🌐</w:t>
      </w:r>
      <w:r>
        <w:rPr>
          <w:sz w:val="20"/>
          <w:szCs w:val="20"/>
        </w:rPr>
        <w:t xml:space="preserve"> </w:t>
      </w:r>
      <w:hyperlink r:id="rId43" w:history="1">
        <w:r w:rsidR="00EF18E9">
          <w:rPr>
            <w:rStyle w:val="Hyperlink"/>
            <w:sz w:val="20"/>
            <w:szCs w:val="20"/>
          </w:rPr>
          <w:t>Investopedia: Complete Dictionary of Financial Terms</w:t>
        </w:r>
      </w:hyperlink>
    </w:p>
    <w:p w14:paraId="05E8745B" w14:textId="77777777" w:rsidR="00EF18E9" w:rsidRDefault="009907F7">
      <w:pPr>
        <w:spacing w:after="45"/>
        <w:ind w:left="360"/>
      </w:pPr>
      <w:r>
        <w:rPr>
          <w:sz w:val="20"/>
          <w:szCs w:val="20"/>
        </w:rPr>
        <w:t>🌐</w:t>
      </w:r>
      <w:r>
        <w:rPr>
          <w:sz w:val="20"/>
          <w:szCs w:val="20"/>
        </w:rPr>
        <w:t xml:space="preserve"> </w:t>
      </w:r>
      <w:hyperlink r:id="rId44" w:history="1">
        <w:r w:rsidR="00EF18E9">
          <w:rPr>
            <w:rStyle w:val="Hyperlink"/>
            <w:sz w:val="20"/>
            <w:szCs w:val="20"/>
          </w:rPr>
          <w:t>Khan Academy: Money, Banking and OSFI</w:t>
        </w:r>
      </w:hyperlink>
    </w:p>
    <w:p w14:paraId="41C4852D" w14:textId="77777777" w:rsidR="00EF18E9" w:rsidRDefault="009907F7">
      <w:pPr>
        <w:spacing w:after="45"/>
        <w:ind w:left="360"/>
      </w:pPr>
      <w:r>
        <w:rPr>
          <w:sz w:val="20"/>
          <w:szCs w:val="20"/>
        </w:rPr>
        <w:t>🌐</w:t>
      </w:r>
      <w:r>
        <w:rPr>
          <w:sz w:val="20"/>
          <w:szCs w:val="20"/>
        </w:rPr>
        <w:t xml:space="preserve"> </w:t>
      </w:r>
      <w:hyperlink r:id="rId45" w:history="1">
        <w:r w:rsidR="00EF18E9">
          <w:rPr>
            <w:rStyle w:val="Hyperlink"/>
            <w:sz w:val="20"/>
            <w:szCs w:val="20"/>
          </w:rPr>
          <w:t>FCAC: Understanding Loans and Credit in Canada</w:t>
        </w:r>
      </w:hyperlink>
    </w:p>
    <w:p w14:paraId="2B35D914" w14:textId="77777777" w:rsidR="00EF18E9" w:rsidRDefault="009907F7">
      <w:pPr>
        <w:spacing w:after="45"/>
        <w:ind w:left="360"/>
      </w:pPr>
      <w:r>
        <w:rPr>
          <w:sz w:val="20"/>
          <w:szCs w:val="20"/>
        </w:rPr>
        <w:t>🌐</w:t>
      </w:r>
      <w:r>
        <w:rPr>
          <w:sz w:val="20"/>
          <w:szCs w:val="20"/>
        </w:rPr>
        <w:t xml:space="preserve"> </w:t>
      </w:r>
      <w:hyperlink r:id="rId46" w:history="1">
        <w:r w:rsidR="00EF18E9">
          <w:rPr>
            <w:rStyle w:val="Hyperlink"/>
            <w:sz w:val="20"/>
            <w:szCs w:val="20"/>
          </w:rPr>
          <w:t>OSFI: Supervisory Letters (OSFI E-23 and others)</w:t>
        </w:r>
      </w:hyperlink>
    </w:p>
    <w:p w14:paraId="4BD5A3EA" w14:textId="77777777" w:rsidR="00EF18E9" w:rsidRDefault="009907F7">
      <w:pPr>
        <w:spacing w:after="45"/>
        <w:ind w:left="360"/>
      </w:pPr>
      <w:r>
        <w:rPr>
          <w:sz w:val="20"/>
          <w:szCs w:val="20"/>
        </w:rPr>
        <w:t>🌐</w:t>
      </w:r>
      <w:r>
        <w:rPr>
          <w:sz w:val="20"/>
          <w:szCs w:val="20"/>
        </w:rPr>
        <w:t xml:space="preserve"> </w:t>
      </w:r>
      <w:hyperlink r:id="rId47" w:history="1">
        <w:r w:rsidR="00EF18E9">
          <w:rPr>
            <w:rStyle w:val="Hyperlink"/>
            <w:sz w:val="20"/>
            <w:szCs w:val="20"/>
          </w:rPr>
          <w:t>Kaggle: Credit Default Risk Competition (Kaggle) Discussions</w:t>
        </w:r>
      </w:hyperlink>
    </w:p>
    <w:sectPr w:rsidR="00EF18E9">
      <w:headerReference w:type="default" r:id="rId48"/>
      <w:footerReference w:type="default" r:id="rId4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DAEE9" w14:textId="77777777" w:rsidR="009907F7" w:rsidRDefault="009907F7">
      <w:r>
        <w:separator/>
      </w:r>
    </w:p>
  </w:endnote>
  <w:endnote w:type="continuationSeparator" w:id="0">
    <w:p w14:paraId="2CBDB2F9" w14:textId="77777777" w:rsidR="009907F7" w:rsidRDefault="0099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92AC" w14:textId="77777777" w:rsidR="00EF18E9" w:rsidRDefault="009907F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4414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5627B" w14:textId="77777777" w:rsidR="009907F7" w:rsidRDefault="009907F7">
      <w:r>
        <w:separator/>
      </w:r>
    </w:p>
  </w:footnote>
  <w:footnote w:type="continuationSeparator" w:id="0">
    <w:p w14:paraId="13E0DC16" w14:textId="77777777" w:rsidR="009907F7" w:rsidRDefault="00990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86A4" w14:textId="77777777" w:rsidR="00EF18E9" w:rsidRDefault="009907F7">
    <w:pPr>
      <w:pBdr>
        <w:bottom w:val="single" w:sz="4" w:space="1" w:color="2E75B6"/>
      </w:pBdr>
      <w:tabs>
        <w:tab w:val="right" w:pos="9026"/>
      </w:tabs>
    </w:pPr>
    <w:r>
      <w:rPr>
        <w:i/>
        <w:iCs/>
        <w:color w:val="888888"/>
        <w:sz w:val="18"/>
        <w:szCs w:val="18"/>
      </w:rPr>
      <w:t>Finance Background for ML Engineers</w:t>
    </w:r>
    <w:r>
      <w:rPr>
        <w:i/>
        <w:iCs/>
        <w:color w:val="888888"/>
        <w:sz w:val="18"/>
        <w:szCs w:val="18"/>
      </w:rP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F2834"/>
    <w:multiLevelType w:val="hybridMultilevel"/>
    <w:tmpl w:val="FE827B98"/>
    <w:lvl w:ilvl="0" w:tplc="D4AED202">
      <w:start w:val="1"/>
      <w:numFmt w:val="decimal"/>
      <w:lvlText w:val="%1."/>
      <w:lvlJc w:val="left"/>
      <w:pPr>
        <w:ind w:left="720" w:hanging="360"/>
      </w:pPr>
    </w:lvl>
    <w:lvl w:ilvl="1" w:tplc="23FA76DC">
      <w:numFmt w:val="decimal"/>
      <w:lvlText w:val=""/>
      <w:lvlJc w:val="left"/>
    </w:lvl>
    <w:lvl w:ilvl="2" w:tplc="7BF4A828">
      <w:numFmt w:val="decimal"/>
      <w:lvlText w:val=""/>
      <w:lvlJc w:val="left"/>
    </w:lvl>
    <w:lvl w:ilvl="3" w:tplc="BABC4534">
      <w:numFmt w:val="decimal"/>
      <w:lvlText w:val=""/>
      <w:lvlJc w:val="left"/>
    </w:lvl>
    <w:lvl w:ilvl="4" w:tplc="4BE2B07C">
      <w:numFmt w:val="decimal"/>
      <w:lvlText w:val=""/>
      <w:lvlJc w:val="left"/>
    </w:lvl>
    <w:lvl w:ilvl="5" w:tplc="FF5ABB04">
      <w:numFmt w:val="decimal"/>
      <w:lvlText w:val=""/>
      <w:lvlJc w:val="left"/>
    </w:lvl>
    <w:lvl w:ilvl="6" w:tplc="1686968A">
      <w:numFmt w:val="decimal"/>
      <w:lvlText w:val=""/>
      <w:lvlJc w:val="left"/>
    </w:lvl>
    <w:lvl w:ilvl="7" w:tplc="9496AFF2">
      <w:numFmt w:val="decimal"/>
      <w:lvlText w:val=""/>
      <w:lvlJc w:val="left"/>
    </w:lvl>
    <w:lvl w:ilvl="8" w:tplc="7F288094">
      <w:numFmt w:val="decimal"/>
      <w:lvlText w:val=""/>
      <w:lvlJc w:val="left"/>
    </w:lvl>
  </w:abstractNum>
  <w:abstractNum w:abstractNumId="1" w15:restartNumberingAfterBreak="0">
    <w:nsid w:val="36FA53E2"/>
    <w:multiLevelType w:val="hybridMultilevel"/>
    <w:tmpl w:val="75E2CB6A"/>
    <w:lvl w:ilvl="0" w:tplc="426ED496">
      <w:start w:val="1"/>
      <w:numFmt w:val="bullet"/>
      <w:lvlText w:val="●"/>
      <w:lvlJc w:val="left"/>
      <w:pPr>
        <w:ind w:left="720" w:hanging="360"/>
      </w:pPr>
    </w:lvl>
    <w:lvl w:ilvl="1" w:tplc="3E1630EC">
      <w:start w:val="1"/>
      <w:numFmt w:val="bullet"/>
      <w:lvlText w:val="○"/>
      <w:lvlJc w:val="left"/>
      <w:pPr>
        <w:ind w:left="1440" w:hanging="360"/>
      </w:pPr>
    </w:lvl>
    <w:lvl w:ilvl="2" w:tplc="1926298C">
      <w:start w:val="1"/>
      <w:numFmt w:val="bullet"/>
      <w:lvlText w:val="■"/>
      <w:lvlJc w:val="left"/>
      <w:pPr>
        <w:ind w:left="2160" w:hanging="360"/>
      </w:pPr>
    </w:lvl>
    <w:lvl w:ilvl="3" w:tplc="26B6A258">
      <w:start w:val="1"/>
      <w:numFmt w:val="bullet"/>
      <w:lvlText w:val="●"/>
      <w:lvlJc w:val="left"/>
      <w:pPr>
        <w:ind w:left="2880" w:hanging="360"/>
      </w:pPr>
    </w:lvl>
    <w:lvl w:ilvl="4" w:tplc="8A9855BA">
      <w:start w:val="1"/>
      <w:numFmt w:val="bullet"/>
      <w:lvlText w:val="○"/>
      <w:lvlJc w:val="left"/>
      <w:pPr>
        <w:ind w:left="3600" w:hanging="360"/>
      </w:pPr>
    </w:lvl>
    <w:lvl w:ilvl="5" w:tplc="2FCCEE1C">
      <w:start w:val="1"/>
      <w:numFmt w:val="bullet"/>
      <w:lvlText w:val="■"/>
      <w:lvlJc w:val="left"/>
      <w:pPr>
        <w:ind w:left="4320" w:hanging="360"/>
      </w:pPr>
    </w:lvl>
    <w:lvl w:ilvl="6" w:tplc="318082C2">
      <w:start w:val="1"/>
      <w:numFmt w:val="bullet"/>
      <w:lvlText w:val="●"/>
      <w:lvlJc w:val="left"/>
      <w:pPr>
        <w:ind w:left="5040" w:hanging="360"/>
      </w:pPr>
    </w:lvl>
    <w:lvl w:ilvl="7" w:tplc="C6705BCA">
      <w:start w:val="1"/>
      <w:numFmt w:val="bullet"/>
      <w:lvlText w:val="●"/>
      <w:lvlJc w:val="left"/>
      <w:pPr>
        <w:ind w:left="5760" w:hanging="360"/>
      </w:pPr>
    </w:lvl>
    <w:lvl w:ilvl="8" w:tplc="C3AC2AA6">
      <w:start w:val="1"/>
      <w:numFmt w:val="bullet"/>
      <w:lvlText w:val="●"/>
      <w:lvlJc w:val="left"/>
      <w:pPr>
        <w:ind w:left="6480" w:hanging="360"/>
      </w:pPr>
    </w:lvl>
  </w:abstractNum>
  <w:abstractNum w:abstractNumId="2" w15:restartNumberingAfterBreak="0">
    <w:nsid w:val="59677FE0"/>
    <w:multiLevelType w:val="hybridMultilevel"/>
    <w:tmpl w:val="20E0A734"/>
    <w:lvl w:ilvl="0" w:tplc="FDAC4BBC">
      <w:start w:val="1"/>
      <w:numFmt w:val="bullet"/>
      <w:lvlText w:val="•"/>
      <w:lvlJc w:val="left"/>
      <w:pPr>
        <w:ind w:left="720" w:hanging="360"/>
      </w:pPr>
    </w:lvl>
    <w:lvl w:ilvl="1" w:tplc="FA4CDCD2">
      <w:numFmt w:val="decimal"/>
      <w:lvlText w:val=""/>
      <w:lvlJc w:val="left"/>
    </w:lvl>
    <w:lvl w:ilvl="2" w:tplc="1E286C38">
      <w:numFmt w:val="decimal"/>
      <w:lvlText w:val=""/>
      <w:lvlJc w:val="left"/>
    </w:lvl>
    <w:lvl w:ilvl="3" w:tplc="079A1D00">
      <w:numFmt w:val="decimal"/>
      <w:lvlText w:val=""/>
      <w:lvlJc w:val="left"/>
    </w:lvl>
    <w:lvl w:ilvl="4" w:tplc="F17849C6">
      <w:numFmt w:val="decimal"/>
      <w:lvlText w:val=""/>
      <w:lvlJc w:val="left"/>
    </w:lvl>
    <w:lvl w:ilvl="5" w:tplc="83364942">
      <w:numFmt w:val="decimal"/>
      <w:lvlText w:val=""/>
      <w:lvlJc w:val="left"/>
    </w:lvl>
    <w:lvl w:ilvl="6" w:tplc="D3B4341A">
      <w:numFmt w:val="decimal"/>
      <w:lvlText w:val=""/>
      <w:lvlJc w:val="left"/>
    </w:lvl>
    <w:lvl w:ilvl="7" w:tplc="48A07C20">
      <w:numFmt w:val="decimal"/>
      <w:lvlText w:val=""/>
      <w:lvlJc w:val="left"/>
    </w:lvl>
    <w:lvl w:ilvl="8" w:tplc="74EA8F04">
      <w:numFmt w:val="decimal"/>
      <w:lvlText w:val=""/>
      <w:lvlJc w:val="left"/>
    </w:lvl>
  </w:abstractNum>
  <w:num w:numId="1" w16cid:durableId="1715078345">
    <w:abstractNumId w:val="1"/>
    <w:lvlOverride w:ilvl="0">
      <w:startOverride w:val="1"/>
    </w:lvlOverride>
  </w:num>
  <w:num w:numId="2" w16cid:durableId="525681343">
    <w:abstractNumId w:val="0"/>
    <w:lvlOverride w:ilvl="0">
      <w:startOverride w:val="1"/>
    </w:lvlOverride>
  </w:num>
  <w:num w:numId="3" w16cid:durableId="1620913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8E9"/>
    <w:rsid w:val="0014414B"/>
    <w:rsid w:val="00412D3F"/>
    <w:rsid w:val="007637DD"/>
    <w:rsid w:val="009336B4"/>
    <w:rsid w:val="009907F7"/>
    <w:rsid w:val="00A61045"/>
    <w:rsid w:val="00AA5EAE"/>
    <w:rsid w:val="00DF69FF"/>
    <w:rsid w:val="00EF18E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A4A3"/>
  <w15:docId w15:val="{11CBA871-E908-4539-8489-80D045CC6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ankofcanada.ca/rates/indicators/capacity-and-credit-indicators/" TargetMode="External"/><Relationship Id="rId18" Type="http://schemas.openxmlformats.org/officeDocument/2006/relationships/hyperlink" Target="https://www.investopedia.com/terms/d/defaultrate.asp" TargetMode="External"/><Relationship Id="rId26" Type="http://schemas.openxmlformats.org/officeDocument/2006/relationships/hyperlink" Target="https://www.youtube.com/watch?v=gW4gBPDy8fY" TargetMode="External"/><Relationship Id="rId39" Type="http://schemas.openxmlformats.org/officeDocument/2006/relationships/hyperlink" Target="https://www.linkedin.com/learning/financial-literacy-managing-personal-cash-flow" TargetMode="External"/><Relationship Id="rId21" Type="http://schemas.openxmlformats.org/officeDocument/2006/relationships/hyperlink" Target="https://www.youtube.com/watch?v=psD4_qTy0Kw" TargetMode="External"/><Relationship Id="rId34" Type="http://schemas.openxmlformats.org/officeDocument/2006/relationships/hyperlink" Target="https://www.youtube.com/watch?v=gg4IJp32_OU" TargetMode="External"/><Relationship Id="rId42" Type="http://schemas.openxmlformats.org/officeDocument/2006/relationships/hyperlink" Target="https://www.khanacademy.org/economics-finance-domain/core-finance" TargetMode="External"/><Relationship Id="rId47" Type="http://schemas.openxmlformats.org/officeDocument/2006/relationships/hyperlink" Target="https://www.kaggle.com/c/home-credit-default-risk/discussion" TargetMode="External"/><Relationship Id="rId50" Type="http://schemas.openxmlformats.org/officeDocument/2006/relationships/fontTable" Target="fontTable.xml"/><Relationship Id="rId7" Type="http://schemas.openxmlformats.org/officeDocument/2006/relationships/hyperlink" Target="https://www.youtube.com/watch?v=fTTGALaRZoc" TargetMode="External"/><Relationship Id="rId2" Type="http://schemas.openxmlformats.org/officeDocument/2006/relationships/styles" Target="styles.xml"/><Relationship Id="rId16" Type="http://schemas.openxmlformats.org/officeDocument/2006/relationships/hyperlink" Target="https://www.youtube.com/watch?v=e6YV0fDqJEY" TargetMode="External"/><Relationship Id="rId29" Type="http://schemas.openxmlformats.org/officeDocument/2006/relationships/hyperlink" Target="https://www.youtube.com/watch?v=YW1GNpHg5bU" TargetMode="External"/><Relationship Id="rId11" Type="http://schemas.openxmlformats.org/officeDocument/2006/relationships/hyperlink" Target="https://www.investopedia.com/terms/c/credit_score.asp" TargetMode="External"/><Relationship Id="rId24" Type="http://schemas.openxmlformats.org/officeDocument/2006/relationships/hyperlink" Target="https://www.investopedia.com/terms/c/creditbureau.asp" TargetMode="External"/><Relationship Id="rId32" Type="http://schemas.openxmlformats.org/officeDocument/2006/relationships/hyperlink" Target="https://www.investopedia.com/terms/c/chargeoff.asp" TargetMode="External"/><Relationship Id="rId37" Type="http://schemas.openxmlformats.org/officeDocument/2006/relationships/hyperlink" Target="https://www.canada.ca/en/financial-consumer-agency/services/rights-responsibilities.html" TargetMode="External"/><Relationship Id="rId40" Type="http://schemas.openxmlformats.org/officeDocument/2006/relationships/hyperlink" Target="https://www.linkedin.com/learning/finance-foundations" TargetMode="External"/><Relationship Id="rId45" Type="http://schemas.openxmlformats.org/officeDocument/2006/relationships/hyperlink" Target="https://www.canada.ca/en/financial-consumer-agency/services.html" TargetMode="External"/><Relationship Id="rId5" Type="http://schemas.openxmlformats.org/officeDocument/2006/relationships/footnotes" Target="footnotes.xml"/><Relationship Id="rId15" Type="http://schemas.openxmlformats.org/officeDocument/2006/relationships/hyperlink" Target="https://www.youtube.com/watch?v=pDhVs0oB8Ig" TargetMode="External"/><Relationship Id="rId23" Type="http://schemas.openxmlformats.org/officeDocument/2006/relationships/hyperlink" Target="https://www.investopedia.com/articles/pf/10/credit-score-factors.asp" TargetMode="External"/><Relationship Id="rId28" Type="http://schemas.openxmlformats.org/officeDocument/2006/relationships/hyperlink" Target="https://www.youtube.com/watch?v=1tS4B2emxyU" TargetMode="External"/><Relationship Id="rId36" Type="http://schemas.openxmlformats.org/officeDocument/2006/relationships/hyperlink" Target="https://www.osfi-bsif.gc.ca/en/guidance/guidance-library/enterprise-wide-model-risk-management-federally-regulated-financial-institutions" TargetMode="External"/><Relationship Id="rId49" Type="http://schemas.openxmlformats.org/officeDocument/2006/relationships/footer" Target="footer1.xml"/><Relationship Id="rId10" Type="http://schemas.openxmlformats.org/officeDocument/2006/relationships/hyperlink" Target="https://www.linkedin.com/learning/financial-literacy-managing-personal-cash-flow" TargetMode="External"/><Relationship Id="rId19" Type="http://schemas.openxmlformats.org/officeDocument/2006/relationships/hyperlink" Target="https://www.osfi-bsif.gc.ca/en/guidance/guidance-library/credit-risk-management" TargetMode="External"/><Relationship Id="rId31" Type="http://schemas.openxmlformats.org/officeDocument/2006/relationships/hyperlink" Target="https://www.investopedia.com/terms/l/loantovalue.asp" TargetMode="External"/><Relationship Id="rId44" Type="http://schemas.openxmlformats.org/officeDocument/2006/relationships/hyperlink" Target="https://www.khanacademy.org/economics-finance-domain/core-finance" TargetMode="External"/><Relationship Id="rId4" Type="http://schemas.openxmlformats.org/officeDocument/2006/relationships/webSettings" Target="webSettings.xml"/><Relationship Id="rId9" Type="http://schemas.openxmlformats.org/officeDocument/2006/relationships/hyperlink" Target="https://www.youtube.com/watch?v=Coxs2vgisBM" TargetMode="External"/><Relationship Id="rId14" Type="http://schemas.openxmlformats.org/officeDocument/2006/relationships/hyperlink" Target="https://www.youtube.com/watch?v=EJHhaaLOXRs" TargetMode="External"/><Relationship Id="rId22" Type="http://schemas.openxmlformats.org/officeDocument/2006/relationships/hyperlink" Target="https://www.youtube.com/watch?v=stUBj4AguMo" TargetMode="External"/><Relationship Id="rId27" Type="http://schemas.openxmlformats.org/officeDocument/2006/relationships/hyperlink" Target="https://www.youtube.com/watch?v=gD1HUg-njCk" TargetMode="External"/><Relationship Id="rId30" Type="http://schemas.openxmlformats.org/officeDocument/2006/relationships/hyperlink" Target="https://www.investopedia.com/terms/d/dti.asp" TargetMode="External"/><Relationship Id="rId35" Type="http://schemas.openxmlformats.org/officeDocument/2006/relationships/hyperlink" Target="https://www.youtube.com/watch?v=PJNNIgUQ6SE" TargetMode="External"/><Relationship Id="rId43" Type="http://schemas.openxmlformats.org/officeDocument/2006/relationships/hyperlink" Target="https://www.investopedia.com/financial-term-dictionary-4769738" TargetMode="External"/><Relationship Id="rId48" Type="http://schemas.openxmlformats.org/officeDocument/2006/relationships/header" Target="header1.xml"/><Relationship Id="rId8" Type="http://schemas.openxmlformats.org/officeDocument/2006/relationships/hyperlink" Target="https://www.youtube.com/watch?v=PcNGAm2aFJU"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canada.ca/en/financial-consumer-agency/services/credit-reports-score.html" TargetMode="External"/><Relationship Id="rId17" Type="http://schemas.openxmlformats.org/officeDocument/2006/relationships/hyperlink" Target="https://www.investopedia.com/terms/f/five-c-credit.asp" TargetMode="External"/><Relationship Id="rId25" Type="http://schemas.openxmlformats.org/officeDocument/2006/relationships/hyperlink" Target="https://www.myfico.com/credit-education/credit-scores" TargetMode="External"/><Relationship Id="rId33" Type="http://schemas.openxmlformats.org/officeDocument/2006/relationships/hyperlink" Target="https://www.youtube.com/watch?v=MoLzB5d8J0s" TargetMode="External"/><Relationship Id="rId38" Type="http://schemas.openxmlformats.org/officeDocument/2006/relationships/hyperlink" Target="https://www.osfi-bsif.gc.ca/en/guidance/guidance-library/enterprise-wide-model-risk-management-federally-regulated-financial-institutions" TargetMode="External"/><Relationship Id="rId46" Type="http://schemas.openxmlformats.org/officeDocument/2006/relationships/hyperlink" Target="https://www.osfi-bsif.gc.ca/en/guidance/guidance-library/enterprise-wide-model-risk-management-federally-regulated-financial-institutions" TargetMode="External"/><Relationship Id="rId20" Type="http://schemas.openxmlformats.org/officeDocument/2006/relationships/hyperlink" Target="https://www.youtube.com/watch?v=E8oROTzNpc8" TargetMode="External"/><Relationship Id="rId41" Type="http://schemas.openxmlformats.org/officeDocument/2006/relationships/hyperlink" Target="https://www.coursera.org/learn/financial-markets-globa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4319</Words>
  <Characters>24623</Characters>
  <Application>Microsoft Office Word</Application>
  <DocSecurity>0</DocSecurity>
  <Lines>205</Lines>
  <Paragraphs>57</Paragraphs>
  <ScaleCrop>false</ScaleCrop>
  <Company/>
  <LinksUpToDate>false</LinksUpToDate>
  <CharactersWithSpaces>28885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Teresa Zhu</cp:lastModifiedBy>
  <cp:revision>2</cp:revision>
  <dcterms:created xsi:type="dcterms:W3CDTF">2026-03-30T16:10:00Z</dcterms:created>
  <dcterms:modified xsi:type="dcterms:W3CDTF">2026-03-30T16:10:00Z</dcterms:modified>
</cp:coreProperties>
</file>