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left" w:pos="2600"/>
          <w:tab w:val="left" w:pos="5400"/>
        </w:tabs>
        <w:spacing w:after="240"/>
      </w:pPr>
      <w:r>
        <w:rPr>
          <w:b/>
          <w:bCs/>
          <w:i/>
          <w:iCs/>
          <w:sz w:val="28"/>
          <w:szCs w:val="28"/>
        </w:rPr>
        <w:t xml:space="preserve">Assignment III</w:t>
      </w:r>
      <w:r>
        <w:rPr>
          <w:b/>
          <w:bCs/>
          <w:i/>
          <w:iCs/>
          <w:sz w:val="28"/>
          <w:szCs w:val="28"/>
        </w:rPr>
        <w:t xml:space="preserve">	Pharm 610   Fall 2026</w:t>
      </w:r>
      <w:r>
        <w:rPr>
          <w:b/>
          <w:bCs/>
          <w:i/>
          <w:iCs/>
          <w:sz w:val="28"/>
          <w:szCs w:val="28"/>
        </w:rPr>
        <w:t xml:space="preserve">	Name: ________________</w:t>
      </w:r>
    </w:p>
    <w:p>
      <w:pPr>
        <w:pStyle w:val="Heading1"/>
        <w:spacing w:after="120" w:before="240"/>
      </w:pPr>
      <w:r>
        <w:t xml:space="preserve">1. Aggregation number from SLS (6 marks)</w:t>
      </w:r>
    </w:p>
    <w:p>
      <w:pPr>
        <w:spacing w:after="100"/>
      </w:pPr>
      <w:r>
        <w:rPr>
          <w:b/>
          <w:bCs/>
        </w:rPr>
        <w:t xml:space="preserve">Principle.</w:t>
      </w:r>
      <w:r>
        <w:t xml:space="preserve"> For dilute solutions, static light scattering obeys the Zimm/Debye equation. At zero scattering angle (θ → 0) the angular term disappears, leaving:</w:t>
      </w:r>
    </w:p>
    <w:p>
      <w:pPr>
        <w:spacing w:after="120" w:before="60"/>
        <w:jc w:val="center"/>
      </w:pPr>
      <w:r>
        <w:rPr>
          <w:rFonts w:ascii="Cambria Math" w:cs="Cambria Math" w:eastAsia="Cambria Math" w:hAnsi="Cambria Math"/>
        </w:rPr>
        <w:t xml:space="preserve">Kc / R</w:t>
      </w:r>
      <w:r>
        <w:rPr>
          <w:rFonts w:ascii="Cambria Math" w:cs="Cambria Math" w:eastAsia="Cambria Math" w:hAnsi="Cambria Math"/>
          <w:vertAlign w:val="subscript"/>
        </w:rPr>
        <w:t xml:space="preserve">0</w:t>
      </w:r>
      <w:r>
        <w:rPr>
          <w:rFonts w:ascii="Cambria Math" w:cs="Cambria Math" w:eastAsia="Cambria Math" w:hAnsi="Cambria Math"/>
        </w:rPr>
        <w:t xml:space="preserve"> = 1 / M</w:t>
      </w:r>
      <w:r>
        <w:rPr>
          <w:rFonts w:ascii="Cambria Math" w:cs="Cambria Math" w:eastAsia="Cambria Math" w:hAnsi="Cambria Math"/>
          <w:vertAlign w:val="subscript"/>
        </w:rPr>
        <w:t xml:space="preserve">w</w:t>
      </w:r>
      <w:r>
        <w:rPr>
          <w:rFonts w:ascii="Cambria Math" w:cs="Cambria Math" w:eastAsia="Cambria Math" w:hAnsi="Cambria Math"/>
        </w:rPr>
        <w:t xml:space="preserve"> + 2A</w:t>
      </w:r>
      <w:r>
        <w:rPr>
          <w:rFonts w:ascii="Cambria Math" w:cs="Cambria Math" w:eastAsia="Cambria Math" w:hAnsi="Cambria Math"/>
          <w:vertAlign w:val="subscript"/>
        </w:rPr>
        <w:t xml:space="preserve">2</w:t>
      </w:r>
      <w:r>
        <w:rPr>
          <w:rFonts w:ascii="Cambria Math" w:cs="Cambria Math" w:eastAsia="Cambria Math" w:hAnsi="Cambria Math"/>
        </w:rPr>
        <w:t xml:space="preserve">c</w:t>
      </w:r>
    </w:p>
    <w:p>
      <w:pPr>
        <w:spacing w:after="100"/>
      </w:pPr>
      <w:r>
        <w:t xml:space="preserve">A plot of Kc/R</w:t>
      </w:r>
      <w:r>
        <w:rPr>
          <w:vertAlign w:val="subscript"/>
        </w:rPr>
        <w:t xml:space="preserve">0</w:t>
      </w:r>
      <w:r>
        <w:t xml:space="preserve"> against c (Debye plot) is a straight line. The </w:t>
      </w:r>
      <w:r>
        <w:rPr>
          <w:b/>
          <w:bCs/>
        </w:rPr>
        <w:t xml:space="preserve">intercept</w:t>
      </w:r>
      <w:r>
        <w:t xml:space="preserve"> gives 1/M</w:t>
      </w:r>
      <w:r>
        <w:rPr>
          <w:vertAlign w:val="subscript"/>
        </w:rPr>
        <w:t xml:space="preserve">w</w:t>
      </w:r>
      <w:r>
        <w:t xml:space="preserve"> and the </w:t>
      </w:r>
      <w:r>
        <w:rPr>
          <w:b/>
          <w:bCs/>
        </w:rPr>
        <w:t xml:space="preserve">slope</w:t>
      </w:r>
      <w:r>
        <w:t xml:space="preserve"> gives 2A</w:t>
      </w:r>
      <w:r>
        <w:rPr>
          <w:vertAlign w:val="subscript"/>
        </w:rPr>
        <w:t xml:space="preserve">2</w:t>
      </w:r>
      <w:r>
        <w:t xml:space="preserve"> (A</w:t>
      </w:r>
      <w:r>
        <w:rPr>
          <w:vertAlign w:val="subscript"/>
        </w:rPr>
        <w:t xml:space="preserve">2</w:t>
      </w:r>
      <w:r>
        <w:t xml:space="preserve"> = second virial coefficient).</w:t>
      </w:r>
    </w:p>
    <w:p>
      <w:pPr>
        <w:pStyle w:val="Heading2"/>
        <w:spacing w:after="80" w:before="160"/>
      </w:pPr>
      <w:r>
        <w:t xml:space="preserve">Step 1: Debye plot of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Concentration, c (g/L)</w:t>
            </w:r>
          </w:p>
        </w:tc>
        <w:tc>
          <w:tcPr>
            <w:tcW w:type="dxa" w:w="46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Kc/R</w:t>
            </w:r>
            <w:r>
              <w:rPr>
                <w:b/>
                <w:bCs/>
                <w:vertAlign w:val="subscript"/>
              </w:rPr>
              <w:t xml:space="preserve">0</w:t>
            </w:r>
            <w:r>
              <w:rPr>
                <w:b/>
                <w:bCs/>
              </w:rPr>
              <w:t xml:space="preserve"> (mol/g)</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0.5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2.4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1.0</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2.8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3.2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2.0</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3.6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4.0 × 10</w:t>
            </w:r>
            <w:r>
              <w:rPr>
                <w:vertAlign w:val="superscript"/>
              </w:rPr>
              <w:t xml:space="preserve">−6</w:t>
            </w:r>
          </w:p>
        </w:tc>
      </w:tr>
    </w:tbl>
    <w:p>
      <w:pPr>
        <w:spacing w:after="60" w:before="16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190875"/>
                    </a:xfrm>
                    <a:prstGeom prst="rect">
                      <a:avLst/>
                    </a:prstGeom>
                  </pic:spPr>
                </pic:pic>
              </a:graphicData>
            </a:graphic>
          </wp:inline>
        </w:drawing>
      </w:r>
    </w:p>
    <w:p>
      <w:pPr>
        <w:spacing w:after="100"/>
        <w:jc w:val="center"/>
      </w:pPr>
      <w:r>
        <w:rPr>
          <w:i/>
          <w:iCs/>
          <w:sz w:val="20"/>
          <w:szCs w:val="20"/>
        </w:rPr>
        <w:t xml:space="preserve">Figure 1. Debye plot of Kc/R</w:t>
      </w:r>
      <w:r>
        <w:rPr>
          <w:i/>
          <w:iCs/>
          <w:sz w:val="20"/>
          <w:szCs w:val="20"/>
          <w:vertAlign w:val="subscript"/>
        </w:rPr>
        <w:t xml:space="preserve">0</w:t>
      </w:r>
      <w:r>
        <w:rPr>
          <w:i/>
          <w:iCs/>
          <w:sz w:val="20"/>
          <w:szCs w:val="20"/>
        </w:rPr>
        <w:t xml:space="preserve"> vs. c. Linear regression (Excel): y = 8.0 × 10</w:t>
      </w:r>
      <w:r>
        <w:rPr>
          <w:i/>
          <w:iCs/>
          <w:sz w:val="20"/>
          <w:szCs w:val="20"/>
          <w:vertAlign w:val="superscript"/>
        </w:rPr>
        <w:t xml:space="preserve">−7</w:t>
      </w:r>
      <w:r>
        <w:rPr>
          <w:i/>
          <w:iCs/>
          <w:sz w:val="20"/>
          <w:szCs w:val="20"/>
        </w:rPr>
        <w:t xml:space="preserve"> c + 2.0 × 10</w:t>
      </w:r>
      <w:r>
        <w:rPr>
          <w:i/>
          <w:iCs/>
          <w:sz w:val="20"/>
          <w:szCs w:val="20"/>
          <w:vertAlign w:val="superscript"/>
        </w:rPr>
        <w:t xml:space="preserve">−6</w:t>
      </w:r>
      <w:r>
        <w:rPr>
          <w:i/>
          <w:iCs/>
          <w:sz w:val="20"/>
          <w:szCs w:val="20"/>
        </w:rPr>
        <w:t xml:space="preserve">, R</w:t>
      </w:r>
      <w:r>
        <w:rPr>
          <w:i/>
          <w:iCs/>
          <w:sz w:val="20"/>
          <w:szCs w:val="20"/>
          <w:vertAlign w:val="superscript"/>
        </w:rPr>
        <w:t xml:space="preserve">2</w:t>
      </w:r>
      <w:r>
        <w:rPr>
          <w:i/>
          <w:iCs/>
          <w:sz w:val="20"/>
          <w:szCs w:val="20"/>
        </w:rPr>
        <w:t xml:space="preserve"> = 1.000.</w:t>
      </w:r>
    </w:p>
    <w:p>
      <w:pPr>
        <w:pStyle w:val="Heading2"/>
        <w:spacing w:after="80" w:before="160"/>
      </w:pPr>
      <w:r>
        <w:t xml:space="preserve">Step 2: Slope</w:t>
      </w:r>
    </w:p>
    <w:p>
      <w:pPr>
        <w:spacing w:after="120" w:before="60"/>
        <w:jc w:val="center"/>
      </w:pPr>
      <w:r>
        <w:rPr>
          <w:rFonts w:ascii="Cambria Math" w:cs="Cambria Math" w:eastAsia="Cambria Math" w:hAnsi="Cambria Math"/>
        </w:rPr>
        <w:t xml:space="preserve">slope = Δ(Kc/R</w:t>
      </w:r>
      <w:r>
        <w:rPr>
          <w:rFonts w:ascii="Cambria Math" w:cs="Cambria Math" w:eastAsia="Cambria Math" w:hAnsi="Cambria Math"/>
          <w:vertAlign w:val="subscript"/>
        </w:rPr>
        <w:t xml:space="preserve">0</w:t>
      </w:r>
      <w:r>
        <w:rPr>
          <w:rFonts w:ascii="Cambria Math" w:cs="Cambria Math" w:eastAsia="Cambria Math" w:hAnsi="Cambria Math"/>
        </w:rPr>
        <w:t xml:space="preserve">) / Δc = (4.0 − 2.4) × 10</w:t>
      </w:r>
      <w:r>
        <w:rPr>
          <w:rFonts w:ascii="Cambria Math" w:cs="Cambria Math" w:eastAsia="Cambria Math" w:hAnsi="Cambria Math"/>
          <w:vertAlign w:val="superscript"/>
        </w:rPr>
        <w:t xml:space="preserve">−6</w:t>
      </w:r>
      <w:r>
        <w:rPr>
          <w:rFonts w:ascii="Cambria Math" w:cs="Cambria Math" w:eastAsia="Cambria Math" w:hAnsi="Cambria Math"/>
        </w:rPr>
        <w:t xml:space="preserve"> / (2.5 − 0.5) = 1.6 × 10</w:t>
      </w:r>
      <w:r>
        <w:rPr>
          <w:rFonts w:ascii="Cambria Math" w:cs="Cambria Math" w:eastAsia="Cambria Math" w:hAnsi="Cambria Math"/>
          <w:vertAlign w:val="superscript"/>
        </w:rPr>
        <w:t xml:space="preserve">−6</w:t>
      </w:r>
      <w:r>
        <w:rPr>
          <w:rFonts w:ascii="Cambria Math" w:cs="Cambria Math" w:eastAsia="Cambria Math" w:hAnsi="Cambria Math"/>
        </w:rPr>
        <w:t xml:space="preserve"> / 2.0 = 8.0 × 10</w:t>
      </w:r>
      <w:r>
        <w:rPr>
          <w:rFonts w:ascii="Cambria Math" w:cs="Cambria Math" w:eastAsia="Cambria Math" w:hAnsi="Cambria Math"/>
          <w:vertAlign w:val="superscript"/>
        </w:rPr>
        <w:t xml:space="preserve">−7</w:t>
      </w:r>
      <w:r>
        <w:rPr>
          <w:rFonts w:ascii="Cambria Math" w:cs="Cambria Math" w:eastAsia="Cambria Math" w:hAnsi="Cambria Math"/>
        </w:rPr>
        <w:t xml:space="preserve"> mol·L/g</w:t>
      </w:r>
      <w:r>
        <w:rPr>
          <w:rFonts w:ascii="Cambria Math" w:cs="Cambria Math" w:eastAsia="Cambria Math" w:hAnsi="Cambria Math"/>
          <w:vertAlign w:val="superscript"/>
        </w:rPr>
        <w:t xml:space="preserve">2</w:t>
      </w:r>
    </w:p>
    <w:p>
      <w:pPr>
        <w:pStyle w:val="Heading2"/>
        <w:spacing w:after="80" w:before="160"/>
      </w:pPr>
      <w:r>
        <w:t xml:space="preserve">Step 3: Intercept (extrapolate to c = 0)</w:t>
      </w:r>
    </w:p>
    <w:p>
      <w:pPr>
        <w:spacing w:after="120" w:before="60"/>
        <w:jc w:val="center"/>
      </w:pPr>
      <w:r>
        <w:rPr>
          <w:rFonts w:ascii="Cambria Math" w:cs="Cambria Math" w:eastAsia="Cambria Math" w:hAnsi="Cambria Math"/>
        </w:rPr>
        <w:t xml:space="preserve">intercept = 2.4 × 10</w:t>
      </w:r>
      <w:r>
        <w:rPr>
          <w:rFonts w:ascii="Cambria Math" w:cs="Cambria Math" w:eastAsia="Cambria Math" w:hAnsi="Cambria Math"/>
          <w:vertAlign w:val="superscript"/>
        </w:rPr>
        <w:t xml:space="preserve">−6</w:t>
      </w:r>
      <w:r>
        <w:rPr>
          <w:rFonts w:ascii="Cambria Math" w:cs="Cambria Math" w:eastAsia="Cambria Math" w:hAnsi="Cambria Math"/>
        </w:rPr>
        <w:t xml:space="preserve"> − (8.0 × 10</w:t>
      </w:r>
      <w:r>
        <w:rPr>
          <w:rFonts w:ascii="Cambria Math" w:cs="Cambria Math" w:eastAsia="Cambria Math" w:hAnsi="Cambria Math"/>
          <w:vertAlign w:val="superscript"/>
        </w:rPr>
        <w:t xml:space="preserve">−7</w:t>
      </w:r>
      <w:r>
        <w:rPr>
          <w:rFonts w:ascii="Cambria Math" w:cs="Cambria Math" w:eastAsia="Cambria Math" w:hAnsi="Cambria Math"/>
        </w:rPr>
        <w:t xml:space="preserve">)(0.5) = 2.0 × 10</w:t>
      </w:r>
      <w:r>
        <w:rPr>
          <w:rFonts w:ascii="Cambria Math" w:cs="Cambria Math" w:eastAsia="Cambria Math" w:hAnsi="Cambria Math"/>
          <w:vertAlign w:val="superscript"/>
        </w:rPr>
        <w:t xml:space="preserve">−6</w:t>
      </w:r>
      <w:r>
        <w:rPr>
          <w:rFonts w:ascii="Cambria Math" w:cs="Cambria Math" w:eastAsia="Cambria Math" w:hAnsi="Cambria Math"/>
        </w:rPr>
        <w:t xml:space="preserve"> mol/g = 1/M</w:t>
      </w:r>
      <w:r>
        <w:rPr>
          <w:rFonts w:ascii="Cambria Math" w:cs="Cambria Math" w:eastAsia="Cambria Math" w:hAnsi="Cambria Math"/>
          <w:vertAlign w:val="subscript"/>
        </w:rPr>
        <w:t xml:space="preserve">w</w:t>
      </w:r>
    </w:p>
    <w:p>
      <w:pPr>
        <w:pStyle w:val="Heading2"/>
        <w:spacing w:after="80" w:before="160"/>
      </w:pPr>
      <w:r>
        <w:t xml:space="preserve">Step 4: Weight-average molecular weight of the micelle</w:t>
      </w:r>
    </w:p>
    <w:p>
      <w:pPr>
        <w:spacing w:after="120" w:before="60"/>
        <w:jc w:val="center"/>
      </w:pPr>
      <w:r>
        <w:rPr>
          <w:rFonts w:ascii="Cambria Math" w:cs="Cambria Math" w:eastAsia="Cambria Math" w:hAnsi="Cambria Math"/>
        </w:rPr>
        <w:t xml:space="preserve">M</w:t>
      </w:r>
      <w:r>
        <w:rPr>
          <w:rFonts w:ascii="Cambria Math" w:cs="Cambria Math" w:eastAsia="Cambria Math" w:hAnsi="Cambria Math"/>
          <w:vertAlign w:val="subscript"/>
        </w:rPr>
        <w:t xml:space="preserve">w</w:t>
      </w:r>
      <w:r>
        <w:rPr>
          <w:rFonts w:ascii="Cambria Math" w:cs="Cambria Math" w:eastAsia="Cambria Math" w:hAnsi="Cambria Math"/>
        </w:rPr>
        <w:t xml:space="preserve"> = 1 / (2.0 × 10</w:t>
      </w:r>
      <w:r>
        <w:rPr>
          <w:rFonts w:ascii="Cambria Math" w:cs="Cambria Math" w:eastAsia="Cambria Math" w:hAnsi="Cambria Math"/>
          <w:vertAlign w:val="superscript"/>
        </w:rPr>
        <w:t xml:space="preserve">−6</w:t>
      </w:r>
      <w:r>
        <w:rPr>
          <w:rFonts w:ascii="Cambria Math" w:cs="Cambria Math" w:eastAsia="Cambria Math" w:hAnsi="Cambria Math"/>
        </w:rPr>
        <w:t xml:space="preserve"> mol/g) = 5.0 × 10</w:t>
      </w:r>
      <w:r>
        <w:rPr>
          <w:rFonts w:ascii="Cambria Math" w:cs="Cambria Math" w:eastAsia="Cambria Math" w:hAnsi="Cambria Math"/>
          <w:vertAlign w:val="superscript"/>
        </w:rPr>
        <w:t xml:space="preserve">5</w:t>
      </w:r>
      <w:r>
        <w:rPr>
          <w:rFonts w:ascii="Cambria Math" w:cs="Cambria Math" w:eastAsia="Cambria Math" w:hAnsi="Cambria Math"/>
        </w:rPr>
        <w:t xml:space="preserve"> g/mol</w:t>
      </w:r>
    </w:p>
    <w:p>
      <w:pPr>
        <w:pStyle w:val="Heading2"/>
        <w:spacing w:after="80" w:before="160"/>
      </w:pPr>
      <w:r>
        <w:t xml:space="preserve">Step 5: Aggregation number</w:t>
      </w:r>
    </w:p>
    <w:p>
      <w:pPr>
        <w:spacing w:after="120" w:before="60"/>
        <w:jc w:val="center"/>
      </w:pPr>
      <w:r>
        <w:rPr>
          <w:rFonts w:ascii="Cambria Math" w:cs="Cambria Math" w:eastAsia="Cambria Math" w:hAnsi="Cambria Math"/>
        </w:rPr>
        <w:t xml:space="preserve">N</w:t>
      </w:r>
      <w:r>
        <w:rPr>
          <w:rFonts w:ascii="Cambria Math" w:cs="Cambria Math" w:eastAsia="Cambria Math" w:hAnsi="Cambria Math"/>
          <w:vertAlign w:val="subscript"/>
        </w:rPr>
        <w:t xml:space="preserve">agg</w:t>
      </w:r>
      <w:r>
        <w:rPr>
          <w:rFonts w:ascii="Cambria Math" w:cs="Cambria Math" w:eastAsia="Cambria Math" w:hAnsi="Cambria Math"/>
        </w:rPr>
        <w:t xml:space="preserve"> = M</w:t>
      </w:r>
      <w:r>
        <w:rPr>
          <w:rFonts w:ascii="Cambria Math" w:cs="Cambria Math" w:eastAsia="Cambria Math" w:hAnsi="Cambria Math"/>
          <w:vertAlign w:val="subscript"/>
        </w:rPr>
        <w:t xml:space="preserve">w, micelle</w:t>
      </w:r>
      <w:r>
        <w:rPr>
          <w:rFonts w:ascii="Cambria Math" w:cs="Cambria Math" w:eastAsia="Cambria Math" w:hAnsi="Cambria Math"/>
        </w:rPr>
        <w:t xml:space="preserve"> / M</w:t>
      </w:r>
      <w:r>
        <w:rPr>
          <w:rFonts w:ascii="Cambria Math" w:cs="Cambria Math" w:eastAsia="Cambria Math" w:hAnsi="Cambria Math"/>
          <w:vertAlign w:val="subscript"/>
        </w:rPr>
        <w:t xml:space="preserve">unimer</w:t>
      </w:r>
      <w:r>
        <w:rPr>
          <w:rFonts w:ascii="Cambria Math" w:cs="Cambria Math" w:eastAsia="Cambria Math" w:hAnsi="Cambria Math"/>
        </w:rPr>
        <w:t xml:space="preserve"> = (5.0 × 10</w:t>
      </w:r>
      <w:r>
        <w:rPr>
          <w:rFonts w:ascii="Cambria Math" w:cs="Cambria Math" w:eastAsia="Cambria Math" w:hAnsi="Cambria Math"/>
          <w:vertAlign w:val="superscript"/>
        </w:rPr>
        <w:t xml:space="preserve">5</w:t>
      </w:r>
      <w:r>
        <w:rPr>
          <w:rFonts w:ascii="Cambria Math" w:cs="Cambria Math" w:eastAsia="Cambria Math" w:hAnsi="Cambria Math"/>
        </w:rPr>
        <w:t xml:space="preserve"> g/mol) / (5.0 × 10</w:t>
      </w:r>
      <w:r>
        <w:rPr>
          <w:rFonts w:ascii="Cambria Math" w:cs="Cambria Math" w:eastAsia="Cambria Math" w:hAnsi="Cambria Math"/>
          <w:vertAlign w:val="superscript"/>
        </w:rPr>
        <w:t xml:space="preserve">4</w:t>
      </w:r>
      <w:r>
        <w:rPr>
          <w:rFonts w:ascii="Cambria Math" w:cs="Cambria Math" w:eastAsia="Cambria Math" w:hAnsi="Cambria Math"/>
        </w:rPr>
        <w:t xml:space="preserve"> g/mol) = 10</w:t>
      </w:r>
    </w:p>
    <w:p>
      <w:pPr>
        <w:pBdr>
          <w:left w:val="single" w:color="2E75B6" w:sz="18" w:space="6"/>
        </w:pBdr>
        <w:shd w:fill="E8F1FA" w:color="auto" w:val="clear"/>
        <w:spacing w:after="160" w:before="80"/>
      </w:pPr>
      <w:r>
        <w:rPr>
          <w:b/>
          <w:bCs/>
          <w:color w:val="1F4E79"/>
        </w:rPr>
        <w:t xml:space="preserve">Answer: M</w:t>
      </w:r>
      <w:r>
        <w:rPr>
          <w:b/>
          <w:bCs/>
          <w:color w:val="1F4E79"/>
          <w:vertAlign w:val="subscript"/>
        </w:rPr>
        <w:t xml:space="preserve">w</w:t>
      </w:r>
      <w:r>
        <w:rPr>
          <w:b/>
          <w:bCs/>
          <w:color w:val="1F4E79"/>
        </w:rPr>
        <w:t xml:space="preserve"> (micelle) = 5.0 × 10</w:t>
      </w:r>
      <w:r>
        <w:rPr>
          <w:b/>
          <w:bCs/>
          <w:color w:val="1F4E79"/>
          <w:vertAlign w:val="superscript"/>
        </w:rPr>
        <w:t xml:space="preserve">5</w:t>
      </w:r>
      <w:r>
        <w:rPr>
          <w:b/>
          <w:bCs/>
          <w:color w:val="1F4E79"/>
        </w:rPr>
        <w:t xml:space="preserve"> g/mol and N</w:t>
      </w:r>
      <w:r>
        <w:rPr>
          <w:b/>
          <w:bCs/>
          <w:color w:val="1F4E79"/>
          <w:vertAlign w:val="subscript"/>
        </w:rPr>
        <w:t xml:space="preserve">agg</w:t>
      </w:r>
      <w:r>
        <w:rPr>
          <w:b/>
          <w:bCs/>
          <w:color w:val="1F4E79"/>
        </w:rPr>
        <w:t xml:space="preserve"> = 10, so each micelle contains about 10 polymer chains.</w:t>
      </w:r>
    </w:p>
    <w:p>
      <w:pPr>
        <w:spacing w:after="100"/>
      </w:pPr>
      <w:r>
        <w:rPr>
          <w:b/>
          <w:bCs/>
        </w:rPr>
        <w:t xml:space="preserve">Additional information from the slope:</w:t>
      </w:r>
      <w:r>
        <w:t xml:space="preserve"> A</w:t>
      </w:r>
      <w:r>
        <w:rPr>
          <w:vertAlign w:val="subscript"/>
        </w:rPr>
        <w:t xml:space="preserve">2</w:t>
      </w:r>
      <w:r>
        <w:t xml:space="preserve"> = slope/2 = 4.0 × 10</w:t>
      </w:r>
      <w:r>
        <w:rPr>
          <w:vertAlign w:val="superscript"/>
        </w:rPr>
        <w:t xml:space="preserve">−7</w:t>
      </w:r>
      <w:r>
        <w:t xml:space="preserve"> mol·L/g</w:t>
      </w:r>
      <w:r>
        <w:rPr>
          <w:vertAlign w:val="superscript"/>
        </w:rPr>
        <w:t xml:space="preserve">2</w:t>
      </w:r>
      <w:r>
        <w:t xml:space="preserve"> (= 4.0 × 10</w:t>
      </w:r>
      <w:r>
        <w:rPr>
          <w:vertAlign w:val="superscript"/>
        </w:rPr>
        <w:t xml:space="preserve">−4</w:t>
      </w:r>
      <w:r>
        <w:t xml:space="preserve"> mol·mL/g</w:t>
      </w:r>
      <w:r>
        <w:rPr>
          <w:vertAlign w:val="superscript"/>
        </w:rPr>
        <w:t xml:space="preserve">2</w:t>
      </w:r>
      <w:r>
        <w:t xml:space="preserve">). A</w:t>
      </w:r>
      <w:r>
        <w:rPr>
          <w:vertAlign w:val="subscript"/>
        </w:rPr>
        <w:t xml:space="preserve">2</w:t>
      </w:r>
      <w:r>
        <w:t xml:space="preserve"> is positive, so micelle–solvent interactions are favourable and micelles repel each other: the dispersion is in a good solvent and colloidally stable. (The Excel calculation and chart are in Q1_Debye_plot.xlsx.)</w:t>
      </w:r>
    </w:p>
    <w:p>
      <w:pPr>
        <w:pStyle w:val="Heading1"/>
        <w:spacing w:after="120" w:before="240"/>
      </w:pPr>
      <w:r>
        <w:t xml:space="preserve">2. Interpreting DLS correlation functions (4 marks)</w:t>
      </w:r>
    </w:p>
    <w:p>
      <w:pPr>
        <w:spacing w:after="100"/>
      </w:pPr>
      <w:r>
        <w:rPr>
          <w:b/>
          <w:bCs/>
          <w:i/>
          <w:iCs/>
        </w:rPr>
        <w:t xml:space="preserve">Green, Orange, Red, Blue</w:t>
      </w:r>
    </w:p>
    <w:p>
      <w:pPr>
        <w:spacing w:after="120" w:before="120"/>
      </w:pPr>
      <w:r>
        <w:rPr>
          <w:b/>
          <w:bCs/>
          <w:color w:val="1F4E79"/>
          <w:u w:val="single"/>
        </w:rPr>
        <w:t xml:space="preserve">Blue</w:t>
      </w:r>
      <w:r>
        <w:rPr>
          <w:b/>
          <w:bCs/>
          <w:i/>
          <w:iCs/>
        </w:rPr>
        <w:t xml:space="preserve">   Good measurement</w:t>
      </w:r>
    </w:p>
    <w:p>
      <w:pPr>
        <w:spacing w:after="120" w:before="120"/>
      </w:pPr>
      <w:r>
        <w:rPr>
          <w:b/>
          <w:bCs/>
          <w:color w:val="1F4E79"/>
          <w:u w:val="single"/>
        </w:rPr>
        <w:t xml:space="preserve">Green</w:t>
      </w:r>
      <w:r>
        <w:rPr>
          <w:b/>
          <w:bCs/>
          <w:i/>
          <w:iCs/>
        </w:rPr>
        <w:t xml:space="preserve">   Multiple scattering</w:t>
      </w:r>
    </w:p>
    <w:p>
      <w:pPr>
        <w:spacing w:after="120" w:before="120"/>
      </w:pPr>
      <w:r>
        <w:rPr>
          <w:b/>
          <w:bCs/>
          <w:color w:val="1F4E79"/>
          <w:u w:val="single"/>
        </w:rPr>
        <w:t xml:space="preserve">Orange</w:t>
      </w:r>
      <w:r>
        <w:rPr>
          <w:b/>
          <w:bCs/>
          <w:i/>
          <w:iCs/>
        </w:rPr>
        <w:t xml:space="preserve">   Fluorescence</w:t>
      </w:r>
    </w:p>
    <w:p>
      <w:pPr>
        <w:spacing w:after="120" w:before="120"/>
      </w:pPr>
      <w:r>
        <w:rPr>
          <w:b/>
          <w:bCs/>
          <w:color w:val="1F4E79"/>
          <w:u w:val="single"/>
        </w:rPr>
        <w:t xml:space="preserve">Red</w:t>
      </w:r>
      <w:r>
        <w:rPr>
          <w:b/>
          <w:bCs/>
          <w:i/>
          <w:iCs/>
        </w:rPr>
        <w:t xml:space="preserve">   Number fluctuations</w:t>
      </w:r>
    </w:p>
    <w:p>
      <w:pPr>
        <w:pStyle w:val="Heading1"/>
        <w:spacing w:after="120" w:before="240"/>
      </w:pPr>
      <w:r>
        <w:t xml:space="preserve">3. Selecting the appropriate technique (6 marks)</w:t>
      </w:r>
    </w:p>
    <w:p>
      <w:pPr>
        <w:spacing w:after="100"/>
      </w:pPr>
      <w:r>
        <w:rPr>
          <w:b/>
          <w:bCs/>
        </w:rPr>
        <w:t xml:space="preserve">a. SEM.</w:t>
      </w:r>
      <w:r>
        <w:t xml:space="preserve"> It images the particle surface, so it shows the surface morphology and shape of dried particles.</w:t>
      </w:r>
    </w:p>
    <w:p>
      <w:pPr>
        <w:spacing w:after="100"/>
      </w:pPr>
      <w:r>
        <w:rPr>
          <w:b/>
          <w:bCs/>
        </w:rPr>
        <w:t xml:space="preserve">b. TEM.</w:t>
      </w:r>
      <w:r>
        <w:t xml:space="preserve"> Electrons pass through the particle, so it shows size, shape and internal structure (e.g. core–shell).</w:t>
      </w:r>
    </w:p>
    <w:p>
      <w:pPr>
        <w:spacing w:after="100"/>
      </w:pPr>
      <w:r>
        <w:rPr>
          <w:b/>
          <w:bCs/>
        </w:rPr>
        <w:t xml:space="preserve">c. Cryo-TEM.</w:t>
      </w:r>
      <w:r>
        <w:t xml:space="preserve"> The sample is frozen in water without drying, so particles and aggregates are seen in their natural hydrated state.</w:t>
      </w:r>
    </w:p>
    <w:p>
      <w:pPr>
        <w:spacing w:after="100"/>
      </w:pPr>
      <w:r>
        <w:rPr>
          <w:b/>
          <w:bCs/>
        </w:rPr>
        <w:t xml:space="preserve">d. SEM and Cryo-TEM.</w:t>
      </w:r>
      <w:r>
        <w:t xml:space="preserve"> Cryo-TEM shows the shape before drying and SEM shows it after drying. If the particles are still round in SEM, they keep their shape.</w:t>
      </w:r>
    </w:p>
    <w:p>
      <w:pPr>
        <w:spacing w:after="100"/>
      </w:pPr>
      <w:r>
        <w:rPr>
          <w:b/>
          <w:bCs/>
        </w:rPr>
        <w:t xml:space="preserve">Why sizes differ:</w:t>
      </w:r>
      <w:r>
        <w:t xml:space="preserve"> SEM and TEM samples are dried, so the polymer shell shrinks or flattens, while Cryo-TEM keeps particles hydrated and swollen. The thin polymer shell is also hard to see in TEM, so often only the core is measured, and the metal coating used in SEM adds a few nm.</w:t>
      </w:r>
    </w:p>
    <w:p>
      <w:pPr>
        <w:pStyle w:val="Heading1"/>
        <w:spacing w:after="120" w:before="240"/>
      </w:pPr>
      <w:r>
        <w:t xml:space="preserve">4. Comparing DLS, TEM and AFM dimensions (4 marks)</w:t>
      </w:r>
    </w:p>
    <w:p>
      <w:pPr>
        <w:pBdr>
          <w:left w:val="single" w:color="2E75B6" w:sz="18" w:space="6"/>
        </w:pBdr>
        <w:shd w:fill="E8F1FA" w:color="auto" w:val="clear"/>
        <w:spacing w:after="160" w:before="80"/>
      </w:pPr>
      <w:r>
        <w:rPr>
          <w:b/>
          <w:bCs/>
          <w:color w:val="1F4E79"/>
        </w:rPr>
        <w:t xml:space="preserve">Answer: (c) DLS can report a larger hydrodynamic diameter due to the solvated layer; TEM measures projected dimensions of prepared particles, and AFM height can be affected by particle deformation or substrate interactions.</w:t>
      </w:r>
    </w:p>
    <w:p>
      <w:pPr>
        <w:spacing w:after="100"/>
      </w:pPr>
      <w:r>
        <w:rPr>
          <w:b/>
          <w:bCs/>
        </w:rPr>
        <w:t xml:space="preserve">Justification of the order DLS (180 nm) &gt; TEM (130 nm) &gt; AFM height (95 nm):</w:t>
      </w:r>
    </w:p>
    <w:p>
      <w:pPr>
        <w:pStyle w:val="ListParagraph"/>
        <w:numPr>
          <w:ilvl w:val="0"/>
          <w:numId w:val="2"/>
        </w:numPr>
        <w:spacing w:after="60"/>
      </w:pPr>
      <w:r>
        <w:rPr>
          <w:b/>
          <w:bCs/>
        </w:rPr>
        <w:t xml:space="preserve">DLS, 180 nm.</w:t>
      </w:r>
      <w:r>
        <w:t xml:space="preserve"> DLS measures the </w:t>
      </w:r>
      <w:r>
        <w:rPr>
          <w:b/>
          <w:bCs/>
        </w:rPr>
        <w:t xml:space="preserve">hydrodynamic diameter</w:t>
      </w:r>
      <w:r>
        <w:t xml:space="preserve"> from the diffusion coefficient (Stokes–Einstein equation). This includes the solvation layer, the swollen polymer corona and the bound ions. DLS is also intensity-weighted (I ∝ d</w:t>
      </w:r>
      <w:r>
        <w:rPr>
          <w:vertAlign w:val="superscript"/>
        </w:rPr>
        <w:t xml:space="preserve">6</w:t>
      </w:r>
      <w:r>
        <w:t xml:space="preserve">), so a few larger particles or aggregates push the mean up. It therefore gives the largest value.</w:t>
      </w:r>
    </w:p>
    <w:p>
      <w:pPr>
        <w:pStyle w:val="ListParagraph"/>
        <w:numPr>
          <w:ilvl w:val="0"/>
          <w:numId w:val="2"/>
        </w:numPr>
        <w:spacing w:after="60"/>
      </w:pPr>
      <w:r>
        <w:rPr>
          <w:b/>
          <w:bCs/>
        </w:rPr>
        <w:t xml:space="preserve">TEM, 130 nm.</w:t>
      </w:r>
      <w:r>
        <w:t xml:space="preserve"> TEM measures the </w:t>
      </w:r>
      <w:r>
        <w:rPr>
          <w:b/>
          <w:bCs/>
        </w:rPr>
        <w:t xml:space="preserve">2D projected diameter</w:t>
      </w:r>
      <w:r>
        <w:t xml:space="preserve"> of dried (or stained) particles under vacuum. The hydrated shell has collapsed or is not visible, and TEM is number-weighted, so the value is smaller than DLS.</w:t>
      </w:r>
    </w:p>
    <w:p>
      <w:pPr>
        <w:pStyle w:val="ListParagraph"/>
        <w:numPr>
          <w:ilvl w:val="0"/>
          <w:numId w:val="2"/>
        </w:numPr>
        <w:spacing w:after="60"/>
      </w:pPr>
      <w:r>
        <w:rPr>
          <w:b/>
          <w:bCs/>
        </w:rPr>
        <w:t xml:space="preserve">AFM height, 95 nm.</w:t>
      </w:r>
      <w:r>
        <w:t xml:space="preserve"> Particles adsorbed on the substrate are dried, and soft polymer particles </w:t>
      </w:r>
      <w:r>
        <w:rPr>
          <w:b/>
          <w:bCs/>
        </w:rPr>
        <w:t xml:space="preserve">deform or flatten</w:t>
      </w:r>
      <w:r>
        <w:t xml:space="preserve"> because of adhesion to the substrate and the force of the tip. The height (z) is therefore lower than the true diameter. (AFM lateral dimensions are overestimated by tip convolution, which is why height is reported.)</w:t>
      </w:r>
    </w:p>
    <w:p>
      <w:pPr>
        <w:spacing w:after="100"/>
      </w:pPr>
      <w:r>
        <w:rPr>
          <w:b/>
          <w:bCs/>
        </w:rPr>
        <w:t xml:space="preserve">Why the other options are wrong:</w:t>
      </w:r>
      <w:r>
        <w:t xml:space="preserve"> (a) DLS gives a hydrodynamic diameter, not the true core diameter, and no method is "the" correct one. (b) It is reversed: DLS measures the hydrodynamic size in dispersion, and TEM measures dry-state dimensions. (d) The methods use different physical principles, sample states (hydrated vs. dried/adsorbed) and weightings (intensity vs. number), so different values are expected.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28"/>
      <w:szCs w:val="28"/>
    </w:rPr>
  </w:style>
  <w:style w:type="paragraph" w:styleId="Heading2">
    <w:name w:val="Heading 2"/>
    <w:basedOn w:val="Normal"/>
    <w:next w:val="Normal"/>
    <w:qFormat/>
    <w:rPr>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7b3027e95dc411cf2eb790ce95df46d786cc2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2026-10-29T22:37:38.018Z</dcterms:created>
  <dcterms:modified xsi:type="dcterms:W3CDTF">2026-10-29T22:37:38.019Z</dcterms:modified>
</cp:coreProperties>
</file>

<file path=docProps/custom.xml><?xml version="1.0" encoding="utf-8"?>
<Properties xmlns="http://schemas.openxmlformats.org/officeDocument/2006/custom-properties" xmlns:vt="http://schemas.openxmlformats.org/officeDocument/2006/docPropsVTypes"/>
</file>