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269" w:lineRule="auto"/>
        <w:jc w:val="center"/>
        <w:rPr/>
      </w:pPr>
      <w:r w:rsidDel="00000000" w:rsidR="00000000" w:rsidRPr="00000000">
        <w:rPr>
          <w:rFonts w:ascii="Times New Roman" w:cs="Times New Roman" w:eastAsia="Times New Roman" w:hAnsi="Times New Roman"/>
          <w:b w:val="0"/>
          <w:bCs w:val="0"/>
          <w:i w:val="0"/>
          <w:iCs w:val="0"/>
          <w:color w:val="181818"/>
          <w:sz w:val="40"/>
          <w:szCs w:val="40"/>
          <w:rtl w:val="0"/>
        </w:rPr>
        <w:t xml:space="preserve">Signal Harbour</w:t>
      </w:r>
      <w:r w:rsidDel="00000000" w:rsidR="00000000" w:rsidRPr="00000000">
        <w:rPr>
          <w:rtl w:val="0"/>
        </w:rPr>
      </w:r>
    </w:p>
    <w:p w:rsidR="00000000" w:rsidDel="00000000" w:rsidP="00000000" w:rsidRDefault="00000000" w:rsidRPr="00000000" w14:paraId="00000002">
      <w:pPr>
        <w:spacing w:after="80" w:before="0" w:line="269" w:lineRule="auto"/>
        <w:jc w:val="center"/>
        <w:rPr/>
      </w:pPr>
      <w:r w:rsidDel="00000000" w:rsidR="00000000" w:rsidRPr="00000000">
        <w:rPr>
          <w:rFonts w:ascii="Times New Roman" w:cs="Times New Roman" w:eastAsia="Times New Roman" w:hAnsi="Times New Roman"/>
          <w:b w:val="0"/>
          <w:bCs w:val="0"/>
          <w:i w:val="0"/>
          <w:iCs w:val="0"/>
          <w:color w:val="181818"/>
          <w:sz w:val="22"/>
          <w:szCs w:val="22"/>
          <w:rtl w:val="0"/>
        </w:rPr>
        <w:t xml:space="preserve">Systematic multi-asset funds, a sector news-sentiment index, and a Streamlit research app</w:t>
      </w:r>
      <w:r w:rsidDel="00000000" w:rsidR="00000000" w:rsidRPr="00000000">
        <w:rPr>
          <w:rtl w:val="0"/>
        </w:rPr>
      </w:r>
    </w:p>
    <w:p w:rsidR="00000000" w:rsidDel="00000000" w:rsidP="00000000" w:rsidRDefault="00000000" w:rsidRPr="00000000" w14:paraId="00000003">
      <w:pPr>
        <w:spacing w:after="20" w:before="0" w:line="269" w:lineRule="auto"/>
        <w:jc w:val="center"/>
        <w:rPr/>
      </w:pPr>
      <w:r w:rsidDel="00000000" w:rsidR="00000000" w:rsidRPr="00000000">
        <w:rPr>
          <w:rFonts w:ascii="Times New Roman" w:cs="Times New Roman" w:eastAsia="Times New Roman" w:hAnsi="Times New Roman"/>
          <w:b w:val="0"/>
          <w:bCs w:val="0"/>
          <w:i w:val="0"/>
          <w:iCs w:val="0"/>
          <w:color w:val="2e2e2e"/>
          <w:sz w:val="20"/>
          <w:szCs w:val="20"/>
          <w:rtl w:val="0"/>
        </w:rPr>
        <w:t xml:space="preserve">FINS3645 Project B</w:t>
      </w:r>
      <w:r w:rsidDel="00000000" w:rsidR="00000000" w:rsidRPr="00000000">
        <w:rPr>
          <w:rtl w:val="0"/>
        </w:rPr>
      </w:r>
    </w:p>
    <w:p w:rsidR="00000000" w:rsidDel="00000000" w:rsidP="00000000" w:rsidRDefault="00000000" w:rsidRPr="00000000" w14:paraId="00000004">
      <w:pPr>
        <w:spacing w:after="20" w:before="0" w:line="269" w:lineRule="auto"/>
        <w:jc w:val="center"/>
        <w:rPr/>
      </w:pPr>
      <w:r w:rsidDel="00000000" w:rsidR="00000000" w:rsidRPr="00000000">
        <w:rPr>
          <w:rFonts w:ascii="Times New Roman" w:cs="Times New Roman" w:eastAsia="Times New Roman" w:hAnsi="Times New Roman"/>
          <w:b w:val="0"/>
          <w:bCs w:val="0"/>
          <w:i w:val="0"/>
          <w:iCs w:val="0"/>
          <w:color w:val="2e2e2e"/>
          <w:sz w:val="20"/>
          <w:szCs w:val="20"/>
          <w:rtl w:val="0"/>
        </w:rPr>
        <w:t xml:space="preserve">Kaiyuan Lan (z5444541)</w:t>
      </w:r>
      <w:r w:rsidDel="00000000" w:rsidR="00000000" w:rsidRPr="00000000">
        <w:rPr>
          <w:rtl w:val="0"/>
        </w:rPr>
      </w:r>
    </w:p>
    <w:p w:rsidR="00000000" w:rsidDel="00000000" w:rsidP="00000000" w:rsidRDefault="00000000" w:rsidRPr="00000000" w14:paraId="00000005">
      <w:pPr>
        <w:spacing w:after="240" w:before="0" w:line="269" w:lineRule="auto"/>
        <w:jc w:val="center"/>
        <w:rPr/>
      </w:pPr>
      <w:r w:rsidDel="00000000" w:rsidR="00000000" w:rsidRPr="00000000">
        <w:rPr>
          <w:rFonts w:ascii="Times New Roman" w:cs="Times New Roman" w:eastAsia="Times New Roman" w:hAnsi="Times New Roman"/>
          <w:b w:val="0"/>
          <w:bCs w:val="0"/>
          <w:i w:val="0"/>
          <w:iCs w:val="0"/>
          <w:color w:val="2e2e2e"/>
          <w:sz w:val="20"/>
          <w:szCs w:val="20"/>
          <w:rtl w:val="0"/>
        </w:rPr>
        <w:t xml:space="preserve">Sample through December 2023</w:t>
      </w:r>
      <w:r w:rsidDel="00000000" w:rsidR="00000000" w:rsidRPr="00000000">
        <w:rPr>
          <w:rtl w:val="0"/>
        </w:rPr>
      </w:r>
    </w:p>
    <w:p w:rsidR="00000000" w:rsidDel="00000000" w:rsidP="00000000" w:rsidRDefault="00000000" w:rsidRPr="00000000" w14:paraId="00000006">
      <w:pPr>
        <w:pStyle w:val="Heading1"/>
        <w:keepNext w:val="1"/>
        <w:spacing w:after="160" w:before="320" w:line="269" w:lineRule="auto"/>
        <w:jc w:val="left"/>
        <w:rPr/>
      </w:pPr>
      <w:r w:rsidDel="00000000" w:rsidR="00000000" w:rsidRPr="00000000">
        <w:rPr>
          <w:rFonts w:ascii="Times New Roman" w:cs="Times New Roman" w:eastAsia="Times New Roman" w:hAnsi="Times New Roman"/>
          <w:b w:val="1"/>
          <w:bCs w:val="1"/>
          <w:i w:val="0"/>
          <w:iCs w:val="0"/>
          <w:color w:val="181818"/>
          <w:sz w:val="27"/>
          <w:szCs w:val="27"/>
          <w:rtl w:val="0"/>
        </w:rPr>
        <w:t xml:space="preserve">1. Customer, data, and backtest design</w:t>
      </w:r>
      <w:r w:rsidDel="00000000" w:rsidR="00000000" w:rsidRPr="00000000">
        <w:rPr>
          <w:rtl w:val="0"/>
        </w:rPr>
      </w:r>
    </w:p>
    <w:p w:rsidR="00000000" w:rsidDel="00000000" w:rsidP="00000000" w:rsidRDefault="00000000" w:rsidRPr="00000000" w14:paraId="00000007">
      <w:pPr>
        <w:spacing w:after="110" w:before="0" w:line="269" w:lineRule="auto"/>
        <w:jc w:val="both"/>
        <w:rPr/>
      </w:pPr>
      <w:r w:rsidDel="00000000" w:rsidR="00000000" w:rsidRPr="00000000">
        <w:rPr>
          <w:rFonts w:ascii="Times New Roman" w:cs="Times New Roman" w:eastAsia="Times New Roman" w:hAnsi="Times New Roman"/>
          <w:b w:val="0"/>
          <w:bCs w:val="0"/>
          <w:i w:val="0"/>
          <w:iCs w:val="0"/>
          <w:color w:val="181818"/>
          <w:sz w:val="20"/>
          <w:szCs w:val="20"/>
          <w:rtl w:val="0"/>
        </w:rPr>
        <w:t xml:space="preserve">Signal Harbour is designed for the portfolio analyst in a small wealth-advisory firm who has to turn model output into an investment-committee recommendation. The practical gap is not a shortage of optimisation methods</w:t>
      </w:r>
      <w:r w:rsidDel="00000000" w:rsidR="00000000" w:rsidRPr="00000000">
        <w:rPr>
          <w:rFonts w:ascii="Times New Roman" w:cs="Times New Roman" w:eastAsia="Times New Roman" w:hAnsi="Times New Roman"/>
          <w:color w:val="181818"/>
          <w:sz w:val="20"/>
          <w:szCs w:val="20"/>
          <w:rtl w:val="0"/>
        </w:rPr>
        <w:t xml:space="preserve">, i</w:t>
      </w:r>
      <w:r w:rsidDel="00000000" w:rsidR="00000000" w:rsidRPr="00000000">
        <w:rPr>
          <w:rFonts w:ascii="Times New Roman" w:cs="Times New Roman" w:eastAsia="Times New Roman" w:hAnsi="Times New Roman"/>
          <w:b w:val="0"/>
          <w:bCs w:val="0"/>
          <w:i w:val="0"/>
          <w:iCs w:val="0"/>
          <w:color w:val="181818"/>
          <w:sz w:val="20"/>
          <w:szCs w:val="20"/>
          <w:rtl w:val="0"/>
        </w:rPr>
        <w:t xml:space="preserve">t is the lack of one place where equity and crypto proposals can be compared on the same wealth, drawdown and holdings views, and then explained to a client. The product therefore presents Equity, Crypto and Combined sleeves for equal weight, minimum variance, maximum Sharpe and risk parity. Markowitz (1952) provides the portfolio framework; the news work starts from the VADER model of Hutto and Gilbert (2014).</w:t>
      </w:r>
      <w:r w:rsidDel="00000000" w:rsidR="00000000" w:rsidRPr="00000000">
        <w:rPr>
          <w:rtl w:val="0"/>
        </w:rPr>
      </w:r>
    </w:p>
    <w:p w:rsidR="00000000" w:rsidDel="00000000" w:rsidP="00000000" w:rsidRDefault="00000000" w:rsidRPr="00000000" w14:paraId="00000008">
      <w:pPr>
        <w:spacing w:after="110" w:before="0" w:line="269" w:lineRule="auto"/>
        <w:ind w:firstLine="238"/>
        <w:jc w:val="both"/>
        <w:rPr/>
      </w:pPr>
      <w:r w:rsidDel="00000000" w:rsidR="00000000" w:rsidRPr="00000000">
        <w:rPr>
          <w:rFonts w:ascii="Times New Roman" w:cs="Times New Roman" w:eastAsia="Times New Roman" w:hAnsi="Times New Roman"/>
          <w:b w:val="0"/>
          <w:bCs w:val="0"/>
          <w:i w:val="0"/>
          <w:iCs w:val="0"/>
          <w:color w:val="181818"/>
          <w:sz w:val="20"/>
          <w:szCs w:val="20"/>
          <w:rtl w:val="0"/>
        </w:rPr>
        <w:t xml:space="preserve">Calendar handling is settled before the funds are built. Simple returns are calculated from adjusted close inside each ticker, leaving weekend crypto observations on their native dates. Equity and Combined funds use 252 observations for estimation and annualisation; stand-alone Crypto funds use 365. For a Combined fund, the already calculated crypto return is then left-aligned to the equity calendar. Aligning prices first would roll several weekend moves into Monday and misdescribe that compound move as a one-day return. The adopted sequence avoids this problem, although it means that the Combined sleeve is evaluated only when equities trade.</w:t>
      </w:r>
      <w:r w:rsidDel="00000000" w:rsidR="00000000" w:rsidRPr="00000000">
        <w:rPr>
          <w:rtl w:val="0"/>
        </w:rPr>
      </w:r>
    </w:p>
    <w:p w:rsidR="00000000" w:rsidDel="00000000" w:rsidP="00000000" w:rsidRDefault="00000000" w:rsidRPr="00000000" w14:paraId="00000009">
      <w:pPr>
        <w:spacing w:after="110" w:before="0" w:line="269" w:lineRule="auto"/>
        <w:ind w:firstLine="238"/>
        <w:jc w:val="both"/>
        <w:rPr/>
      </w:pPr>
      <w:r w:rsidDel="00000000" w:rsidR="00000000" w:rsidRPr="00000000">
        <w:rPr>
          <w:rFonts w:ascii="Times New Roman" w:cs="Times New Roman" w:eastAsia="Times New Roman" w:hAnsi="Times New Roman"/>
          <w:b w:val="0"/>
          <w:bCs w:val="0"/>
          <w:i w:val="0"/>
          <w:iCs w:val="0"/>
          <w:color w:val="181818"/>
          <w:sz w:val="20"/>
          <w:szCs w:val="20"/>
          <w:rtl w:val="0"/>
        </w:rPr>
        <w:t xml:space="preserve">The monthly decision rule follows the same timing discipline. At date </w:t>
      </w:r>
      <w:r w:rsidDel="00000000" w:rsidR="00000000" w:rsidRPr="00000000">
        <w:rPr>
          <w:rFonts w:ascii="Times New Roman" w:cs="Times New Roman" w:eastAsia="Times New Roman" w:hAnsi="Times New Roman"/>
          <w:b w:val="0"/>
          <w:bCs w:val="0"/>
          <w:i w:val="1"/>
          <w:iCs w:val="1"/>
          <w:color w:val="181818"/>
          <w:sz w:val="20"/>
          <w:szCs w:val="20"/>
          <w:rtl w:val="0"/>
        </w:rPr>
        <w:t xml:space="preserve">T</w:t>
      </w:r>
      <w:r w:rsidDel="00000000" w:rsidR="00000000" w:rsidRPr="00000000">
        <w:rPr>
          <w:rFonts w:ascii="Times New Roman" w:cs="Times New Roman" w:eastAsia="Times New Roman" w:hAnsi="Times New Roman"/>
          <w:b w:val="0"/>
          <w:bCs w:val="0"/>
          <w:i w:val="0"/>
          <w:iCs w:val="0"/>
          <w:color w:val="181818"/>
          <w:sz w:val="20"/>
          <w:szCs w:val="20"/>
          <w:rtl w:val="0"/>
        </w:rPr>
        <w:t xml:space="preserve">, the optimiser receives data only through </w:t>
      </w:r>
      <w:r w:rsidDel="00000000" w:rsidR="00000000" w:rsidRPr="00000000">
        <w:rPr>
          <w:rFonts w:ascii="Times New Roman" w:cs="Times New Roman" w:eastAsia="Times New Roman" w:hAnsi="Times New Roman"/>
          <w:b w:val="0"/>
          <w:bCs w:val="0"/>
          <w:i w:val="1"/>
          <w:iCs w:val="1"/>
          <w:color w:val="181818"/>
          <w:sz w:val="20"/>
          <w:szCs w:val="20"/>
          <w:rtl w:val="0"/>
        </w:rPr>
        <w:t xml:space="preserve">T-1</w:t>
      </w:r>
      <w:r w:rsidDel="00000000" w:rsidR="00000000" w:rsidRPr="00000000">
        <w:rPr>
          <w:rFonts w:ascii="Times New Roman" w:cs="Times New Roman" w:eastAsia="Times New Roman" w:hAnsi="Times New Roman"/>
          <w:b w:val="0"/>
          <w:bCs w:val="0"/>
          <w:i w:val="0"/>
          <w:iCs w:val="0"/>
          <w:color w:val="181818"/>
          <w:sz w:val="20"/>
          <w:szCs w:val="20"/>
          <w:rtl w:val="0"/>
        </w:rPr>
        <w:t xml:space="preserve">; the existing holdings earn return </w:t>
      </w:r>
      <w:r w:rsidDel="00000000" w:rsidR="00000000" w:rsidRPr="00000000">
        <w:rPr>
          <w:rFonts w:ascii="Times New Roman" w:cs="Times New Roman" w:eastAsia="Times New Roman" w:hAnsi="Times New Roman"/>
          <w:b w:val="0"/>
          <w:bCs w:val="0"/>
          <w:i w:val="1"/>
          <w:iCs w:val="1"/>
          <w:color w:val="181818"/>
          <w:sz w:val="20"/>
          <w:szCs w:val="20"/>
          <w:rtl w:val="0"/>
        </w:rPr>
        <w:t xml:space="preserve">T</w:t>
      </w:r>
      <w:r w:rsidDel="00000000" w:rsidR="00000000" w:rsidRPr="00000000">
        <w:rPr>
          <w:rFonts w:ascii="Times New Roman" w:cs="Times New Roman" w:eastAsia="Times New Roman" w:hAnsi="Times New Roman"/>
          <w:b w:val="0"/>
          <w:bCs w:val="0"/>
          <w:i w:val="0"/>
          <w:iCs w:val="0"/>
          <w:color w:val="181818"/>
          <w:sz w:val="20"/>
          <w:szCs w:val="20"/>
          <w:rtl w:val="0"/>
        </w:rPr>
        <w:t xml:space="preserve">, and the new targets take effect at the next session. Holdings then drift with relative asset performance until the following decision. All funds are long-only, and the broad sleeves impose a 25% cap on each name. Covariance is annualised inside the solver, but numerical convergence alone is not accepted: the candidate must improve on equal weight for the stated objective.</w:t>
      </w:r>
      <w:r w:rsidDel="00000000" w:rsidR="00000000" w:rsidRPr="00000000">
        <w:rPr>
          <w:rtl w:val="0"/>
        </w:rPr>
      </w:r>
    </w:p>
    <w:p w:rsidR="00000000" w:rsidDel="00000000" w:rsidP="00000000" w:rsidRDefault="00000000" w:rsidRPr="00000000" w14:paraId="0000000A">
      <w:pPr>
        <w:pStyle w:val="Heading2"/>
        <w:keepNext w:val="1"/>
        <w:spacing w:after="120" w:before="240" w:line="269" w:lineRule="auto"/>
        <w:jc w:val="left"/>
        <w:rPr/>
      </w:pPr>
      <w:r w:rsidDel="00000000" w:rsidR="00000000" w:rsidRPr="00000000">
        <w:rPr>
          <w:rFonts w:ascii="Times New Roman" w:cs="Times New Roman" w:eastAsia="Times New Roman" w:hAnsi="Times New Roman"/>
          <w:b w:val="1"/>
          <w:bCs w:val="1"/>
          <w:i w:val="0"/>
          <w:iCs w:val="0"/>
          <w:color w:val="181818"/>
          <w:sz w:val="22"/>
          <w:szCs w:val="22"/>
          <w:rtl w:val="0"/>
        </w:rPr>
        <w:t xml:space="preserve">Backtest conventions</w:t>
      </w:r>
      <w:r w:rsidDel="00000000" w:rsidR="00000000" w:rsidRPr="00000000">
        <w:rPr>
          <w:rtl w:val="0"/>
        </w:rPr>
      </w:r>
    </w:p>
    <w:p w:rsidR="00000000" w:rsidDel="00000000" w:rsidP="00000000" w:rsidRDefault="00000000" w:rsidRPr="00000000" w14:paraId="0000000B">
      <w:pPr>
        <w:spacing w:after="110" w:before="0" w:line="269" w:lineRule="auto"/>
        <w:ind w:firstLine="238"/>
        <w:jc w:val="both"/>
        <w:rPr/>
      </w:pPr>
      <w:r w:rsidDel="00000000" w:rsidR="00000000" w:rsidRPr="00000000">
        <w:rPr>
          <w:rFonts w:ascii="Times New Roman" w:cs="Times New Roman" w:eastAsia="Times New Roman" w:hAnsi="Times New Roman"/>
          <w:b w:val="0"/>
          <w:bCs w:val="0"/>
          <w:i w:val="0"/>
          <w:iCs w:val="0"/>
          <w:color w:val="181818"/>
          <w:sz w:val="20"/>
          <w:szCs w:val="20"/>
          <w:rtl w:val="0"/>
        </w:rPr>
        <w:t xml:space="preserve">A zero risk-free rate is used in both the Maximum Sharpe objective and the reported Sharpe ratios. Table 1 shows fund performance before trading costs, whereas Table 5 subjects the Minimum Variance base and its sentiment overlay to identical turnover charges. The tables consequently answer different questions. Estimation is also kept out of the Streamlit interface: the app reads retained CSV outputs instead of rerunning VADER, rebuilding sentiment or repeating the backtests on page load.</w:t>
      </w:r>
      <w:r w:rsidDel="00000000" w:rsidR="00000000" w:rsidRPr="00000000">
        <w:rPr>
          <w:rtl w:val="0"/>
        </w:rPr>
      </w:r>
    </w:p>
    <w:p w:rsidR="00000000" w:rsidDel="00000000" w:rsidP="00000000" w:rsidRDefault="00000000" w:rsidRPr="00000000" w14:paraId="0000000C">
      <w:pPr>
        <w:pStyle w:val="Heading2"/>
        <w:keepNext w:val="1"/>
        <w:spacing w:after="120" w:before="240" w:line="269" w:lineRule="auto"/>
        <w:jc w:val="left"/>
        <w:rPr/>
      </w:pPr>
      <w:r w:rsidDel="00000000" w:rsidR="00000000" w:rsidRPr="00000000">
        <w:rPr>
          <w:rFonts w:ascii="Times New Roman" w:cs="Times New Roman" w:eastAsia="Times New Roman" w:hAnsi="Times New Roman"/>
          <w:b w:val="1"/>
          <w:bCs w:val="1"/>
          <w:i w:val="0"/>
          <w:iCs w:val="0"/>
          <w:color w:val="181818"/>
          <w:sz w:val="22"/>
          <w:szCs w:val="22"/>
          <w:rtl w:val="0"/>
        </w:rPr>
        <w:t xml:space="preserve">First-live timing</w:t>
      </w:r>
      <w:r w:rsidDel="00000000" w:rsidR="00000000" w:rsidRPr="00000000">
        <w:rPr>
          <w:rtl w:val="0"/>
        </w:rPr>
      </w:r>
    </w:p>
    <w:p w:rsidR="00000000" w:rsidDel="00000000" w:rsidP="00000000" w:rsidRDefault="00000000" w:rsidRPr="00000000" w14:paraId="0000000D">
      <w:pPr>
        <w:spacing w:after="110" w:before="0" w:line="269" w:lineRule="auto"/>
        <w:ind w:firstLine="238"/>
        <w:jc w:val="both"/>
        <w:rPr/>
      </w:pPr>
      <w:r w:rsidDel="00000000" w:rsidR="00000000" w:rsidRPr="00000000">
        <w:rPr>
          <w:rFonts w:ascii="Times New Roman" w:cs="Times New Roman" w:eastAsia="Times New Roman" w:hAnsi="Times New Roman"/>
          <w:b w:val="0"/>
          <w:bCs w:val="0"/>
          <w:i w:val="0"/>
          <w:iCs w:val="0"/>
          <w:color w:val="181818"/>
          <w:sz w:val="20"/>
          <w:szCs w:val="20"/>
          <w:rtl w:val="0"/>
        </w:rPr>
        <w:t xml:space="preserve">After the 252-session warm-up, Equity and Combined weights are first selected on 4 January 2021 and begin earning on 5 January. The corresponding native-crypto dates are 1 and 2 January. Figure A1 starts at those first earnable returns, so the 2020 estimation history is not presented as if a portfolio had already been live.</w:t>
      </w:r>
      <w:r w:rsidDel="00000000" w:rsidR="00000000" w:rsidRPr="00000000">
        <w:rPr>
          <w:rtl w:val="0"/>
        </w:rPr>
      </w:r>
    </w:p>
    <w:p w:rsidR="00000000" w:rsidDel="00000000" w:rsidP="00000000" w:rsidRDefault="00000000" w:rsidRPr="00000000" w14:paraId="0000000E">
      <w:pPr>
        <w:pStyle w:val="Heading2"/>
        <w:keepNext w:val="1"/>
        <w:spacing w:after="120" w:before="240" w:line="269" w:lineRule="auto"/>
        <w:jc w:val="left"/>
        <w:rPr/>
      </w:pPr>
      <w:r w:rsidDel="00000000" w:rsidR="00000000" w:rsidRPr="00000000">
        <w:rPr>
          <w:rFonts w:ascii="Times New Roman" w:cs="Times New Roman" w:eastAsia="Times New Roman" w:hAnsi="Times New Roman"/>
          <w:b w:val="1"/>
          <w:bCs w:val="1"/>
          <w:i w:val="0"/>
          <w:iCs w:val="0"/>
          <w:color w:val="181818"/>
          <w:sz w:val="22"/>
          <w:szCs w:val="22"/>
          <w:rtl w:val="0"/>
        </w:rPr>
        <w:t xml:space="preserve">Why timing and drift are specified this way</w:t>
      </w:r>
      <w:r w:rsidDel="00000000" w:rsidR="00000000" w:rsidRPr="00000000">
        <w:rPr>
          <w:rtl w:val="0"/>
        </w:rPr>
      </w:r>
    </w:p>
    <w:p w:rsidR="00000000" w:rsidDel="00000000" w:rsidP="00000000" w:rsidRDefault="00000000" w:rsidRPr="00000000" w14:paraId="0000000F">
      <w:pPr>
        <w:spacing w:after="110" w:before="0" w:line="269" w:lineRule="auto"/>
        <w:ind w:firstLine="238"/>
        <w:jc w:val="both"/>
        <w:rPr/>
      </w:pPr>
      <w:r w:rsidDel="00000000" w:rsidR="00000000" w:rsidRPr="00000000">
        <w:rPr>
          <w:rFonts w:ascii="Times New Roman" w:cs="Times New Roman" w:eastAsia="Times New Roman" w:hAnsi="Times New Roman"/>
          <w:b w:val="0"/>
          <w:bCs w:val="0"/>
          <w:i w:val="0"/>
          <w:iCs w:val="0"/>
          <w:color w:val="181818"/>
          <w:sz w:val="20"/>
          <w:szCs w:val="20"/>
          <w:rtl w:val="0"/>
        </w:rPr>
        <w:t xml:space="preserve">A portfolio formed after the close cannot claim the close-to-close return that has just been observed. Leaving return </w:t>
      </w:r>
      <w:r w:rsidDel="00000000" w:rsidR="00000000" w:rsidRPr="00000000">
        <w:rPr>
          <w:rFonts w:ascii="Times New Roman" w:cs="Times New Roman" w:eastAsia="Times New Roman" w:hAnsi="Times New Roman"/>
          <w:b w:val="0"/>
          <w:bCs w:val="0"/>
          <w:i w:val="1"/>
          <w:iCs w:val="1"/>
          <w:color w:val="181818"/>
          <w:sz w:val="20"/>
          <w:szCs w:val="20"/>
          <w:rtl w:val="0"/>
        </w:rPr>
        <w:t xml:space="preserve">T</w:t>
      </w:r>
      <w:r w:rsidDel="00000000" w:rsidR="00000000" w:rsidRPr="00000000">
        <w:rPr>
          <w:rFonts w:ascii="Times New Roman" w:cs="Times New Roman" w:eastAsia="Times New Roman" w:hAnsi="Times New Roman"/>
          <w:b w:val="0"/>
          <w:bCs w:val="0"/>
          <w:i w:val="0"/>
          <w:iCs w:val="0"/>
          <w:color w:val="181818"/>
          <w:sz w:val="20"/>
          <w:szCs w:val="20"/>
          <w:rtl w:val="0"/>
        </w:rPr>
        <w:t xml:space="preserve"> with the old holdings and switching at the next session removes that extra day of information. The dated weight file makes the convention directly auditable.</w:t>
      </w:r>
      <w:r w:rsidDel="00000000" w:rsidR="00000000" w:rsidRPr="00000000">
        <w:rPr>
          <w:rtl w:val="0"/>
        </w:rPr>
      </w:r>
    </w:p>
    <w:p w:rsidR="00000000" w:rsidDel="00000000" w:rsidP="00000000" w:rsidRDefault="00000000" w:rsidRPr="00000000" w14:paraId="00000010">
      <w:pPr>
        <w:spacing w:after="110" w:before="0" w:line="269" w:lineRule="auto"/>
        <w:ind w:firstLine="238"/>
        <w:jc w:val="both"/>
        <w:rPr/>
      </w:pPr>
      <w:r w:rsidDel="00000000" w:rsidR="00000000" w:rsidRPr="00000000">
        <w:rPr>
          <w:rFonts w:ascii="Times New Roman" w:cs="Times New Roman" w:eastAsia="Times New Roman" w:hAnsi="Times New Roman"/>
          <w:b w:val="0"/>
          <w:bCs w:val="0"/>
          <w:i w:val="0"/>
          <w:iCs w:val="0"/>
          <w:color w:val="181818"/>
          <w:sz w:val="20"/>
          <w:szCs w:val="20"/>
          <w:rtl w:val="0"/>
        </w:rPr>
        <w:t xml:space="preserve">Drift addresses a separate issue. Resetting the book to target weights every day would quietly convert a monthly strategy into a daily one, even if the optimiser ran only monthly; turnover is therefore measured from the holdings after market movement. The solver required an additional check. When daily covariance was left unscaled, SLSQP could announce convergence without moving far from its starting vector. Annualising the objective and comparing the solution with equal weight revealed the stall. In the retained Equity sample, Minimum Variance differs from Equal Weight at every decision date, and their mean half-L1 distance is about 0.72. That is a material change in the portfolio, rather than a rounding artefact.</w:t>
      </w:r>
      <w:r w:rsidDel="00000000" w:rsidR="00000000" w:rsidRPr="00000000">
        <w:rPr>
          <w:rtl w:val="0"/>
        </w:rPr>
      </w:r>
    </w:p>
    <w:p w:rsidR="00000000" w:rsidDel="00000000" w:rsidP="00000000" w:rsidRDefault="00000000" w:rsidRPr="00000000" w14:paraId="00000011">
      <w:pPr>
        <w:pStyle w:val="Heading1"/>
        <w:keepNext w:val="1"/>
        <w:spacing w:after="160" w:before="320" w:line="269" w:lineRule="auto"/>
        <w:jc w:val="left"/>
        <w:rPr/>
      </w:pPr>
      <w:r w:rsidDel="00000000" w:rsidR="00000000" w:rsidRPr="00000000">
        <w:rPr>
          <w:rFonts w:ascii="Times New Roman" w:cs="Times New Roman" w:eastAsia="Times New Roman" w:hAnsi="Times New Roman"/>
          <w:b w:val="1"/>
          <w:bCs w:val="1"/>
          <w:i w:val="0"/>
          <w:iCs w:val="0"/>
          <w:color w:val="181818"/>
          <w:sz w:val="27"/>
          <w:szCs w:val="27"/>
          <w:rtl w:val="0"/>
        </w:rPr>
        <w:t xml:space="preserve">2. Out-of-sample fund results</w:t>
      </w:r>
      <w:r w:rsidDel="00000000" w:rsidR="00000000" w:rsidRPr="00000000">
        <w:rPr>
          <w:rtl w:val="0"/>
        </w:rPr>
      </w:r>
    </w:p>
    <w:p w:rsidR="00000000" w:rsidDel="00000000" w:rsidP="00000000" w:rsidRDefault="00000000" w:rsidRPr="00000000" w14:paraId="00000012">
      <w:pPr>
        <w:spacing w:after="110" w:before="0" w:line="269" w:lineRule="auto"/>
        <w:jc w:val="both"/>
        <w:rPr/>
      </w:pPr>
      <w:r w:rsidDel="00000000" w:rsidR="00000000" w:rsidRPr="00000000">
        <w:rPr>
          <w:rFonts w:ascii="Times New Roman" w:cs="Times New Roman" w:eastAsia="Times New Roman" w:hAnsi="Times New Roman"/>
          <w:b w:val="0"/>
          <w:bCs w:val="0"/>
          <w:i w:val="0"/>
          <w:iCs w:val="0"/>
          <w:color w:val="181818"/>
          <w:sz w:val="20"/>
          <w:szCs w:val="20"/>
          <w:rtl w:val="0"/>
        </w:rPr>
        <w:t xml:space="preserve">Table 1 does not identify a single winner on every measure. Within the mixed-asset group, Combined Risk Parity has the strongest risk-adjusted record: a Sharpe ratio of 0.91, 14.3% CAGR, 16.2% volatility and a -19.3% maximum drawdown (Figures A2 and A4). Combined Maximum Sharpe finishes marginally higher, at 1.55 times initial wealth and a 15.7% CAGR, although its drawdown reaches -26.2%. An adviser would accept a noticeably larger loss and more concentrated holdings for a small increase in terminal growth.</w:t>
      </w:r>
      <w:r w:rsidDel="00000000" w:rsidR="00000000" w:rsidRPr="00000000">
        <w:rPr>
          <w:rtl w:val="0"/>
        </w:rPr>
      </w:r>
    </w:p>
    <w:p w:rsidR="00000000" w:rsidDel="00000000" w:rsidP="00000000" w:rsidRDefault="00000000" w:rsidRPr="00000000" w14:paraId="00000013">
      <w:pPr>
        <w:pStyle w:val="Heading2"/>
        <w:keepNext w:val="1"/>
        <w:spacing w:after="120" w:before="240" w:line="269" w:lineRule="auto"/>
        <w:jc w:val="left"/>
        <w:rPr/>
      </w:pPr>
      <w:r w:rsidDel="00000000" w:rsidR="00000000" w:rsidRPr="00000000">
        <w:rPr>
          <w:rFonts w:ascii="Times New Roman" w:cs="Times New Roman" w:eastAsia="Times New Roman" w:hAnsi="Times New Roman"/>
          <w:b w:val="1"/>
          <w:bCs w:val="1"/>
          <w:i w:val="0"/>
          <w:iCs w:val="0"/>
          <w:color w:val="181818"/>
          <w:sz w:val="22"/>
          <w:szCs w:val="22"/>
          <w:rtl w:val="0"/>
        </w:rPr>
        <w:t xml:space="preserve">How to read the mixed-asset ranking</w:t>
      </w:r>
      <w:r w:rsidDel="00000000" w:rsidR="00000000" w:rsidRPr="00000000">
        <w:rPr>
          <w:rtl w:val="0"/>
        </w:rPr>
      </w:r>
    </w:p>
    <w:p w:rsidR="00000000" w:rsidDel="00000000" w:rsidP="00000000" w:rsidRDefault="00000000" w:rsidRPr="00000000" w14:paraId="00000014">
      <w:pPr>
        <w:spacing w:after="110" w:before="0" w:line="269" w:lineRule="auto"/>
        <w:ind w:firstLine="238"/>
        <w:jc w:val="both"/>
        <w:rPr/>
      </w:pPr>
      <w:r w:rsidDel="00000000" w:rsidR="00000000" w:rsidRPr="00000000">
        <w:rPr>
          <w:rFonts w:ascii="Times New Roman" w:cs="Times New Roman" w:eastAsia="Times New Roman" w:hAnsi="Times New Roman"/>
          <w:b w:val="0"/>
          <w:bCs w:val="0"/>
          <w:i w:val="0"/>
          <w:iCs w:val="0"/>
          <w:color w:val="181818"/>
          <w:sz w:val="20"/>
          <w:szCs w:val="20"/>
          <w:rtl w:val="0"/>
        </w:rPr>
        <w:t xml:space="preserve">Diversification is only part of the explanation because the trading calendar changes the return sequence. A stand-alone crypto fund compounds across all 365 days. In a Combined fund, the crypto return is calculated on that native calendar but enters the portfolio only on equity sessions. Risk Parity then reduces the weight of assets that appear most volatile in the trailing covariance matrix. Since it does not estimate expected returns, it avoids one especially fragile input in a live sample of only three years.</w:t>
      </w:r>
      <w:r w:rsidDel="00000000" w:rsidR="00000000" w:rsidRPr="00000000">
        <w:rPr>
          <w:rtl w:val="0"/>
        </w:rPr>
      </w:r>
    </w:p>
    <w:p w:rsidR="00000000" w:rsidDel="00000000" w:rsidP="00000000" w:rsidRDefault="00000000" w:rsidRPr="00000000" w14:paraId="00000015">
      <w:pPr>
        <w:spacing w:after="110" w:before="0" w:line="269" w:lineRule="auto"/>
        <w:ind w:firstLine="238"/>
        <w:jc w:val="both"/>
        <w:rPr/>
      </w:pPr>
      <w:r w:rsidDel="00000000" w:rsidR="00000000" w:rsidRPr="00000000">
        <w:rPr>
          <w:rFonts w:ascii="Times New Roman" w:cs="Times New Roman" w:eastAsia="Times New Roman" w:hAnsi="Times New Roman"/>
          <w:b w:val="0"/>
          <w:bCs w:val="0"/>
          <w:i w:val="0"/>
          <w:iCs w:val="0"/>
          <w:color w:val="181818"/>
          <w:sz w:val="20"/>
          <w:szCs w:val="20"/>
          <w:rtl w:val="0"/>
        </w:rPr>
        <w:t xml:space="preserve">Maximum Sharpe must estimate both mean returns and covariance. With three live years, small changes in the estimated means can translate into large positions. Table 3 makes that concentration visible at December 2023, while Figure A2 records the deeper drawdown along the way. Combined Risk Parity is consequently the more defensible opening point for a client discussion. Maximum Sharpe remains relevant as a satellite option for a client who is prepared to tolerate a more concentrated book and a larger temporary loss.</w:t>
      </w:r>
      <w:r w:rsidDel="00000000" w:rsidR="00000000" w:rsidRPr="00000000">
        <w:rPr>
          <w:rtl w:val="0"/>
        </w:rPr>
      </w:r>
    </w:p>
    <w:p w:rsidR="00000000" w:rsidDel="00000000" w:rsidP="00000000" w:rsidRDefault="00000000" w:rsidRPr="00000000" w14:paraId="00000016">
      <w:pPr>
        <w:pStyle w:val="Heading2"/>
        <w:keepNext w:val="1"/>
        <w:spacing w:after="120" w:before="240" w:line="269" w:lineRule="auto"/>
        <w:jc w:val="left"/>
        <w:rPr/>
      </w:pPr>
      <w:r w:rsidDel="00000000" w:rsidR="00000000" w:rsidRPr="00000000">
        <w:rPr>
          <w:rFonts w:ascii="Times New Roman" w:cs="Times New Roman" w:eastAsia="Times New Roman" w:hAnsi="Times New Roman"/>
          <w:b w:val="1"/>
          <w:bCs w:val="1"/>
          <w:i w:val="0"/>
          <w:iCs w:val="0"/>
          <w:color w:val="181818"/>
          <w:sz w:val="22"/>
          <w:szCs w:val="22"/>
          <w:rtl w:val="0"/>
        </w:rPr>
        <w:t xml:space="preserve">Equity and crypto sleeves</w:t>
      </w:r>
      <w:r w:rsidDel="00000000" w:rsidR="00000000" w:rsidRPr="00000000">
        <w:rPr>
          <w:rtl w:val="0"/>
        </w:rPr>
      </w:r>
    </w:p>
    <w:p w:rsidR="00000000" w:rsidDel="00000000" w:rsidP="00000000" w:rsidRDefault="00000000" w:rsidRPr="00000000" w14:paraId="00000017">
      <w:pPr>
        <w:spacing w:after="110" w:before="0" w:line="269" w:lineRule="auto"/>
        <w:ind w:firstLine="238"/>
        <w:jc w:val="both"/>
        <w:rPr/>
      </w:pPr>
      <w:r w:rsidDel="00000000" w:rsidR="00000000" w:rsidRPr="00000000">
        <w:rPr>
          <w:rFonts w:ascii="Times New Roman" w:cs="Times New Roman" w:eastAsia="Times New Roman" w:hAnsi="Times New Roman"/>
          <w:b w:val="0"/>
          <w:bCs w:val="0"/>
          <w:i w:val="0"/>
          <w:iCs w:val="0"/>
          <w:color w:val="181818"/>
          <w:sz w:val="20"/>
          <w:szCs w:val="20"/>
          <w:rtl w:val="0"/>
        </w:rPr>
        <w:t xml:space="preserve">The equity-only results are less favourable to optimisation. Equal Weight leads with a 0.86 Sharpe ratio, ahead of Risk Parity at 0.76 and Minimum Variance at 0.47. In this walk-forward period, the additional estimation did not outperform the transparent baseline. Minimum Variance does not forecast means, so its weaker result is more plausibly associated with the trailing covariance estimate and binding name caps than with the mean-estimation error that affects Maximum Sharpe.</w:t>
      </w:r>
      <w:r w:rsidDel="00000000" w:rsidR="00000000" w:rsidRPr="00000000">
        <w:rPr>
          <w:rtl w:val="0"/>
        </w:rPr>
      </w:r>
    </w:p>
    <w:p w:rsidR="00000000" w:rsidDel="00000000" w:rsidP="00000000" w:rsidRDefault="00000000" w:rsidRPr="00000000" w14:paraId="00000018">
      <w:pPr>
        <w:spacing w:after="110" w:before="0" w:line="269" w:lineRule="auto"/>
        <w:ind w:firstLine="238"/>
        <w:jc w:val="both"/>
        <w:rPr/>
      </w:pPr>
      <w:r w:rsidDel="00000000" w:rsidR="00000000" w:rsidRPr="00000000">
        <w:rPr>
          <w:rFonts w:ascii="Times New Roman" w:cs="Times New Roman" w:eastAsia="Times New Roman" w:hAnsi="Times New Roman"/>
          <w:b w:val="0"/>
          <w:bCs w:val="0"/>
          <w:i w:val="0"/>
          <w:iCs w:val="0"/>
          <w:color w:val="181818"/>
          <w:sz w:val="20"/>
          <w:szCs w:val="20"/>
          <w:rtl w:val="0"/>
        </w:rPr>
        <w:t xml:space="preserve">Crypto Minimum Variance is the strongest crypto sleeve, with a 1.04 Sharpe ratio and 62.1% CAGR. Crypto Maximum Sharpe illustrates why CAGR and Sharpe must be read together: its annualised arithmetic mean-to-volatility ratio is positive at 0.35, yet compounded CAGR is -2.7%. Several unusually strong days can raise the arithmetic mean even though volatility and the order of returns leave final wealth below its starting value.</w:t>
      </w:r>
      <w:r w:rsidDel="00000000" w:rsidR="00000000" w:rsidRPr="00000000">
        <w:rPr>
          <w:rtl w:val="0"/>
        </w:rPr>
      </w:r>
    </w:p>
    <w:p w:rsidR="00000000" w:rsidDel="00000000" w:rsidP="00000000" w:rsidRDefault="00000000" w:rsidRPr="00000000" w14:paraId="00000019">
      <w:pPr>
        <w:keepNext w:val="1"/>
        <w:spacing w:after="160" w:before="120" w:line="269" w:lineRule="auto"/>
        <w:jc w:val="left"/>
        <w:rPr/>
      </w:pPr>
      <w:r w:rsidDel="00000000" w:rsidR="00000000" w:rsidRPr="00000000">
        <w:rPr>
          <w:rFonts w:ascii="Times New Roman" w:cs="Times New Roman" w:eastAsia="Times New Roman" w:hAnsi="Times New Roman"/>
          <w:b w:val="0"/>
          <w:bCs w:val="0"/>
          <w:i w:val="1"/>
          <w:iCs w:val="1"/>
          <w:color w:val="181818"/>
          <w:sz w:val="18"/>
          <w:szCs w:val="18"/>
          <w:rtl w:val="0"/>
        </w:rPr>
        <w:t xml:space="preserve">Table 1. Out-of-sample performance. CAGR is the annualised return from the growth-of-one path. Sharpe is annualised arithmetic mean divided by annualised volatility, risk-free rate zero. Equity-calendar funds use 252 days; native crypto funds use 365. Source: performance_metrics.csv. See Figures A1 and A4.</w:t>
      </w:r>
      <w:r w:rsidDel="00000000" w:rsidR="00000000" w:rsidRPr="00000000">
        <w:rPr>
          <w:rtl w:val="0"/>
        </w:rPr>
      </w:r>
    </w:p>
    <w:tbl>
      <w:tblPr>
        <w:tblStyle w:val="Table1"/>
        <w:tblW w:w="9636.0" w:type="dxa"/>
        <w:jc w:val="center"/>
        <w:tblLayout w:type="fixed"/>
        <w:tblLook w:val="0400"/>
      </w:tblPr>
      <w:tblGrid>
        <w:gridCol w:w="1606"/>
        <w:gridCol w:w="1606"/>
        <w:gridCol w:w="1606"/>
        <w:gridCol w:w="1606"/>
        <w:gridCol w:w="1606"/>
        <w:gridCol w:w="1606"/>
        <w:tblGridChange w:id="0">
          <w:tblGrid>
            <w:gridCol w:w="1606"/>
            <w:gridCol w:w="1606"/>
            <w:gridCol w:w="1606"/>
            <w:gridCol w:w="1606"/>
            <w:gridCol w:w="1606"/>
            <w:gridCol w:w="1606"/>
          </w:tblGrid>
        </w:tblGridChange>
      </w:tblGrid>
      <w:tr>
        <w:trPr>
          <w:cantSplit w:val="1"/>
          <w:tblHeader w:val="1"/>
        </w:trPr>
        <w:tc>
          <w:tcPr>
            <w:tcBorders>
              <w:top w:color="a8a8a8" w:space="0" w:sz="4" w:val="single"/>
              <w:left w:color="a8a8a8" w:space="0" w:sz="4" w:val="single"/>
              <w:bottom w:color="a8a8a8" w:space="0" w:sz="4" w:val="single"/>
              <w:right w:color="a8a8a8" w:space="0" w:sz="4" w:val="single"/>
            </w:tcBorders>
            <w:shd w:fill="ffffff" w:val="clear"/>
            <w:tcMar>
              <w:top w:w="110.0" w:type="dxa"/>
              <w:bottom w:w="110.0" w:type="dxa"/>
            </w:tcMar>
            <w:vAlign w:val="center"/>
          </w:tcPr>
          <w:p w:rsidR="00000000" w:rsidDel="00000000" w:rsidP="00000000" w:rsidRDefault="00000000" w:rsidRPr="00000000" w14:paraId="0000001A">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Fund</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110.0" w:type="dxa"/>
              <w:bottom w:w="110.0" w:type="dxa"/>
            </w:tcMar>
            <w:vAlign w:val="center"/>
          </w:tcPr>
          <w:p w:rsidR="00000000" w:rsidDel="00000000" w:rsidP="00000000" w:rsidRDefault="00000000" w:rsidRPr="00000000" w14:paraId="0000001B">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CAGR</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110.0" w:type="dxa"/>
              <w:bottom w:w="110.0" w:type="dxa"/>
            </w:tcMar>
            <w:vAlign w:val="center"/>
          </w:tcPr>
          <w:p w:rsidR="00000000" w:rsidDel="00000000" w:rsidP="00000000" w:rsidRDefault="00000000" w:rsidRPr="00000000" w14:paraId="0000001C">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Vol.</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110.0" w:type="dxa"/>
              <w:bottom w:w="110.0" w:type="dxa"/>
            </w:tcMar>
            <w:vAlign w:val="center"/>
          </w:tcPr>
          <w:p w:rsidR="00000000" w:rsidDel="00000000" w:rsidP="00000000" w:rsidRDefault="00000000" w:rsidRPr="00000000" w14:paraId="0000001D">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Sharpe</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110.0" w:type="dxa"/>
              <w:bottom w:w="110.0" w:type="dxa"/>
            </w:tcMar>
            <w:vAlign w:val="center"/>
          </w:tcPr>
          <w:p w:rsidR="00000000" w:rsidDel="00000000" w:rsidP="00000000" w:rsidRDefault="00000000" w:rsidRPr="00000000" w14:paraId="0000001E">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MaxDD</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110.0" w:type="dxa"/>
              <w:bottom w:w="110.0" w:type="dxa"/>
            </w:tcMar>
            <w:vAlign w:val="center"/>
          </w:tcPr>
          <w:p w:rsidR="00000000" w:rsidDel="00000000" w:rsidP="00000000" w:rsidRDefault="00000000" w:rsidRPr="00000000" w14:paraId="0000001F">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Terminal</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20">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Eq EW</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21">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13.3%</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22">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16.1%</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23">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0.86</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24">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-20.2%</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25">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1.45x</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26">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Eq MinVar</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27">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5.4%</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28">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12.7%</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29">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0.47</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2A">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-14.9%</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2B">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1.17x</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2C">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Eq MaxSharpe</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2D">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7.0%</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2E">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17.5%</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2F">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0.48</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30">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-22.8%</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31">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1.22x</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32">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Eq RP</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33">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10.4%</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34">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14.5%</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35">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0.76</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36">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-18.4%</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37">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1.34x</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38">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Cry EW</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39">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37.1%</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3A">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81.7%</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3B">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0.80</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3C">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-81.7%</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3D">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2.58x</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3E">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Cry MinVar</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3F">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62.1%</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40">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71.2%</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41">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1.04</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42">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-71.5%</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43">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4.25x</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44">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Cry MaxSharpe</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45">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-2.7%</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46">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76.2%</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47">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0.35</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48">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-85.6%</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49">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0.92x</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4A">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Cry RP</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4B">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41.0%</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4C">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79.7%</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4D">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0.83</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4E">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-80.1%</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4F">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2.80x</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50">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Comb EW</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51">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15.5%</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52">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21.5%</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53">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0.78</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54">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-27.7%</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55">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1.54x</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56">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Comb MinVar</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57">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5.4%</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58">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12.8%</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59">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0.48</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5A">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-15.1%</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5B">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1.17x</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5C">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Comb MaxSharpe</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5D">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15.7%</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5E">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23.3%</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5F">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0.74</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60">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-26.2%</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61">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1.55x</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62">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Comb RP</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63">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14.3%</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64">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16.2%</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65">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0.91</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66">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-19.3%</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67">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1.49x</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68">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Eq MinVar+Sent</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69">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5.3%</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6A">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12.7%</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6B">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0.47</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6C">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-14.9%</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6D">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1.17x</w:t>
            </w:r>
            <w:r w:rsidDel="00000000" w:rsidR="00000000" w:rsidRPr="00000000">
              <w:rPr>
                <w:rtl w:val="0"/>
              </w:rPr>
            </w:r>
          </w:p>
        </w:tc>
      </w:tr>
    </w:tbl>
    <w:p w:rsidR="00000000" w:rsidDel="00000000" w:rsidP="00000000" w:rsidRDefault="00000000" w:rsidRPr="00000000" w14:paraId="0000006E">
      <w:pPr>
        <w:spacing w:after="120" w:lineRule="auto"/>
        <w:rPr/>
      </w:pPr>
      <w:r w:rsidDel="00000000" w:rsidR="00000000" w:rsidRPr="00000000">
        <w:rPr>
          <w:rtl w:val="0"/>
        </w:rPr>
      </w:r>
    </w:p>
    <w:p w:rsidR="00000000" w:rsidDel="00000000" w:rsidP="00000000" w:rsidRDefault="00000000" w:rsidRPr="00000000" w14:paraId="0000006F">
      <w:pPr>
        <w:pStyle w:val="Heading2"/>
        <w:keepNext w:val="1"/>
        <w:spacing w:after="120" w:before="240" w:line="269" w:lineRule="auto"/>
        <w:jc w:val="left"/>
        <w:rPr/>
      </w:pPr>
      <w:r w:rsidDel="00000000" w:rsidR="00000000" w:rsidRPr="00000000">
        <w:rPr>
          <w:rFonts w:ascii="Times New Roman" w:cs="Times New Roman" w:eastAsia="Times New Roman" w:hAnsi="Times New Roman"/>
          <w:b w:val="1"/>
          <w:bCs w:val="1"/>
          <w:i w:val="0"/>
          <w:iCs w:val="0"/>
          <w:color w:val="181818"/>
          <w:sz w:val="22"/>
          <w:szCs w:val="22"/>
          <w:rtl w:val="0"/>
        </w:rPr>
        <w:t xml:space="preserve">Concentration and the Combined sleeve</w:t>
      </w:r>
      <w:r w:rsidDel="00000000" w:rsidR="00000000" w:rsidRPr="00000000">
        <w:rPr>
          <w:rtl w:val="0"/>
        </w:rPr>
      </w:r>
    </w:p>
    <w:p w:rsidR="00000000" w:rsidDel="00000000" w:rsidP="00000000" w:rsidRDefault="00000000" w:rsidRPr="00000000" w14:paraId="00000070">
      <w:pPr>
        <w:spacing w:after="110" w:before="0" w:line="269" w:lineRule="auto"/>
        <w:ind w:firstLine="238"/>
        <w:jc w:val="both"/>
        <w:rPr/>
      </w:pPr>
      <w:r w:rsidDel="00000000" w:rsidR="00000000" w:rsidRPr="00000000">
        <w:rPr>
          <w:rFonts w:ascii="Times New Roman" w:cs="Times New Roman" w:eastAsia="Times New Roman" w:hAnsi="Times New Roman"/>
          <w:b w:val="0"/>
          <w:bCs w:val="0"/>
          <w:i w:val="0"/>
          <w:iCs w:val="0"/>
          <w:color w:val="181818"/>
          <w:sz w:val="20"/>
          <w:szCs w:val="20"/>
          <w:rtl w:val="0"/>
        </w:rPr>
        <w:t xml:space="preserve">Figure A3 plots the decision weights of Combined Minimum Variance and Risk Parity, placing all unshown holdings in Other so the areas sum to one. Risk Parity remains relatively dispersed, consistent with the shallower drawdown in Figure A2. Minimum Variance clusters more heavily in names that appeared quiet in the trailing covariance matrix. This follows from its objective, but the apparent safety depends on the selected cluster continuing to behave as it did during estimation.</w:t>
      </w:r>
      <w:r w:rsidDel="00000000" w:rsidR="00000000" w:rsidRPr="00000000">
        <w:rPr>
          <w:rtl w:val="0"/>
        </w:rPr>
      </w:r>
    </w:p>
    <w:p w:rsidR="00000000" w:rsidDel="00000000" w:rsidP="00000000" w:rsidRDefault="00000000" w:rsidRPr="00000000" w14:paraId="00000071">
      <w:pPr>
        <w:spacing w:after="110" w:before="0" w:line="269" w:lineRule="auto"/>
        <w:ind w:firstLine="238"/>
        <w:jc w:val="both"/>
        <w:rPr/>
      </w:pPr>
      <w:r w:rsidDel="00000000" w:rsidR="00000000" w:rsidRPr="00000000">
        <w:rPr>
          <w:rFonts w:ascii="Times New Roman" w:cs="Times New Roman" w:eastAsia="Times New Roman" w:hAnsi="Times New Roman"/>
          <w:b w:val="0"/>
          <w:bCs w:val="0"/>
          <w:i w:val="0"/>
          <w:iCs w:val="0"/>
          <w:color w:val="181818"/>
          <w:sz w:val="20"/>
          <w:szCs w:val="20"/>
          <w:rtl w:val="0"/>
        </w:rPr>
        <w:t xml:space="preserve">Across the menu, the Combined sleeve moderates native-crypto volatility without removing crypto exposure. Pure Crypto Equal Weight and Risk Parity end with much greater wealth, but their drawdowns are extreme; Crypto Maximum Sharpe also combines a positive Sharpe ratio with a negative CAGR. The alternatives therefore suit different clients. Combined Risk Parity is a plausible default on the equity-session calendar, whereas a pure-crypto fund would require a separate discussion with a substantially more risk-tolerant investor.</w:t>
      </w:r>
      <w:r w:rsidDel="00000000" w:rsidR="00000000" w:rsidRPr="00000000">
        <w:rPr>
          <w:rtl w:val="0"/>
        </w:rPr>
      </w:r>
    </w:p>
    <w:p w:rsidR="00000000" w:rsidDel="00000000" w:rsidP="00000000" w:rsidRDefault="00000000" w:rsidRPr="00000000" w14:paraId="00000072">
      <w:pPr>
        <w:keepNext w:val="1"/>
        <w:spacing w:after="160" w:before="120" w:line="269" w:lineRule="auto"/>
        <w:jc w:val="left"/>
        <w:rPr/>
      </w:pPr>
      <w:r w:rsidDel="00000000" w:rsidR="00000000" w:rsidRPr="00000000">
        <w:rPr>
          <w:rFonts w:ascii="Times New Roman" w:cs="Times New Roman" w:eastAsia="Times New Roman" w:hAnsi="Times New Roman"/>
          <w:b w:val="0"/>
          <w:bCs w:val="0"/>
          <w:i w:val="1"/>
          <w:iCs w:val="1"/>
          <w:color w:val="181818"/>
          <w:sz w:val="18"/>
          <w:szCs w:val="18"/>
          <w:rtl w:val="0"/>
        </w:rPr>
        <w:t xml:space="preserve">Table 2. Latest Combined Risk Parity decision weights, top five. Source: latest_holdings_snapshot.csv.</w:t>
      </w:r>
      <w:r w:rsidDel="00000000" w:rsidR="00000000" w:rsidRPr="00000000">
        <w:rPr>
          <w:rtl w:val="0"/>
        </w:rPr>
      </w:r>
    </w:p>
    <w:tbl>
      <w:tblPr>
        <w:tblStyle w:val="Table2"/>
        <w:tblW w:w="9638.0" w:type="dxa"/>
        <w:jc w:val="center"/>
        <w:tblLayout w:type="fixed"/>
        <w:tblLook w:val="0400"/>
      </w:tblPr>
      <w:tblGrid>
        <w:gridCol w:w="4819"/>
        <w:gridCol w:w="4819"/>
        <w:tblGridChange w:id="0">
          <w:tblGrid>
            <w:gridCol w:w="4819"/>
            <w:gridCol w:w="4819"/>
          </w:tblGrid>
        </w:tblGridChange>
      </w:tblGrid>
      <w:tr>
        <w:trPr>
          <w:cantSplit w:val="1"/>
          <w:tblHeader w:val="1"/>
        </w:trPr>
        <w:tc>
          <w:tcPr>
            <w:tcBorders>
              <w:top w:color="a8a8a8" w:space="0" w:sz="4" w:val="single"/>
              <w:left w:color="a8a8a8" w:space="0" w:sz="4" w:val="single"/>
              <w:bottom w:color="a8a8a8" w:space="0" w:sz="4" w:val="single"/>
              <w:right w:color="a8a8a8" w:space="0" w:sz="4" w:val="single"/>
            </w:tcBorders>
            <w:shd w:fill="ffffff" w:val="clear"/>
            <w:tcMar>
              <w:top w:w="110.0" w:type="dxa"/>
              <w:bottom w:w="110.0" w:type="dxa"/>
            </w:tcMar>
            <w:vAlign w:val="center"/>
          </w:tcPr>
          <w:p w:rsidR="00000000" w:rsidDel="00000000" w:rsidP="00000000" w:rsidRDefault="00000000" w:rsidRPr="00000000" w14:paraId="00000073">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Ticker</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110.0" w:type="dxa"/>
              <w:bottom w:w="110.0" w:type="dxa"/>
            </w:tcMar>
            <w:vAlign w:val="center"/>
          </w:tcPr>
          <w:p w:rsidR="00000000" w:rsidDel="00000000" w:rsidP="00000000" w:rsidRDefault="00000000" w:rsidRPr="00000000" w14:paraId="00000074">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Weight</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75">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MRK</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76">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3.81%</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77">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ABBV</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78">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3.74%</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79">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WMT</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7A">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3.37%</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7B">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KO</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7C">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3.19%</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7D">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TMUS</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7E">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3.17%</w:t>
            </w:r>
            <w:r w:rsidDel="00000000" w:rsidR="00000000" w:rsidRPr="00000000">
              <w:rPr>
                <w:rtl w:val="0"/>
              </w:rPr>
            </w:r>
          </w:p>
        </w:tc>
      </w:tr>
    </w:tbl>
    <w:p w:rsidR="00000000" w:rsidDel="00000000" w:rsidP="00000000" w:rsidRDefault="00000000" w:rsidRPr="00000000" w14:paraId="0000007F">
      <w:pPr>
        <w:spacing w:after="120" w:lineRule="auto"/>
        <w:rPr/>
      </w:pPr>
      <w:r w:rsidDel="00000000" w:rsidR="00000000" w:rsidRPr="00000000">
        <w:rPr>
          <w:rtl w:val="0"/>
        </w:rPr>
      </w:r>
    </w:p>
    <w:p w:rsidR="00000000" w:rsidDel="00000000" w:rsidP="00000000" w:rsidRDefault="00000000" w:rsidRPr="00000000" w14:paraId="00000080">
      <w:pPr>
        <w:keepNext w:val="1"/>
        <w:spacing w:after="160" w:before="120" w:line="269" w:lineRule="auto"/>
        <w:jc w:val="left"/>
        <w:rPr/>
      </w:pPr>
      <w:r w:rsidDel="00000000" w:rsidR="00000000" w:rsidRPr="00000000">
        <w:rPr>
          <w:rFonts w:ascii="Times New Roman" w:cs="Times New Roman" w:eastAsia="Times New Roman" w:hAnsi="Times New Roman"/>
          <w:b w:val="0"/>
          <w:bCs w:val="0"/>
          <w:i w:val="1"/>
          <w:iCs w:val="1"/>
          <w:color w:val="181818"/>
          <w:sz w:val="18"/>
          <w:szCs w:val="18"/>
          <w:rtl w:val="0"/>
        </w:rPr>
        <w:t xml:space="preserve">Table 3. Latest Combined Maximum Sharpe decision weights, top five. Source: latest_holdings_snapshot.csv.</w:t>
      </w:r>
      <w:r w:rsidDel="00000000" w:rsidR="00000000" w:rsidRPr="00000000">
        <w:rPr>
          <w:rtl w:val="0"/>
        </w:rPr>
      </w:r>
    </w:p>
    <w:tbl>
      <w:tblPr>
        <w:tblStyle w:val="Table3"/>
        <w:tblW w:w="9638.0" w:type="dxa"/>
        <w:jc w:val="center"/>
        <w:tblLayout w:type="fixed"/>
        <w:tblLook w:val="0400"/>
      </w:tblPr>
      <w:tblGrid>
        <w:gridCol w:w="4819"/>
        <w:gridCol w:w="4819"/>
        <w:tblGridChange w:id="0">
          <w:tblGrid>
            <w:gridCol w:w="4819"/>
            <w:gridCol w:w="4819"/>
          </w:tblGrid>
        </w:tblGridChange>
      </w:tblGrid>
      <w:tr>
        <w:trPr>
          <w:cantSplit w:val="1"/>
          <w:tblHeader w:val="1"/>
        </w:trPr>
        <w:tc>
          <w:tcPr>
            <w:tcBorders>
              <w:top w:color="a8a8a8" w:space="0" w:sz="4" w:val="single"/>
              <w:left w:color="a8a8a8" w:space="0" w:sz="4" w:val="single"/>
              <w:bottom w:color="a8a8a8" w:space="0" w:sz="4" w:val="single"/>
              <w:right w:color="a8a8a8" w:space="0" w:sz="4" w:val="single"/>
            </w:tcBorders>
            <w:shd w:fill="ffffff" w:val="clear"/>
            <w:tcMar>
              <w:top w:w="110.0" w:type="dxa"/>
              <w:bottom w:w="110.0" w:type="dxa"/>
            </w:tcMar>
            <w:vAlign w:val="center"/>
          </w:tcPr>
          <w:p w:rsidR="00000000" w:rsidDel="00000000" w:rsidP="00000000" w:rsidRDefault="00000000" w:rsidRPr="00000000" w14:paraId="00000081">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Ticker</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110.0" w:type="dxa"/>
              <w:bottom w:w="110.0" w:type="dxa"/>
            </w:tcMar>
            <w:vAlign w:val="center"/>
          </w:tcPr>
          <w:p w:rsidR="00000000" w:rsidDel="00000000" w:rsidP="00000000" w:rsidRDefault="00000000" w:rsidRPr="00000000" w14:paraId="00000082">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Weight</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83">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GE</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84">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25.00%</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85">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NVDA</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86">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20.09%</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87">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SO</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88">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16.86%</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89">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ADBE</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8A">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10.32%</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8B">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BTC-USD</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8C">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10.29%</w:t>
            </w:r>
            <w:r w:rsidDel="00000000" w:rsidR="00000000" w:rsidRPr="00000000">
              <w:rPr>
                <w:rtl w:val="0"/>
              </w:rPr>
            </w:r>
          </w:p>
        </w:tc>
      </w:tr>
    </w:tbl>
    <w:p w:rsidR="00000000" w:rsidDel="00000000" w:rsidP="00000000" w:rsidRDefault="00000000" w:rsidRPr="00000000" w14:paraId="0000008D">
      <w:pPr>
        <w:spacing w:after="120" w:lineRule="auto"/>
        <w:rPr/>
      </w:pPr>
      <w:r w:rsidDel="00000000" w:rsidR="00000000" w:rsidRPr="00000000">
        <w:rPr>
          <w:rtl w:val="0"/>
        </w:rPr>
      </w:r>
    </w:p>
    <w:p w:rsidR="00000000" w:rsidDel="00000000" w:rsidP="00000000" w:rsidRDefault="00000000" w:rsidRPr="00000000" w14:paraId="0000008E">
      <w:pPr>
        <w:spacing w:after="200" w:before="80" w:line="269" w:lineRule="auto"/>
        <w:jc w:val="both"/>
        <w:rPr/>
      </w:pPr>
      <w:r w:rsidDel="00000000" w:rsidR="00000000" w:rsidRPr="00000000">
        <w:rPr>
          <w:rFonts w:ascii="Times New Roman" w:cs="Times New Roman" w:eastAsia="Times New Roman" w:hAnsi="Times New Roman"/>
          <w:b w:val="0"/>
          <w:bCs w:val="0"/>
          <w:i w:val="1"/>
          <w:iCs w:val="1"/>
          <w:color w:val="2e2e2e"/>
          <w:sz w:val="19"/>
          <w:szCs w:val="19"/>
          <w:rtl w:val="0"/>
        </w:rPr>
        <w:t xml:space="preserve">These tables are end-of-sample snapshots. They describe concentration at the final decision date, not the full path from 2021 to 2023. A large December 2023 weight cannot explain performance earlier in the sample.</w:t>
      </w:r>
      <w:r w:rsidDel="00000000" w:rsidR="00000000" w:rsidRPr="00000000">
        <w:rPr>
          <w:rtl w:val="0"/>
        </w:rPr>
      </w:r>
    </w:p>
    <w:p w:rsidR="00000000" w:rsidDel="00000000" w:rsidP="00000000" w:rsidRDefault="00000000" w:rsidRPr="00000000" w14:paraId="0000008F">
      <w:pPr>
        <w:pStyle w:val="Heading1"/>
        <w:keepNext w:val="1"/>
        <w:spacing w:after="160" w:before="320" w:line="269" w:lineRule="auto"/>
        <w:jc w:val="left"/>
        <w:rPr/>
      </w:pPr>
      <w:r w:rsidDel="00000000" w:rsidR="00000000" w:rsidRPr="00000000">
        <w:rPr>
          <w:rFonts w:ascii="Times New Roman" w:cs="Times New Roman" w:eastAsia="Times New Roman" w:hAnsi="Times New Roman"/>
          <w:b w:val="1"/>
          <w:bCs w:val="1"/>
          <w:i w:val="0"/>
          <w:iCs w:val="0"/>
          <w:color w:val="181818"/>
          <w:sz w:val="27"/>
          <w:szCs w:val="27"/>
          <w:rtl w:val="0"/>
        </w:rPr>
        <w:t xml:space="preserve">3. Sentiment model, sector index, and fusion</w:t>
      </w:r>
      <w:r w:rsidDel="00000000" w:rsidR="00000000" w:rsidRPr="00000000">
        <w:rPr>
          <w:rtl w:val="0"/>
        </w:rPr>
      </w:r>
    </w:p>
    <w:p w:rsidR="00000000" w:rsidDel="00000000" w:rsidP="00000000" w:rsidRDefault="00000000" w:rsidRPr="00000000" w14:paraId="00000090">
      <w:pPr>
        <w:spacing w:after="110" w:before="0" w:line="269" w:lineRule="auto"/>
        <w:jc w:val="both"/>
        <w:rPr/>
      </w:pPr>
      <w:r w:rsidDel="00000000" w:rsidR="00000000" w:rsidRPr="00000000">
        <w:rPr>
          <w:rFonts w:ascii="Times New Roman" w:cs="Times New Roman" w:eastAsia="Times New Roman" w:hAnsi="Times New Roman"/>
          <w:b w:val="0"/>
          <w:bCs w:val="0"/>
          <w:i w:val="0"/>
          <w:iCs w:val="0"/>
          <w:color w:val="181818"/>
          <w:sz w:val="20"/>
          <w:szCs w:val="20"/>
          <w:rtl w:val="0"/>
        </w:rPr>
        <w:t xml:space="preserve">Part B retains the headline assembly established in Part A. Exact ticker-date-title duplicates are removed; each remaining headline is assigned to the current equity session, or the next session if the market is closed. Unmodified Base VADER and Week 9 finVADER scores provide the comparison points for the project extensions. The Week 9 analyser combines NLTK VADER, SentiBigNomics scaled by 0.1 and the Henry lexicon, matching the course helper and Korab's FinVADER resources. Its finance vocabulary also addresses the problem identified by Loughran and McDonald (2011): an apparently negative word in ordinary language may have a different meaning in financial text.</w:t>
      </w:r>
      <w:r w:rsidDel="00000000" w:rsidR="00000000" w:rsidRPr="00000000">
        <w:rPr>
          <w:rtl w:val="0"/>
        </w:rPr>
      </w:r>
    </w:p>
    <w:p w:rsidR="00000000" w:rsidDel="00000000" w:rsidP="00000000" w:rsidRDefault="00000000" w:rsidRPr="00000000" w14:paraId="00000091">
      <w:pPr>
        <w:spacing w:after="110" w:before="0" w:line="269" w:lineRule="auto"/>
        <w:ind w:firstLine="238"/>
        <w:jc w:val="both"/>
        <w:rPr/>
      </w:pPr>
      <w:r w:rsidDel="00000000" w:rsidR="00000000" w:rsidRPr="00000000">
        <w:rPr>
          <w:rFonts w:ascii="Times New Roman" w:cs="Times New Roman" w:eastAsia="Times New Roman" w:hAnsi="Times New Roman"/>
          <w:b w:val="0"/>
          <w:bCs w:val="0"/>
          <w:i w:val="0"/>
          <w:iCs w:val="0"/>
          <w:color w:val="181818"/>
          <w:sz w:val="20"/>
          <w:szCs w:val="20"/>
          <w:rtl w:val="0"/>
        </w:rPr>
        <w:t xml:space="preserve">Signal Harbour extends the Week 9 score with documented masks, additional finance terms and negation-aware phrases. Coverage and the elevated-volume component of Part A's Attention Pulse then modify confidence in the score. Only unusual increases in news volume can raise confidence; quiet days do not receive a bonus. Missing ticker-days are restored as neutral before sector averaging, so Figure A5 and the portfolio signal share one no-news convention. A one-session lag is applied before the score becomes tradable.</w:t>
      </w:r>
      <w:r w:rsidDel="00000000" w:rsidR="00000000" w:rsidRPr="00000000">
        <w:rPr>
          <w:rtl w:val="0"/>
        </w:rPr>
      </w:r>
    </w:p>
    <w:p w:rsidR="00000000" w:rsidDel="00000000" w:rsidP="00000000" w:rsidRDefault="00000000" w:rsidRPr="00000000" w14:paraId="00000092">
      <w:pPr>
        <w:pStyle w:val="Heading2"/>
        <w:keepNext w:val="1"/>
        <w:spacing w:after="120" w:before="240" w:line="269" w:lineRule="auto"/>
        <w:jc w:val="left"/>
        <w:rPr/>
      </w:pPr>
      <w:r w:rsidDel="00000000" w:rsidR="00000000" w:rsidRPr="00000000">
        <w:rPr>
          <w:rFonts w:ascii="Times New Roman" w:cs="Times New Roman" w:eastAsia="Times New Roman" w:hAnsi="Times New Roman"/>
          <w:b w:val="1"/>
          <w:bCs w:val="1"/>
          <w:i w:val="0"/>
          <w:iCs w:val="0"/>
          <w:color w:val="181818"/>
          <w:sz w:val="22"/>
          <w:szCs w:val="22"/>
          <w:rtl w:val="0"/>
        </w:rPr>
        <w:t xml:space="preserve">The sector index as an economic series</w:t>
      </w:r>
      <w:r w:rsidDel="00000000" w:rsidR="00000000" w:rsidRPr="00000000">
        <w:rPr>
          <w:rtl w:val="0"/>
        </w:rPr>
      </w:r>
    </w:p>
    <w:p w:rsidR="00000000" w:rsidDel="00000000" w:rsidP="00000000" w:rsidRDefault="00000000" w:rsidRPr="00000000" w14:paraId="00000093">
      <w:pPr>
        <w:spacing w:after="110" w:before="0" w:line="269" w:lineRule="auto"/>
        <w:ind w:firstLine="238"/>
        <w:jc w:val="both"/>
        <w:rPr/>
      </w:pPr>
      <w:r w:rsidDel="00000000" w:rsidR="00000000" w:rsidRPr="00000000">
        <w:rPr>
          <w:rFonts w:ascii="Times New Roman" w:cs="Times New Roman" w:eastAsia="Times New Roman" w:hAnsi="Times New Roman"/>
          <w:b w:val="0"/>
          <w:bCs w:val="0"/>
          <w:i w:val="0"/>
          <w:iCs w:val="0"/>
          <w:color w:val="181818"/>
          <w:sz w:val="20"/>
          <w:szCs w:val="20"/>
          <w:rtl w:val="0"/>
        </w:rPr>
        <w:t xml:space="preserve">Figure A5 tracks the lagged tone of the headline panel rather than a stand-alone market-timing rule. Sector averages are mildly positive over 2020-2023, but their ordering shifts. During the February-April 2020 COVID stress window, Energy is lowest </w:t>
      </w:r>
      <w:r w:rsidDel="00000000" w:rsidR="00000000" w:rsidRPr="00000000">
        <w:rPr>
          <w:rFonts w:ascii="Times New Roman" w:cs="Times New Roman" w:eastAsia="Times New Roman" w:hAnsi="Times New Roman"/>
          <w:color w:val="181818"/>
          <w:sz w:val="20"/>
          <w:szCs w:val="20"/>
          <w:rtl w:val="0"/>
        </w:rPr>
        <w:t xml:space="preserve">around the figure of 0.009</w:t>
      </w:r>
      <w:r w:rsidDel="00000000" w:rsidR="00000000" w:rsidRPr="00000000">
        <w:rPr>
          <w:rFonts w:ascii="Times New Roman" w:cs="Times New Roman" w:eastAsia="Times New Roman" w:hAnsi="Times New Roman"/>
          <w:b w:val="0"/>
          <w:bCs w:val="0"/>
          <w:i w:val="0"/>
          <w:iCs w:val="0"/>
          <w:color w:val="181818"/>
          <w:sz w:val="20"/>
          <w:szCs w:val="20"/>
          <w:rtl w:val="0"/>
        </w:rPr>
        <w:t xml:space="preserve">, while Technology and Real Estate are nearer 0.05. The pattern is compatible with the energy-demand shock and relatively resilient wording in the supplied Technology and Real Estate headlines. It remains a textual interpretation: the index neither measures realised sector returns nor identifies why the language changed.</w:t>
      </w:r>
      <w:r w:rsidDel="00000000" w:rsidR="00000000" w:rsidRPr="00000000">
        <w:rPr>
          <w:rtl w:val="0"/>
        </w:rPr>
      </w:r>
    </w:p>
    <w:p w:rsidR="00000000" w:rsidDel="00000000" w:rsidP="00000000" w:rsidRDefault="00000000" w:rsidRPr="00000000" w14:paraId="00000094">
      <w:pPr>
        <w:spacing w:after="110" w:before="0" w:line="269" w:lineRule="auto"/>
        <w:ind w:firstLine="238"/>
        <w:jc w:val="both"/>
        <w:rPr/>
      </w:pPr>
      <w:r w:rsidDel="00000000" w:rsidR="00000000" w:rsidRPr="00000000">
        <w:rPr>
          <w:rFonts w:ascii="Times New Roman" w:cs="Times New Roman" w:eastAsia="Times New Roman" w:hAnsi="Times New Roman"/>
          <w:b w:val="0"/>
          <w:bCs w:val="0"/>
          <w:i w:val="0"/>
          <w:iCs w:val="0"/>
          <w:color w:val="181818"/>
          <w:sz w:val="20"/>
          <w:szCs w:val="20"/>
          <w:rtl w:val="0"/>
        </w:rPr>
        <w:t xml:space="preserve">The ordering changes by 2022. Energy rises to roughly 0.061, above Materials and Communications at around 0.023-0.030. Inflation, stronger energy cash flows and supply concerns offer an economically plausible reading of that shift, although they do not validate the index. Healthcare also moves from approximately 0.036 in 2021 to 0.053 in 2023, and Technology recovers from 0.033 in 2022 to 0.051 in 2023.</w:t>
      </w:r>
      <w:r w:rsidDel="00000000" w:rsidR="00000000" w:rsidRPr="00000000">
        <w:rPr>
          <w:rtl w:val="0"/>
        </w:rPr>
      </w:r>
    </w:p>
    <w:p w:rsidR="00000000" w:rsidDel="00000000" w:rsidP="00000000" w:rsidRDefault="00000000" w:rsidRPr="00000000" w14:paraId="00000095">
      <w:pPr>
        <w:spacing w:after="110" w:before="0" w:line="269" w:lineRule="auto"/>
        <w:ind w:firstLine="238"/>
        <w:jc w:val="both"/>
        <w:rPr/>
      </w:pPr>
      <w:r w:rsidDel="00000000" w:rsidR="00000000" w:rsidRPr="00000000">
        <w:rPr>
          <w:rFonts w:ascii="Times New Roman" w:cs="Times New Roman" w:eastAsia="Times New Roman" w:hAnsi="Times New Roman"/>
          <w:b w:val="0"/>
          <w:bCs w:val="0"/>
          <w:i w:val="0"/>
          <w:iCs w:val="0"/>
          <w:color w:val="181818"/>
          <w:sz w:val="20"/>
          <w:szCs w:val="20"/>
          <w:rtl w:val="0"/>
        </w:rPr>
        <w:t xml:space="preserve">Figure A11 places these movements against uneven news coverage. Technology and Consumer average more than five headlines on news-bearing ticker-days; Materials and Real Estate are closer to two and have larger shares of exact-zero raw scores. Context weighting reduces the influence of sparse observations without making coverage equal. Communications remains within 0.027-0.038, Energy moves from 0.017 in 2020 to 0.061 in 2022 and back to 0.041 in 2023, and Consumer stays near 0.037-0.045. Because neutral filling draws every series towards zero, changes within a sector and comparisons across years are more informative than the absolute level of one line.</w:t>
      </w:r>
      <w:r w:rsidDel="00000000" w:rsidR="00000000" w:rsidRPr="00000000">
        <w:rPr>
          <w:rtl w:val="0"/>
        </w:rPr>
      </w:r>
    </w:p>
    <w:p w:rsidR="00000000" w:rsidDel="00000000" w:rsidP="00000000" w:rsidRDefault="00000000" w:rsidRPr="00000000" w14:paraId="00000096">
      <w:pPr>
        <w:pStyle w:val="Heading2"/>
        <w:keepNext w:val="1"/>
        <w:spacing w:after="120" w:before="240" w:line="269" w:lineRule="auto"/>
        <w:jc w:val="left"/>
        <w:rPr/>
      </w:pPr>
      <w:r w:rsidDel="00000000" w:rsidR="00000000" w:rsidRPr="00000000">
        <w:rPr>
          <w:rFonts w:ascii="Times New Roman" w:cs="Times New Roman" w:eastAsia="Times New Roman" w:hAnsi="Times New Roman"/>
          <w:b w:val="1"/>
          <w:bCs w:val="1"/>
          <w:i w:val="0"/>
          <w:iCs w:val="0"/>
          <w:color w:val="181818"/>
          <w:sz w:val="22"/>
          <w:szCs w:val="22"/>
          <w:rtl w:val="0"/>
        </w:rPr>
        <w:t xml:space="preserve">Continuity with Part A</w:t>
      </w:r>
      <w:r w:rsidDel="00000000" w:rsidR="00000000" w:rsidRPr="00000000">
        <w:rPr>
          <w:rtl w:val="0"/>
        </w:rPr>
      </w:r>
    </w:p>
    <w:p w:rsidR="00000000" w:rsidDel="00000000" w:rsidP="00000000" w:rsidRDefault="00000000" w:rsidRPr="00000000" w14:paraId="00000097">
      <w:pPr>
        <w:spacing w:after="110" w:before="0" w:line="269" w:lineRule="auto"/>
        <w:ind w:firstLine="238"/>
        <w:jc w:val="both"/>
        <w:rPr/>
      </w:pPr>
      <w:r w:rsidDel="00000000" w:rsidR="00000000" w:rsidRPr="00000000">
        <w:rPr>
          <w:rFonts w:ascii="Times New Roman" w:cs="Times New Roman" w:eastAsia="Times New Roman" w:hAnsi="Times New Roman"/>
          <w:b w:val="0"/>
          <w:bCs w:val="0"/>
          <w:i w:val="0"/>
          <w:iCs w:val="0"/>
          <w:color w:val="181818"/>
          <w:sz w:val="20"/>
          <w:szCs w:val="20"/>
          <w:rtl w:val="0"/>
        </w:rPr>
        <w:t xml:space="preserve">Attention Pulse connects the Part B model with Part A, but only through volume confidence. Unusually high headline activity can strengthen a score; unusually low activity cannot. The result is still lagged before it reaches a portfolio. Since Part A did not establish Attention Pulse as a return signal, treating it as a same-day trigger would exceed the evidence.</w:t>
      </w:r>
      <w:r w:rsidDel="00000000" w:rsidR="00000000" w:rsidRPr="00000000">
        <w:rPr>
          <w:rtl w:val="0"/>
        </w:rPr>
      </w:r>
    </w:p>
    <w:p w:rsidR="00000000" w:rsidDel="00000000" w:rsidP="00000000" w:rsidRDefault="00000000" w:rsidRPr="00000000" w14:paraId="00000098">
      <w:pPr>
        <w:keepLines w:val="1"/>
        <w:spacing w:after="110" w:before="0" w:line="269" w:lineRule="auto"/>
        <w:ind w:firstLine="238"/>
        <w:jc w:val="both"/>
        <w:rPr/>
      </w:pPr>
      <w:r w:rsidDel="00000000" w:rsidR="00000000" w:rsidRPr="00000000">
        <w:rPr>
          <w:rFonts w:ascii="Times New Roman" w:cs="Times New Roman" w:eastAsia="Times New Roman" w:hAnsi="Times New Roman"/>
          <w:b w:val="0"/>
          <w:bCs w:val="0"/>
          <w:i w:val="0"/>
          <w:iCs w:val="0"/>
          <w:color w:val="181818"/>
          <w:sz w:val="20"/>
          <w:szCs w:val="20"/>
          <w:rtl w:val="0"/>
        </w:rPr>
        <w:t xml:space="preserve">The audit record separates the course resources from the project additions. Week 9 FinVADER keeps its Apache-2.0 notices, while the new terms, phrases and masks are identified as Signal Harbour components. That provenance is more useful than calling the model 'augmented finVADER', a label that does not explain why a headline's score changed.</w:t>
      </w:r>
      <w:r w:rsidDel="00000000" w:rsidR="00000000" w:rsidRPr="00000000">
        <w:rPr>
          <w:rtl w:val="0"/>
        </w:rPr>
      </w:r>
    </w:p>
    <w:p w:rsidR="00000000" w:rsidDel="00000000" w:rsidP="00000000" w:rsidRDefault="00000000" w:rsidRPr="00000000" w14:paraId="00000099">
      <w:pPr>
        <w:pStyle w:val="Heading2"/>
        <w:keepNext w:val="1"/>
        <w:spacing w:after="120" w:before="240" w:line="269" w:lineRule="auto"/>
        <w:jc w:val="left"/>
        <w:rPr/>
      </w:pPr>
      <w:r w:rsidDel="00000000" w:rsidR="00000000" w:rsidRPr="00000000">
        <w:rPr>
          <w:rFonts w:ascii="Times New Roman" w:cs="Times New Roman" w:eastAsia="Times New Roman" w:hAnsi="Times New Roman"/>
          <w:b w:val="1"/>
          <w:bCs w:val="1"/>
          <w:i w:val="0"/>
          <w:iCs w:val="0"/>
          <w:color w:val="181818"/>
          <w:sz w:val="22"/>
          <w:szCs w:val="22"/>
          <w:rtl w:val="0"/>
        </w:rPr>
        <w:t xml:space="preserve">Distributional model comparison</w:t>
      </w:r>
      <w:r w:rsidDel="00000000" w:rsidR="00000000" w:rsidRPr="00000000">
        <w:rPr>
          <w:rtl w:val="0"/>
        </w:rPr>
      </w:r>
    </w:p>
    <w:p w:rsidR="00000000" w:rsidDel="00000000" w:rsidP="00000000" w:rsidRDefault="00000000" w:rsidRPr="00000000" w14:paraId="0000009A">
      <w:pPr>
        <w:spacing w:after="110" w:before="0" w:line="269" w:lineRule="auto"/>
        <w:ind w:firstLine="23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181818"/>
          <w:sz w:val="20"/>
          <w:szCs w:val="20"/>
          <w:rtl w:val="0"/>
        </w:rPr>
        <w:t xml:space="preserve">Table 4 and Figure A8 compare positive, neutral and negative shares across 4,000 headlines. Signal Harbour classifies fewer cases as neutral than Week 9 finVADER, but this distributional change does not establish better classification. </w:t>
      </w:r>
      <w:r w:rsidDel="00000000" w:rsidR="00000000" w:rsidRPr="00000000">
        <w:rPr>
          <w:rFonts w:ascii="Times New Roman" w:cs="Times New Roman" w:eastAsia="Times New Roman" w:hAnsi="Times New Roman"/>
          <w:color w:val="181818"/>
          <w:sz w:val="20"/>
          <w:szCs w:val="20"/>
          <w:rtl w:val="0"/>
        </w:rPr>
        <w:t xml:space="preserve">The 120 worksheet was manually reviewed and labelled by myself with considerable findings, where </w:t>
      </w:r>
      <w:r w:rsidDel="00000000" w:rsidR="00000000" w:rsidRPr="00000000">
        <w:rPr>
          <w:rFonts w:ascii="Times New Roman" w:cs="Times New Roman" w:eastAsia="Times New Roman" w:hAnsi="Times New Roman"/>
          <w:sz w:val="20"/>
          <w:szCs w:val="20"/>
          <w:rtl w:val="0"/>
        </w:rPr>
        <w:t xml:space="preserve">Signal Harbour's buckets match my labels on 60.8% of the full sample (56.0% development, 68.9% holdout; n=120). The automated pseudo-label column stays a diagnostic only, and these are polarity-match rates, not precision or recall. Since 61.7% of my labels are positive, an always-positive rule would also score about 61.7%, so the holdout figure is the more informative one.</w:t>
      </w:r>
      <w:r w:rsidDel="00000000" w:rsidR="00000000" w:rsidRPr="00000000">
        <w:rPr>
          <w:rFonts w:ascii="Times New Roman" w:cs="Times New Roman" w:eastAsia="Times New Roman" w:hAnsi="Times New Roman"/>
          <w:i w:val="0"/>
          <w:iCs w:val="0"/>
          <w:sz w:val="20"/>
          <w:szCs w:val="20"/>
          <w:rtl w:val="0"/>
        </w:rPr>
        <w:t xml:space="preserve"> </w:t>
      </w:r>
      <w:r w:rsidDel="00000000" w:rsidR="00000000" w:rsidRPr="00000000">
        <w:rPr>
          <w:rFonts w:ascii="Times New Roman" w:cs="Times New Roman" w:eastAsia="Times New Roman" w:hAnsi="Times New Roman"/>
          <w:b w:val="0"/>
          <w:bCs w:val="0"/>
          <w:i w:val="0"/>
          <w:iCs w:val="0"/>
          <w:color w:val="181818"/>
          <w:sz w:val="20"/>
          <w:szCs w:val="20"/>
          <w:rtl w:val="0"/>
        </w:rPr>
        <w:t xml:space="preserve">Figure A9 instead isolates the components that move scores. On the 800-headline ablation sample, </w:t>
      </w:r>
      <w:r w:rsidDel="00000000" w:rsidR="00000000" w:rsidRPr="00000000">
        <w:rPr>
          <w:rFonts w:ascii="Times New Roman" w:cs="Times New Roman" w:eastAsia="Times New Roman" w:hAnsi="Times New Roman"/>
          <w:b w:val="0"/>
          <w:bCs w:val="0"/>
          <w:i w:val="1"/>
          <w:iCs w:val="1"/>
          <w:color w:val="181818"/>
          <w:sz w:val="20"/>
          <w:szCs w:val="20"/>
          <w:rtl w:val="0"/>
        </w:rPr>
        <w:t xml:space="preserve">no_neutral_overrides</w:t>
      </w:r>
      <w:r w:rsidDel="00000000" w:rsidR="00000000" w:rsidRPr="00000000">
        <w:rPr>
          <w:rFonts w:ascii="Times New Roman" w:cs="Times New Roman" w:eastAsia="Times New Roman" w:hAnsi="Times New Roman"/>
          <w:b w:val="0"/>
          <w:bCs w:val="0"/>
          <w:i w:val="0"/>
          <w:iCs w:val="0"/>
          <w:color w:val="181818"/>
          <w:sz w:val="20"/>
          <w:szCs w:val="20"/>
          <w:rtl w:val="0"/>
        </w:rPr>
        <w:t xml:space="preserve"> matches </w:t>
      </w:r>
      <w:r w:rsidDel="00000000" w:rsidR="00000000" w:rsidRPr="00000000">
        <w:rPr>
          <w:rFonts w:ascii="Times New Roman" w:cs="Times New Roman" w:eastAsia="Times New Roman" w:hAnsi="Times New Roman"/>
          <w:b w:val="0"/>
          <w:bCs w:val="0"/>
          <w:i w:val="1"/>
          <w:iCs w:val="1"/>
          <w:color w:val="181818"/>
          <w:sz w:val="20"/>
          <w:szCs w:val="20"/>
          <w:rtl w:val="0"/>
        </w:rPr>
        <w:t xml:space="preserve">full_signal_harbour</w:t>
      </w:r>
      <w:r w:rsidDel="00000000" w:rsidR="00000000" w:rsidRPr="00000000">
        <w:rPr>
          <w:rFonts w:ascii="Times New Roman" w:cs="Times New Roman" w:eastAsia="Times New Roman" w:hAnsi="Times New Roman"/>
          <w:b w:val="0"/>
          <w:bCs w:val="0"/>
          <w:i w:val="0"/>
          <w:iCs w:val="0"/>
          <w:color w:val="181818"/>
          <w:sz w:val="20"/>
          <w:szCs w:val="20"/>
          <w:rtl w:val="0"/>
        </w:rPr>
        <w:t xml:space="preserve">, suggesting that the retained masks rarely activate, while added terms and phrases do change the neutral share. Figures A10 and A11 keep active-ticker counts and coverage separate from model behaviour</w:t>
      </w:r>
      <w:r w:rsidDel="00000000" w:rsidR="00000000" w:rsidRPr="00000000">
        <w:rPr>
          <w:rFonts w:ascii="Times New Roman" w:cs="Times New Roman" w:eastAsia="Times New Roman" w:hAnsi="Times New Roman"/>
          <w:color w:val="181818"/>
          <w:sz w:val="20"/>
          <w:szCs w:val="20"/>
          <w:rtl w:val="0"/>
        </w:rPr>
        <w:t xml:space="preserve">. Nonetheless, the </w:t>
      </w:r>
      <w:r w:rsidDel="00000000" w:rsidR="00000000" w:rsidRPr="00000000">
        <w:rPr>
          <w:rFonts w:ascii="Times New Roman" w:cs="Times New Roman" w:eastAsia="Times New Roman" w:hAnsi="Times New Roman"/>
          <w:sz w:val="20"/>
          <w:szCs w:val="20"/>
          <w:rtl w:val="0"/>
        </w:rPr>
        <w:t xml:space="preserve">coverage</w:t>
      </w:r>
      <w:r w:rsidDel="00000000" w:rsidR="00000000" w:rsidRPr="00000000">
        <w:rPr>
          <w:rFonts w:ascii="Times New Roman" w:cs="Times New Roman" w:eastAsia="Times New Roman" w:hAnsi="Times New Roman"/>
          <w:sz w:val="20"/>
          <w:szCs w:val="20"/>
          <w:rtl w:val="0"/>
        </w:rPr>
        <w:t xml:space="preserve"> is uneven, with Technology averaging about 6.1 headlines per sector-day and Consumer about 5.5, while Materials and Real Estate sit near 2.0 and 1.9. This means a thin sector’s daily reading can rest on one or two headlines plus neutral fill, deserving less trust, which is why Signal Harbour down-weights sparse names through coverage confidence.</w:t>
      </w:r>
    </w:p>
    <w:p w:rsidR="00000000" w:rsidDel="00000000" w:rsidP="00000000" w:rsidRDefault="00000000" w:rsidRPr="00000000" w14:paraId="0000009B">
      <w:pPr>
        <w:spacing w:after="110" w:before="0" w:line="269" w:lineRule="auto"/>
        <w:ind w:firstLine="238"/>
        <w:jc w:val="both"/>
        <w:rPr>
          <w:rFonts w:ascii="Times New Roman" w:cs="Times New Roman" w:eastAsia="Times New Roman" w:hAnsi="Times New Roman"/>
          <w:color w:val="181818"/>
          <w:sz w:val="20"/>
          <w:szCs w:val="20"/>
        </w:rPr>
      </w:pPr>
      <w:r w:rsidDel="00000000" w:rsidR="00000000" w:rsidRPr="00000000">
        <w:rPr>
          <w:rtl w:val="0"/>
        </w:rPr>
      </w:r>
    </w:p>
    <w:p w:rsidR="00000000" w:rsidDel="00000000" w:rsidP="00000000" w:rsidRDefault="00000000" w:rsidRPr="00000000" w14:paraId="0000009C">
      <w:pPr>
        <w:keepNext w:val="1"/>
        <w:spacing w:after="160" w:before="120" w:line="269" w:lineRule="auto"/>
        <w:jc w:val="left"/>
        <w:rPr/>
      </w:pPr>
      <w:r w:rsidDel="00000000" w:rsidR="00000000" w:rsidRPr="00000000">
        <w:rPr>
          <w:rFonts w:ascii="Times New Roman" w:cs="Times New Roman" w:eastAsia="Times New Roman" w:hAnsi="Times New Roman"/>
          <w:b w:val="0"/>
          <w:bCs w:val="0"/>
          <w:i w:val="1"/>
          <w:iCs w:val="1"/>
          <w:color w:val="181818"/>
          <w:sz w:val="18"/>
          <w:szCs w:val="18"/>
          <w:rtl w:val="0"/>
        </w:rPr>
        <w:t xml:space="preserve">Table 4. Model polarity shares on 4,000 headlines. The comparison is distributional only. Source: sentiment_model_comparison.csv; Figure A8.</w:t>
      </w:r>
      <w:r w:rsidDel="00000000" w:rsidR="00000000" w:rsidRPr="00000000">
        <w:rPr>
          <w:rtl w:val="0"/>
        </w:rPr>
      </w:r>
    </w:p>
    <w:tbl>
      <w:tblPr>
        <w:tblStyle w:val="Table4"/>
        <w:tblW w:w="9640.0" w:type="dxa"/>
        <w:jc w:val="center"/>
        <w:tblLayout w:type="fixed"/>
        <w:tblLook w:val="0400"/>
      </w:tblPr>
      <w:tblGrid>
        <w:gridCol w:w="1928"/>
        <w:gridCol w:w="1928"/>
        <w:gridCol w:w="1928"/>
        <w:gridCol w:w="1928"/>
        <w:gridCol w:w="1928"/>
        <w:tblGridChange w:id="0">
          <w:tblGrid>
            <w:gridCol w:w="1928"/>
            <w:gridCol w:w="1928"/>
            <w:gridCol w:w="1928"/>
            <w:gridCol w:w="1928"/>
            <w:gridCol w:w="1928"/>
          </w:tblGrid>
        </w:tblGridChange>
      </w:tblGrid>
      <w:tr>
        <w:trPr>
          <w:cantSplit w:val="1"/>
          <w:tblHeader w:val="1"/>
        </w:trPr>
        <w:tc>
          <w:tcPr>
            <w:tcBorders>
              <w:top w:color="a8a8a8" w:space="0" w:sz="4" w:val="single"/>
              <w:left w:color="a8a8a8" w:space="0" w:sz="4" w:val="single"/>
              <w:bottom w:color="a8a8a8" w:space="0" w:sz="4" w:val="single"/>
              <w:right w:color="a8a8a8" w:space="0" w:sz="4" w:val="single"/>
            </w:tcBorders>
            <w:shd w:fill="ffffff" w:val="clear"/>
            <w:tcMar>
              <w:top w:w="110.0" w:type="dxa"/>
              <w:bottom w:w="110.0" w:type="dxa"/>
            </w:tcMar>
            <w:vAlign w:val="center"/>
          </w:tcPr>
          <w:p w:rsidR="00000000" w:rsidDel="00000000" w:rsidP="00000000" w:rsidRDefault="00000000" w:rsidRPr="00000000" w14:paraId="0000009D">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Model</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110.0" w:type="dxa"/>
              <w:bottom w:w="110.0" w:type="dxa"/>
            </w:tcMar>
            <w:vAlign w:val="center"/>
          </w:tcPr>
          <w:p w:rsidR="00000000" w:rsidDel="00000000" w:rsidP="00000000" w:rsidRDefault="00000000" w:rsidRPr="00000000" w14:paraId="0000009E">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Mean</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110.0" w:type="dxa"/>
              <w:bottom w:w="110.0" w:type="dxa"/>
            </w:tcMar>
            <w:vAlign w:val="center"/>
          </w:tcPr>
          <w:p w:rsidR="00000000" w:rsidDel="00000000" w:rsidP="00000000" w:rsidRDefault="00000000" w:rsidRPr="00000000" w14:paraId="0000009F">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Positive</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110.0" w:type="dxa"/>
              <w:bottom w:w="110.0" w:type="dxa"/>
            </w:tcMar>
            <w:vAlign w:val="center"/>
          </w:tcPr>
          <w:p w:rsidR="00000000" w:rsidDel="00000000" w:rsidP="00000000" w:rsidRDefault="00000000" w:rsidRPr="00000000" w14:paraId="000000A0">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Neutral</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110.0" w:type="dxa"/>
              <w:bottom w:w="110.0" w:type="dxa"/>
            </w:tcMar>
            <w:vAlign w:val="center"/>
          </w:tcPr>
          <w:p w:rsidR="00000000" w:rsidDel="00000000" w:rsidP="00000000" w:rsidRDefault="00000000" w:rsidRPr="00000000" w14:paraId="000000A1">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Negative</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A2">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Base VADER</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A3">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0.106</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A4">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37.5%</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A5">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49.6%</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A6">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12.9%</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A7">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Week 9 finVADER</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A8">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0.069</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A9">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26.6%</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AA">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62.1%</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AB">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11.3%</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AC">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Signal Harbour</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AD">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0.081</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AE">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29.8%</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AF">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58.7%</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B0">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11.6%</w:t>
            </w:r>
            <w:r w:rsidDel="00000000" w:rsidR="00000000" w:rsidRPr="00000000">
              <w:rPr>
                <w:rtl w:val="0"/>
              </w:rPr>
            </w:r>
          </w:p>
        </w:tc>
      </w:tr>
    </w:tbl>
    <w:p w:rsidR="00000000" w:rsidDel="00000000" w:rsidP="00000000" w:rsidRDefault="00000000" w:rsidRPr="00000000" w14:paraId="000000B1">
      <w:pPr>
        <w:spacing w:after="120" w:lineRule="auto"/>
        <w:rPr/>
      </w:pPr>
      <w:r w:rsidDel="00000000" w:rsidR="00000000" w:rsidRPr="00000000">
        <w:rPr>
          <w:rtl w:val="0"/>
        </w:rPr>
      </w:r>
    </w:p>
    <w:p w:rsidR="00000000" w:rsidDel="00000000" w:rsidP="00000000" w:rsidRDefault="00000000" w:rsidRPr="00000000" w14:paraId="000000B2">
      <w:pPr>
        <w:pStyle w:val="Heading2"/>
        <w:keepNext w:val="1"/>
        <w:spacing w:after="120" w:before="240" w:line="269" w:lineRule="auto"/>
        <w:jc w:val="left"/>
        <w:rPr/>
      </w:pPr>
      <w:r w:rsidDel="00000000" w:rsidR="00000000" w:rsidRPr="00000000">
        <w:rPr>
          <w:rFonts w:ascii="Times New Roman" w:cs="Times New Roman" w:eastAsia="Times New Roman" w:hAnsi="Times New Roman"/>
          <w:b w:val="1"/>
          <w:bCs w:val="1"/>
          <w:i w:val="0"/>
          <w:iCs w:val="0"/>
          <w:color w:val="181818"/>
          <w:sz w:val="22"/>
          <w:szCs w:val="22"/>
          <w:rtl w:val="0"/>
        </w:rPr>
        <w:t xml:space="preserve">Fusion result</w:t>
      </w:r>
      <w:r w:rsidDel="00000000" w:rsidR="00000000" w:rsidRPr="00000000">
        <w:rPr>
          <w:rtl w:val="0"/>
        </w:rPr>
      </w:r>
    </w:p>
    <w:p w:rsidR="00000000" w:rsidDel="00000000" w:rsidP="00000000" w:rsidRDefault="00000000" w:rsidRPr="00000000" w14:paraId="000000B3">
      <w:pPr>
        <w:spacing w:after="110" w:before="0" w:line="269" w:lineRule="auto"/>
        <w:ind w:firstLine="238"/>
        <w:jc w:val="both"/>
        <w:rPr/>
      </w:pPr>
      <w:r w:rsidDel="00000000" w:rsidR="00000000" w:rsidRPr="00000000">
        <w:rPr>
          <w:rFonts w:ascii="Times New Roman" w:cs="Times New Roman" w:eastAsia="Times New Roman" w:hAnsi="Times New Roman"/>
          <w:b w:val="0"/>
          <w:bCs w:val="0"/>
          <w:i w:val="0"/>
          <w:iCs w:val="0"/>
          <w:color w:val="181818"/>
          <w:sz w:val="20"/>
          <w:szCs w:val="20"/>
          <w:rtl w:val="0"/>
        </w:rPr>
        <w:t xml:space="preserve">The main fusion test applies the lagged context-weighted score to Equity Minimum Variance. Figure A6 shows almost overlapping wealth paths, with a small deterioration after the tilt: Sharpe falls from 0.4740 to 0.4711 and CAGR from 5.36% to 5.32%. Changing the tilt strength or the underlying equity method does not reverse the result, and none of the specifications in Figure A7 and Table 6 exceeds Equity Equal Weight. Under the equal turnover charges in Table 5, fusion remains behind and the gap widens slightly. The score still provides a continuous lagged monitoring series, but it does not add alpha in this sample.</w:t>
      </w:r>
      <w:r w:rsidDel="00000000" w:rsidR="00000000" w:rsidRPr="00000000">
        <w:rPr>
          <w:rtl w:val="0"/>
        </w:rPr>
      </w:r>
    </w:p>
    <w:p w:rsidR="00000000" w:rsidDel="00000000" w:rsidP="00000000" w:rsidRDefault="00000000" w:rsidRPr="00000000" w14:paraId="000000B4">
      <w:pPr>
        <w:keepNext w:val="1"/>
        <w:spacing w:after="160" w:before="120" w:line="269" w:lineRule="auto"/>
        <w:jc w:val="left"/>
        <w:rPr/>
      </w:pPr>
      <w:r w:rsidDel="00000000" w:rsidR="00000000" w:rsidRPr="00000000">
        <w:rPr>
          <w:rFonts w:ascii="Times New Roman" w:cs="Times New Roman" w:eastAsia="Times New Roman" w:hAnsi="Times New Roman"/>
          <w:b w:val="0"/>
          <w:bCs w:val="0"/>
          <w:i w:val="1"/>
          <w:iCs w:val="1"/>
          <w:color w:val="181818"/>
          <w:sz w:val="18"/>
          <w:szCs w:val="18"/>
          <w:rtl w:val="0"/>
        </w:rPr>
        <w:t xml:space="preserve">Table 5. Base versus fusion under equal turnover costs. TO is average annual turnover. Source: fusion_cost_sensitivity.csv.</w:t>
      </w:r>
      <w:r w:rsidDel="00000000" w:rsidR="00000000" w:rsidRPr="00000000">
        <w:rPr>
          <w:rtl w:val="0"/>
        </w:rPr>
      </w:r>
    </w:p>
    <w:tbl>
      <w:tblPr>
        <w:tblStyle w:val="Table5"/>
        <w:tblW w:w="9636.0" w:type="dxa"/>
        <w:jc w:val="center"/>
        <w:tblLayout w:type="fixed"/>
        <w:tblLook w:val="0400"/>
      </w:tblPr>
      <w:tblGrid>
        <w:gridCol w:w="1606"/>
        <w:gridCol w:w="1606"/>
        <w:gridCol w:w="1606"/>
        <w:gridCol w:w="1606"/>
        <w:gridCol w:w="1606"/>
        <w:gridCol w:w="1606"/>
        <w:tblGridChange w:id="0">
          <w:tblGrid>
            <w:gridCol w:w="1606"/>
            <w:gridCol w:w="1606"/>
            <w:gridCol w:w="1606"/>
            <w:gridCol w:w="1606"/>
            <w:gridCol w:w="1606"/>
            <w:gridCol w:w="1606"/>
          </w:tblGrid>
        </w:tblGridChange>
      </w:tblGrid>
      <w:tr>
        <w:trPr>
          <w:cantSplit w:val="1"/>
          <w:tblHeader w:val="1"/>
        </w:trPr>
        <w:tc>
          <w:tcPr>
            <w:tcBorders>
              <w:top w:color="a8a8a8" w:space="0" w:sz="4" w:val="single"/>
              <w:left w:color="a8a8a8" w:space="0" w:sz="4" w:val="single"/>
              <w:bottom w:color="a8a8a8" w:space="0" w:sz="4" w:val="single"/>
              <w:right w:color="a8a8a8" w:space="0" w:sz="4" w:val="single"/>
            </w:tcBorders>
            <w:shd w:fill="ffffff" w:val="clear"/>
            <w:tcMar>
              <w:top w:w="110.0" w:type="dxa"/>
              <w:bottom w:w="110.0" w:type="dxa"/>
            </w:tcMar>
            <w:vAlign w:val="center"/>
          </w:tcPr>
          <w:p w:rsidR="00000000" w:rsidDel="00000000" w:rsidP="00000000" w:rsidRDefault="00000000" w:rsidRPr="00000000" w14:paraId="000000B5">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Sleeve</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110.0" w:type="dxa"/>
              <w:bottom w:w="110.0" w:type="dxa"/>
            </w:tcMar>
            <w:vAlign w:val="center"/>
          </w:tcPr>
          <w:p w:rsidR="00000000" w:rsidDel="00000000" w:rsidP="00000000" w:rsidRDefault="00000000" w:rsidRPr="00000000" w14:paraId="000000B6">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Cost</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110.0" w:type="dxa"/>
              <w:bottom w:w="110.0" w:type="dxa"/>
            </w:tcMar>
            <w:vAlign w:val="center"/>
          </w:tcPr>
          <w:p w:rsidR="00000000" w:rsidDel="00000000" w:rsidP="00000000" w:rsidRDefault="00000000" w:rsidRPr="00000000" w14:paraId="000000B7">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Sharpe</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110.0" w:type="dxa"/>
              <w:bottom w:w="110.0" w:type="dxa"/>
            </w:tcMar>
            <w:vAlign w:val="center"/>
          </w:tcPr>
          <w:p w:rsidR="00000000" w:rsidDel="00000000" w:rsidP="00000000" w:rsidRDefault="00000000" w:rsidRPr="00000000" w14:paraId="000000B8">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CAGR</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110.0" w:type="dxa"/>
              <w:bottom w:w="110.0" w:type="dxa"/>
            </w:tcMar>
            <w:vAlign w:val="center"/>
          </w:tcPr>
          <w:p w:rsidR="00000000" w:rsidDel="00000000" w:rsidP="00000000" w:rsidRDefault="00000000" w:rsidRPr="00000000" w14:paraId="000000B9">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TO</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110.0" w:type="dxa"/>
              <w:bottom w:w="110.0" w:type="dxa"/>
            </w:tcMar>
            <w:vAlign w:val="center"/>
          </w:tcPr>
          <w:p w:rsidR="00000000" w:rsidDel="00000000" w:rsidP="00000000" w:rsidRDefault="00000000" w:rsidRPr="00000000" w14:paraId="000000BA">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Terminal</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BB">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Base</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BC">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 bp</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BD">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0.474</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BE">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5.36%</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BF">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1.90</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C0">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1.169x</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C1">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Fusion</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C2">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 bp</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C3">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0.471</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C4">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5.32%</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C5">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1.91</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C6">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1.167x</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C7">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Base</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C8">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5 bp</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C9">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0.467</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CA">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5.26%</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CB">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1.90</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CC">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1.165x</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CD">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Fusion</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CE">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5 bp</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CF">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0.464</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D0">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5.22%</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D1">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1.91</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D2">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1.164x</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D3">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Base</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D4">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10 bp</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D5">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0.459</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D6">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5.16%</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D7">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1.90</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D8">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1.162x</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D9">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Fusion</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DA">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10 bp</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DB">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0.456</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DC">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5.12%</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DD">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1.91</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DE">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1.161x</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DF">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Base</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E0">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25 bp</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E1">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0.437</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E2">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4.86%</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E3">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1.90</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E4">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1.152x</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E5">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Fusion</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E6">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25 bp</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E7">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0.434</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E8">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4.82%</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E9">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1.91</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EA">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1.151x</w:t>
            </w:r>
            <w:r w:rsidDel="00000000" w:rsidR="00000000" w:rsidRPr="00000000">
              <w:rPr>
                <w:rtl w:val="0"/>
              </w:rPr>
            </w:r>
          </w:p>
        </w:tc>
      </w:tr>
    </w:tbl>
    <w:p w:rsidR="00000000" w:rsidDel="00000000" w:rsidP="00000000" w:rsidRDefault="00000000" w:rsidRPr="00000000" w14:paraId="000000EB">
      <w:pPr>
        <w:spacing w:after="120" w:lineRule="auto"/>
        <w:rPr/>
      </w:pPr>
      <w:r w:rsidDel="00000000" w:rsidR="00000000" w:rsidRPr="00000000">
        <w:rPr>
          <w:rtl w:val="0"/>
        </w:rPr>
      </w:r>
    </w:p>
    <w:p w:rsidR="00000000" w:rsidDel="00000000" w:rsidP="00000000" w:rsidRDefault="00000000" w:rsidRPr="00000000" w14:paraId="000000EC">
      <w:pPr>
        <w:keepNext w:val="1"/>
        <w:spacing w:after="160" w:before="120" w:line="269" w:lineRule="auto"/>
        <w:jc w:val="left"/>
        <w:rPr/>
      </w:pPr>
      <w:r w:rsidDel="00000000" w:rsidR="00000000" w:rsidRPr="00000000">
        <w:rPr>
          <w:rFonts w:ascii="Times New Roman" w:cs="Times New Roman" w:eastAsia="Times New Roman" w:hAnsi="Times New Roman"/>
          <w:b w:val="0"/>
          <w:bCs w:val="0"/>
          <w:i w:val="1"/>
          <w:iCs w:val="1"/>
          <w:color w:val="181818"/>
          <w:sz w:val="18"/>
          <w:szCs w:val="18"/>
          <w:rtl w:val="0"/>
        </w:rPr>
        <w:t xml:space="preserve">Table 6. Fusion robustness across equity bases and tilt strengths at zero cost. Source: fusion_sensitivity.csv; Figure A7.</w:t>
      </w:r>
      <w:r w:rsidDel="00000000" w:rsidR="00000000" w:rsidRPr="00000000">
        <w:rPr>
          <w:rtl w:val="0"/>
        </w:rPr>
      </w:r>
    </w:p>
    <w:tbl>
      <w:tblPr>
        <w:tblStyle w:val="Table6"/>
        <w:tblW w:w="9640.0" w:type="dxa"/>
        <w:jc w:val="center"/>
        <w:tblLayout w:type="fixed"/>
        <w:tblLook w:val="0400"/>
      </w:tblPr>
      <w:tblGrid>
        <w:gridCol w:w="1928"/>
        <w:gridCol w:w="1928"/>
        <w:gridCol w:w="1928"/>
        <w:gridCol w:w="1928"/>
        <w:gridCol w:w="1928"/>
        <w:tblGridChange w:id="0">
          <w:tblGrid>
            <w:gridCol w:w="1928"/>
            <w:gridCol w:w="1928"/>
            <w:gridCol w:w="1928"/>
            <w:gridCol w:w="1928"/>
            <w:gridCol w:w="1928"/>
          </w:tblGrid>
        </w:tblGridChange>
      </w:tblGrid>
      <w:tr>
        <w:trPr>
          <w:cantSplit w:val="1"/>
          <w:tblHeader w:val="1"/>
        </w:trPr>
        <w:tc>
          <w:tcPr>
            <w:tcBorders>
              <w:top w:color="a8a8a8" w:space="0" w:sz="4" w:val="single"/>
              <w:left w:color="a8a8a8" w:space="0" w:sz="4" w:val="single"/>
              <w:bottom w:color="a8a8a8" w:space="0" w:sz="4" w:val="single"/>
              <w:right w:color="a8a8a8" w:space="0" w:sz="4" w:val="single"/>
            </w:tcBorders>
            <w:shd w:fill="ffffff" w:val="clear"/>
            <w:tcMar>
              <w:top w:w="110.0" w:type="dxa"/>
              <w:bottom w:w="110.0" w:type="dxa"/>
            </w:tcMar>
            <w:vAlign w:val="center"/>
          </w:tcPr>
          <w:p w:rsidR="00000000" w:rsidDel="00000000" w:rsidP="00000000" w:rsidRDefault="00000000" w:rsidRPr="00000000" w14:paraId="000000ED">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Base</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110.0" w:type="dxa"/>
              <w:bottom w:w="110.0" w:type="dxa"/>
            </w:tcMar>
            <w:vAlign w:val="center"/>
          </w:tcPr>
          <w:p w:rsidR="00000000" w:rsidDel="00000000" w:rsidP="00000000" w:rsidRDefault="00000000" w:rsidRPr="00000000" w14:paraId="000000EE">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Tilt</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110.0" w:type="dxa"/>
              <w:bottom w:w="110.0" w:type="dxa"/>
            </w:tcMar>
            <w:vAlign w:val="center"/>
          </w:tcPr>
          <w:p w:rsidR="00000000" w:rsidDel="00000000" w:rsidP="00000000" w:rsidRDefault="00000000" w:rsidRPr="00000000" w14:paraId="000000EF">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CAGR</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110.0" w:type="dxa"/>
              <w:bottom w:w="110.0" w:type="dxa"/>
            </w:tcMar>
            <w:vAlign w:val="center"/>
          </w:tcPr>
          <w:p w:rsidR="00000000" w:rsidDel="00000000" w:rsidP="00000000" w:rsidRDefault="00000000" w:rsidRPr="00000000" w14:paraId="000000F0">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Sharpe</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110.0" w:type="dxa"/>
              <w:bottom w:w="110.0" w:type="dxa"/>
            </w:tcMar>
            <w:vAlign w:val="center"/>
          </w:tcPr>
          <w:p w:rsidR="00000000" w:rsidDel="00000000" w:rsidP="00000000" w:rsidRDefault="00000000" w:rsidRPr="00000000" w14:paraId="000000F1">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MaxDD</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F2">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EW</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F3">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0.15</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F4">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13.24%</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F5">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0.853</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F6">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-20.2%</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F7">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EW</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F8">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0.35</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F9">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13.17%</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FA">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0.849</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0FB">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-20.2%</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FC">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EW</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FD">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0.60</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FE">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13.08%</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0FF">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0.845</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100">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-20.3%</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101">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RP</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102">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0.15</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103">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10.39%</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104">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0.753</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105">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-18.4%</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106">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RP</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107">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0.35</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108">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10.34%</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109">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0.751</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10A">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-18.4%</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10B">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RP</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10C">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0.60</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10D">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10.29%</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10E">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0.748</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10F">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-18.5%</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110">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MinVar</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111">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0.15</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112">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5.34%</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113">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0.473</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114">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-14.9%</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115">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MinVar</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116">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0.35</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117">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5.32%</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118">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0.471</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shd w:fill="ffffff" w:val="clear"/>
            <w:tcMar>
              <w:top w:w="90.0" w:type="dxa"/>
              <w:bottom w:w="90.0" w:type="dxa"/>
            </w:tcMar>
            <w:vAlign w:val="center"/>
          </w:tcPr>
          <w:p w:rsidR="00000000" w:rsidDel="00000000" w:rsidP="00000000" w:rsidRDefault="00000000" w:rsidRPr="00000000" w14:paraId="00000119">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-14.9%</w:t>
            </w:r>
            <w:r w:rsidDel="00000000" w:rsidR="00000000" w:rsidRPr="00000000">
              <w:rPr>
                <w:rtl w:val="0"/>
              </w:rPr>
            </w:r>
          </w:p>
        </w:tc>
      </w:tr>
      <w:tr>
        <w:trPr>
          <w:cantSplit w:val="1"/>
          <w:tblHeader w:val="0"/>
        </w:trPr>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11A">
            <w:pPr>
              <w:spacing w:after="40" w:before="40" w:lineRule="auto"/>
              <w:jc w:val="left"/>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MinVar</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11B">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0.60</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11C">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5.29%</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11D">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0.469</w:t>
            </w:r>
            <w:r w:rsidDel="00000000" w:rsidR="00000000" w:rsidRPr="00000000">
              <w:rPr>
                <w:rtl w:val="0"/>
              </w:rPr>
            </w:r>
          </w:p>
        </w:tc>
        <w:tc>
          <w:tcPr>
            <w:tcBorders>
              <w:top w:color="a8a8a8" w:space="0" w:sz="4" w:val="single"/>
              <w:left w:color="a8a8a8" w:space="0" w:sz="4" w:val="single"/>
              <w:bottom w:color="a8a8a8" w:space="0" w:sz="4" w:val="single"/>
              <w:right w:color="a8a8a8" w:space="0" w:sz="4" w:val="single"/>
            </w:tcBorders>
            <w:tcMar>
              <w:top w:w="90.0" w:type="dxa"/>
              <w:bottom w:w="90.0" w:type="dxa"/>
            </w:tcMar>
            <w:vAlign w:val="center"/>
          </w:tcPr>
          <w:p w:rsidR="00000000" w:rsidDel="00000000" w:rsidP="00000000" w:rsidRDefault="00000000" w:rsidRPr="00000000" w14:paraId="0000011E">
            <w:pPr>
              <w:spacing w:after="40" w:before="40" w:lineRule="auto"/>
              <w:jc w:val="center"/>
              <w:rPr/>
            </w:pPr>
            <w:r w:rsidDel="00000000" w:rsidR="00000000" w:rsidRPr="00000000">
              <w:rPr>
                <w:rFonts w:ascii="Times New Roman" w:cs="Times New Roman" w:eastAsia="Times New Roman" w:hAnsi="Times New Roman"/>
                <w:b w:val="0"/>
                <w:bCs w:val="0"/>
                <w:i w:val="0"/>
                <w:iCs w:val="0"/>
                <w:color w:val="181818"/>
                <w:sz w:val="16"/>
                <w:szCs w:val="16"/>
                <w:rtl w:val="0"/>
              </w:rPr>
              <w:t xml:space="preserve">-14.9%</w:t>
            </w:r>
            <w:r w:rsidDel="00000000" w:rsidR="00000000" w:rsidRPr="00000000">
              <w:rPr>
                <w:rtl w:val="0"/>
              </w:rPr>
            </w:r>
          </w:p>
        </w:tc>
      </w:tr>
    </w:tbl>
    <w:p w:rsidR="00000000" w:rsidDel="00000000" w:rsidP="00000000" w:rsidRDefault="00000000" w:rsidRPr="00000000" w14:paraId="0000011F">
      <w:pPr>
        <w:spacing w:after="120" w:lineRule="auto"/>
        <w:rPr/>
      </w:pPr>
      <w:r w:rsidDel="00000000" w:rsidR="00000000" w:rsidRPr="00000000">
        <w:rPr>
          <w:rtl w:val="0"/>
        </w:rPr>
      </w:r>
    </w:p>
    <w:p w:rsidR="00000000" w:rsidDel="00000000" w:rsidP="00000000" w:rsidRDefault="00000000" w:rsidRPr="00000000" w14:paraId="00000120">
      <w:pPr>
        <w:spacing w:after="110" w:before="0" w:line="269" w:lineRule="auto"/>
        <w:ind w:firstLine="238"/>
        <w:jc w:val="both"/>
        <w:rPr/>
      </w:pPr>
      <w:r w:rsidDel="00000000" w:rsidR="00000000" w:rsidRPr="00000000">
        <w:rPr>
          <w:rFonts w:ascii="Times New Roman" w:cs="Times New Roman" w:eastAsia="Times New Roman" w:hAnsi="Times New Roman"/>
          <w:b w:val="0"/>
          <w:bCs w:val="0"/>
          <w:i w:val="0"/>
          <w:iCs w:val="0"/>
          <w:color w:val="181818"/>
          <w:sz w:val="20"/>
          <w:szCs w:val="20"/>
          <w:rtl w:val="0"/>
        </w:rPr>
        <w:t xml:space="preserve">The portfolio result limits the role assigned to sentiment. Table 4 and Figures A8-A9 show that finance-specific language changes score distributions relative to social-media VADER, and the Explain view traces a lagged signal to its terms and confidence weights. The unsuccessful element is the multiplicative allocation rule over 2021-2023. Headline tone may duplicate price information already present in the estimation window, and the required one-session lag removes the most immediate part of any relationship. Equal Weight and Risk Parity move in the same direction, so this finding is not peculiar to Minimum Variance. Sentiment is retained for monitoring and explanation, not as an independent return engine.</w:t>
      </w:r>
      <w:r w:rsidDel="00000000" w:rsidR="00000000" w:rsidRPr="00000000">
        <w:rPr>
          <w:rtl w:val="0"/>
        </w:rPr>
      </w:r>
    </w:p>
    <w:p w:rsidR="00000000" w:rsidDel="00000000" w:rsidP="00000000" w:rsidRDefault="00000000" w:rsidRPr="00000000" w14:paraId="00000121">
      <w:pPr>
        <w:pStyle w:val="Heading1"/>
        <w:keepNext w:val="1"/>
        <w:spacing w:after="160" w:before="320" w:line="269" w:lineRule="auto"/>
        <w:jc w:val="left"/>
        <w:rPr/>
      </w:pPr>
      <w:r w:rsidDel="00000000" w:rsidR="00000000" w:rsidRPr="00000000">
        <w:rPr>
          <w:rFonts w:ascii="Times New Roman" w:cs="Times New Roman" w:eastAsia="Times New Roman" w:hAnsi="Times New Roman"/>
          <w:b w:val="1"/>
          <w:bCs w:val="1"/>
          <w:i w:val="0"/>
          <w:iCs w:val="0"/>
          <w:color w:val="181818"/>
          <w:sz w:val="27"/>
          <w:szCs w:val="27"/>
          <w:rtl w:val="0"/>
        </w:rPr>
        <w:t xml:space="preserve">4. The Signal Harbour application</w:t>
      </w:r>
      <w:r w:rsidDel="00000000" w:rsidR="00000000" w:rsidRPr="00000000">
        <w:rPr>
          <w:rtl w:val="0"/>
        </w:rPr>
      </w:r>
    </w:p>
    <w:p w:rsidR="00000000" w:rsidDel="00000000" w:rsidP="00000000" w:rsidRDefault="00000000" w:rsidRPr="00000000" w14:paraId="00000122">
      <w:pPr>
        <w:spacing w:after="110" w:before="0" w:line="269" w:lineRule="auto"/>
        <w:jc w:val="both"/>
        <w:rPr/>
      </w:pPr>
      <w:r w:rsidDel="00000000" w:rsidR="00000000" w:rsidRPr="00000000">
        <w:rPr>
          <w:rFonts w:ascii="Times New Roman" w:cs="Times New Roman" w:eastAsia="Times New Roman" w:hAnsi="Times New Roman"/>
          <w:b w:val="0"/>
          <w:bCs w:val="0"/>
          <w:i w:val="0"/>
          <w:iCs w:val="0"/>
          <w:color w:val="181818"/>
          <w:sz w:val="20"/>
          <w:szCs w:val="20"/>
          <w:rtl w:val="0"/>
        </w:rPr>
        <w:t xml:space="preserve">The application is organised around the work an analyst does before an investment-committee meeting. Each tab answers a practical question from retained output files rather than recalculating the research. This keeps the deployment suitable for a free Streamlit service and ensures that a chart shown to a client is drawn from the same evidence reported here.</w:t>
      </w:r>
      <w:r w:rsidDel="00000000" w:rsidR="00000000" w:rsidRPr="00000000">
        <w:rPr>
          <w:rtl w:val="0"/>
        </w:rPr>
      </w:r>
    </w:p>
    <w:p w:rsidR="00000000" w:rsidDel="00000000" w:rsidP="00000000" w:rsidRDefault="00000000" w:rsidRPr="00000000" w14:paraId="00000123">
      <w:pPr>
        <w:numPr>
          <w:ilvl w:val="0"/>
          <w:numId w:val="1"/>
        </w:numPr>
        <w:spacing w:after="100" w:line="264" w:lineRule="auto"/>
        <w:ind w:left="397" w:hanging="142"/>
        <w:jc w:val="left"/>
        <w:rPr/>
      </w:pPr>
      <w:r w:rsidDel="00000000" w:rsidR="00000000" w:rsidRPr="00000000">
        <w:rPr>
          <w:rFonts w:ascii="Times New Roman" w:cs="Times New Roman" w:eastAsia="Times New Roman" w:hAnsi="Times New Roman"/>
          <w:b w:val="1"/>
          <w:bCs w:val="1"/>
          <w:i w:val="0"/>
          <w:iCs w:val="0"/>
          <w:color w:val="181818"/>
          <w:sz w:val="20"/>
          <w:szCs w:val="20"/>
          <w:rtl w:val="0"/>
        </w:rPr>
        <w:t xml:space="preserve">Compare.</w:t>
      </w:r>
      <w:r w:rsidDel="00000000" w:rsidR="00000000" w:rsidRPr="00000000">
        <w:rPr>
          <w:rFonts w:ascii="Times New Roman" w:cs="Times New Roman" w:eastAsia="Times New Roman" w:hAnsi="Times New Roman"/>
          <w:b w:val="0"/>
          <w:bCs w:val="0"/>
          <w:i w:val="0"/>
          <w:iCs w:val="0"/>
          <w:color w:val="181818"/>
          <w:sz w:val="20"/>
          <w:szCs w:val="20"/>
          <w:rtl w:val="0"/>
        </w:rPr>
        <w:t xml:space="preserve"> Rank sleeves by zero-risk-free-rate Sharpe and terminal growth, then plot a shortlist of wealth paths from the research sample through December 2023.</w:t>
      </w:r>
      <w:r w:rsidDel="00000000" w:rsidR="00000000" w:rsidRPr="00000000">
        <w:rPr>
          <w:rtl w:val="0"/>
        </w:rPr>
      </w:r>
    </w:p>
    <w:p w:rsidR="00000000" w:rsidDel="00000000" w:rsidP="00000000" w:rsidRDefault="00000000" w:rsidRPr="00000000" w14:paraId="00000124">
      <w:pPr>
        <w:numPr>
          <w:ilvl w:val="0"/>
          <w:numId w:val="1"/>
        </w:numPr>
        <w:spacing w:after="100" w:line="264" w:lineRule="auto"/>
        <w:ind w:left="397" w:hanging="142"/>
        <w:jc w:val="left"/>
        <w:rPr/>
      </w:pPr>
      <w:r w:rsidDel="00000000" w:rsidR="00000000" w:rsidRPr="00000000">
        <w:rPr>
          <w:rFonts w:ascii="Times New Roman" w:cs="Times New Roman" w:eastAsia="Times New Roman" w:hAnsi="Times New Roman"/>
          <w:b w:val="1"/>
          <w:bCs w:val="1"/>
          <w:i w:val="0"/>
          <w:iCs w:val="0"/>
          <w:color w:val="181818"/>
          <w:sz w:val="20"/>
          <w:szCs w:val="20"/>
          <w:rtl w:val="0"/>
        </w:rPr>
        <w:t xml:space="preserve">Fact sheet.</w:t>
      </w:r>
      <w:r w:rsidDel="00000000" w:rsidR="00000000" w:rsidRPr="00000000">
        <w:rPr>
          <w:rFonts w:ascii="Times New Roman" w:cs="Times New Roman" w:eastAsia="Times New Roman" w:hAnsi="Times New Roman"/>
          <w:b w:val="0"/>
          <w:bCs w:val="0"/>
          <w:i w:val="0"/>
          <w:iCs w:val="0"/>
          <w:color w:val="181818"/>
          <w:sz w:val="20"/>
          <w:szCs w:val="20"/>
          <w:rtl w:val="0"/>
        </w:rPr>
        <w:t xml:space="preserve"> Inspect one fund at a time: CAGR, volatility, Sharpe, drawdown, and the latest decision weights. A residual is stated whenever only the top holdings are displayed.</w:t>
      </w:r>
      <w:r w:rsidDel="00000000" w:rsidR="00000000" w:rsidRPr="00000000">
        <w:rPr>
          <w:rtl w:val="0"/>
        </w:rPr>
      </w:r>
    </w:p>
    <w:p w:rsidR="00000000" w:rsidDel="00000000" w:rsidP="00000000" w:rsidRDefault="00000000" w:rsidRPr="00000000" w14:paraId="00000125">
      <w:pPr>
        <w:numPr>
          <w:ilvl w:val="0"/>
          <w:numId w:val="1"/>
        </w:numPr>
        <w:spacing w:after="100" w:line="264" w:lineRule="auto"/>
        <w:ind w:left="397" w:hanging="142"/>
        <w:jc w:val="left"/>
        <w:rPr/>
      </w:pPr>
      <w:r w:rsidDel="00000000" w:rsidR="00000000" w:rsidRPr="00000000">
        <w:rPr>
          <w:rFonts w:ascii="Times New Roman" w:cs="Times New Roman" w:eastAsia="Times New Roman" w:hAnsi="Times New Roman"/>
          <w:b w:val="1"/>
          <w:bCs w:val="1"/>
          <w:i w:val="0"/>
          <w:iCs w:val="0"/>
          <w:color w:val="181818"/>
          <w:sz w:val="20"/>
          <w:szCs w:val="20"/>
          <w:rtl w:val="0"/>
        </w:rPr>
        <w:t xml:space="preserve">Allocate.</w:t>
      </w:r>
      <w:r w:rsidDel="00000000" w:rsidR="00000000" w:rsidRPr="00000000">
        <w:rPr>
          <w:rFonts w:ascii="Times New Roman" w:cs="Times New Roman" w:eastAsia="Times New Roman" w:hAnsi="Times New Roman"/>
          <w:b w:val="0"/>
          <w:bCs w:val="0"/>
          <w:i w:val="0"/>
          <w:iCs w:val="0"/>
          <w:color w:val="181818"/>
          <w:sz w:val="20"/>
          <w:szCs w:val="20"/>
          <w:rtl w:val="0"/>
        </w:rPr>
        <w:t xml:space="preserve"> Combine completed fund return streams without re-optimising names, using intersecting equity sessions for equity-only blends and the native union calendar for blends containing crypto.</w:t>
      </w:r>
      <w:r w:rsidDel="00000000" w:rsidR="00000000" w:rsidRPr="00000000">
        <w:rPr>
          <w:rtl w:val="0"/>
        </w:rPr>
      </w:r>
    </w:p>
    <w:p w:rsidR="00000000" w:rsidDel="00000000" w:rsidP="00000000" w:rsidRDefault="00000000" w:rsidRPr="00000000" w14:paraId="00000126">
      <w:pPr>
        <w:numPr>
          <w:ilvl w:val="0"/>
          <w:numId w:val="1"/>
        </w:numPr>
        <w:spacing w:after="100" w:line="264" w:lineRule="auto"/>
        <w:ind w:left="397" w:hanging="142"/>
        <w:jc w:val="left"/>
        <w:rPr/>
      </w:pPr>
      <w:r w:rsidDel="00000000" w:rsidR="00000000" w:rsidRPr="00000000">
        <w:rPr>
          <w:rFonts w:ascii="Times New Roman" w:cs="Times New Roman" w:eastAsia="Times New Roman" w:hAnsi="Times New Roman"/>
          <w:b w:val="1"/>
          <w:bCs w:val="1"/>
          <w:i w:val="0"/>
          <w:iCs w:val="0"/>
          <w:color w:val="181818"/>
          <w:sz w:val="20"/>
          <w:szCs w:val="20"/>
          <w:rtl w:val="0"/>
        </w:rPr>
        <w:t xml:space="preserve">Sentiment and Explain.</w:t>
      </w:r>
      <w:r w:rsidDel="00000000" w:rsidR="00000000" w:rsidRPr="00000000">
        <w:rPr>
          <w:rFonts w:ascii="Times New Roman" w:cs="Times New Roman" w:eastAsia="Times New Roman" w:hAnsi="Times New Roman"/>
          <w:b w:val="0"/>
          <w:bCs w:val="0"/>
          <w:i w:val="0"/>
          <w:iCs w:val="0"/>
          <w:color w:val="181818"/>
          <w:sz w:val="20"/>
          <w:szCs w:val="20"/>
          <w:rtl w:val="0"/>
        </w:rPr>
        <w:t xml:space="preserve"> Review the sector news climate, model comparisons, coverage diagnostics, and the prior-session fields that produced the lagged tradable score. Headlines are not re-scored live.</w:t>
      </w:r>
      <w:r w:rsidDel="00000000" w:rsidR="00000000" w:rsidRPr="00000000">
        <w:rPr>
          <w:rtl w:val="0"/>
        </w:rPr>
      </w:r>
    </w:p>
    <w:p w:rsidR="00000000" w:rsidDel="00000000" w:rsidP="00000000" w:rsidRDefault="00000000" w:rsidRPr="00000000" w14:paraId="00000127">
      <w:pPr>
        <w:pStyle w:val="Heading2"/>
        <w:keepNext w:val="1"/>
        <w:spacing w:after="120" w:before="240" w:line="269" w:lineRule="auto"/>
        <w:jc w:val="left"/>
        <w:rPr/>
      </w:pPr>
      <w:r w:rsidDel="00000000" w:rsidR="00000000" w:rsidRPr="00000000">
        <w:rPr>
          <w:rFonts w:ascii="Times New Roman" w:cs="Times New Roman" w:eastAsia="Times New Roman" w:hAnsi="Times New Roman"/>
          <w:b w:val="1"/>
          <w:bCs w:val="1"/>
          <w:i w:val="0"/>
          <w:iCs w:val="0"/>
          <w:color w:val="181818"/>
          <w:sz w:val="22"/>
          <w:szCs w:val="22"/>
          <w:rtl w:val="0"/>
        </w:rPr>
        <w:t xml:space="preserve">Calendar treatment in Allocate</w:t>
      </w:r>
      <w:r w:rsidDel="00000000" w:rsidR="00000000" w:rsidRPr="00000000">
        <w:rPr>
          <w:rtl w:val="0"/>
        </w:rPr>
      </w:r>
    </w:p>
    <w:p w:rsidR="00000000" w:rsidDel="00000000" w:rsidP="00000000" w:rsidRDefault="00000000" w:rsidRPr="00000000" w14:paraId="00000128">
      <w:pPr>
        <w:spacing w:after="110" w:before="0" w:line="269" w:lineRule="auto"/>
        <w:ind w:firstLine="238"/>
        <w:jc w:val="both"/>
        <w:rPr/>
      </w:pPr>
      <w:r w:rsidDel="00000000" w:rsidR="00000000" w:rsidRPr="00000000">
        <w:rPr>
          <w:rFonts w:ascii="Times New Roman" w:cs="Times New Roman" w:eastAsia="Times New Roman" w:hAnsi="Times New Roman"/>
          <w:b w:val="0"/>
          <w:bCs w:val="0"/>
          <w:i w:val="0"/>
          <w:iCs w:val="0"/>
          <w:color w:val="181818"/>
          <w:sz w:val="20"/>
          <w:szCs w:val="20"/>
          <w:rtl w:val="0"/>
        </w:rPr>
        <w:t xml:space="preserve">Allocate works with completed fund-return series rather than re-optimising the assets inside a Combined fund. When a Crypto fund is selected, the tab uses the union of dates, annualises over 365 days and records zero for the equity leg while that market is closed. Equity-only blends remain on intersecting sessions with 252-day annualisation. A 60/40 equity-crypto mix therefore retains crypto returns earned on Saturday and Sunday instead of deleting them during alignment.</w:t>
      </w:r>
      <w:r w:rsidDel="00000000" w:rsidR="00000000" w:rsidRPr="00000000">
        <w:rPr>
          <w:rtl w:val="0"/>
        </w:rPr>
      </w:r>
    </w:p>
    <w:p w:rsidR="00000000" w:rsidDel="00000000" w:rsidP="00000000" w:rsidRDefault="00000000" w:rsidRPr="00000000" w14:paraId="00000129">
      <w:pPr>
        <w:spacing w:after="110" w:before="0" w:line="269" w:lineRule="auto"/>
        <w:ind w:firstLine="238"/>
        <w:jc w:val="both"/>
        <w:rPr/>
      </w:pPr>
      <w:r w:rsidDel="00000000" w:rsidR="00000000" w:rsidRPr="00000000">
        <w:rPr>
          <w:rFonts w:ascii="Times New Roman" w:cs="Times New Roman" w:eastAsia="Times New Roman" w:hAnsi="Times New Roman"/>
          <w:b w:val="0"/>
          <w:bCs w:val="0"/>
          <w:i w:val="0"/>
          <w:iCs w:val="0"/>
          <w:color w:val="181818"/>
          <w:sz w:val="20"/>
          <w:szCs w:val="20"/>
          <w:rtl w:val="0"/>
        </w:rPr>
        <w:t xml:space="preserve">Several interface choices address predictable misreadings. A fixed light theme keeps headings visible in a dark-mode browser. Explain displays the dates attached to the raw sentiment input and the lagged tradable version; the fact sheet reports a residual whenever its top-20 table omits part of the portfolio. These choices leave performance unchanged, but they prevent the display from implying more completeness or timeliness than the underlying output contains.</w:t>
      </w:r>
      <w:r w:rsidDel="00000000" w:rsidR="00000000" w:rsidRPr="00000000">
        <w:rPr>
          <w:rtl w:val="0"/>
        </w:rPr>
      </w:r>
    </w:p>
    <w:p w:rsidR="00000000" w:rsidDel="00000000" w:rsidP="00000000" w:rsidRDefault="00000000" w:rsidRPr="00000000" w14:paraId="0000012A">
      <w:pPr>
        <w:spacing w:after="110" w:before="0" w:line="269" w:lineRule="auto"/>
        <w:ind w:firstLine="238"/>
        <w:jc w:val="both"/>
        <w:rPr/>
      </w:pPr>
      <w:r w:rsidDel="00000000" w:rsidR="00000000" w:rsidRPr="00000000">
        <w:rPr>
          <w:rFonts w:ascii="Times New Roman" w:cs="Times New Roman" w:eastAsia="Times New Roman" w:hAnsi="Times New Roman"/>
          <w:b w:val="0"/>
          <w:bCs w:val="0"/>
          <w:i w:val="0"/>
          <w:iCs w:val="0"/>
          <w:color w:val="181818"/>
          <w:sz w:val="20"/>
          <w:szCs w:val="20"/>
          <w:rtl w:val="0"/>
        </w:rPr>
        <w:t xml:space="preserve">The client discussion begins with the main investment trade-off. Combined Risk Parity records a 0.91 Sharpe ratio and -19.3% drawdown; Combined Maximum Sharpe adds some growth at the cost of a deeper loss. Only after that comparison does the news view provide context, consistent with sentiment's role as monitoring rather than allocation. If a client questions Energy's strong 2022 reading, the coverage diagnostics are available beside it. Every display is labelled as out-of-sample research through December 2023, not as live production.</w:t>
      </w:r>
      <w:r w:rsidDel="00000000" w:rsidR="00000000" w:rsidRPr="00000000">
        <w:rPr>
          <w:rtl w:val="0"/>
        </w:rPr>
      </w:r>
    </w:p>
    <w:p w:rsidR="00000000" w:rsidDel="00000000" w:rsidP="00000000" w:rsidRDefault="00000000" w:rsidRPr="00000000" w14:paraId="0000012B">
      <w:pPr>
        <w:pStyle w:val="Heading1"/>
        <w:keepNext w:val="1"/>
        <w:spacing w:after="160" w:before="320" w:line="269" w:lineRule="auto"/>
        <w:jc w:val="left"/>
        <w:rPr/>
      </w:pPr>
      <w:r w:rsidDel="00000000" w:rsidR="00000000" w:rsidRPr="00000000">
        <w:rPr>
          <w:rFonts w:ascii="Times New Roman" w:cs="Times New Roman" w:eastAsia="Times New Roman" w:hAnsi="Times New Roman"/>
          <w:b w:val="1"/>
          <w:bCs w:val="1"/>
          <w:i w:val="0"/>
          <w:iCs w:val="0"/>
          <w:color w:val="181818"/>
          <w:sz w:val="27"/>
          <w:szCs w:val="27"/>
          <w:rtl w:val="0"/>
        </w:rPr>
        <w:t xml:space="preserve">5. Recommendations</w:t>
      </w:r>
      <w:r w:rsidDel="00000000" w:rsidR="00000000" w:rsidRPr="00000000">
        <w:rPr>
          <w:rtl w:val="0"/>
        </w:rPr>
      </w:r>
    </w:p>
    <w:p w:rsidR="00000000" w:rsidDel="00000000" w:rsidP="00000000" w:rsidRDefault="00000000" w:rsidRPr="00000000" w14:paraId="0000012C">
      <w:pPr>
        <w:spacing w:after="110" w:before="0" w:line="269" w:lineRule="auto"/>
        <w:jc w:val="both"/>
        <w:rPr/>
      </w:pPr>
      <w:r w:rsidDel="00000000" w:rsidR="00000000" w:rsidRPr="00000000">
        <w:rPr>
          <w:rFonts w:ascii="Times New Roman" w:cs="Times New Roman" w:eastAsia="Times New Roman" w:hAnsi="Times New Roman"/>
          <w:b w:val="0"/>
          <w:bCs w:val="0"/>
          <w:i w:val="0"/>
          <w:iCs w:val="0"/>
          <w:color w:val="181818"/>
          <w:sz w:val="20"/>
          <w:szCs w:val="20"/>
          <w:rtl w:val="0"/>
        </w:rPr>
        <w:t xml:space="preserve">Three recommendations follow from the fund and fusion results.</w:t>
      </w:r>
      <w:r w:rsidDel="00000000" w:rsidR="00000000" w:rsidRPr="00000000">
        <w:rPr>
          <w:rtl w:val="0"/>
        </w:rPr>
      </w:r>
    </w:p>
    <w:p w:rsidR="00000000" w:rsidDel="00000000" w:rsidP="00000000" w:rsidRDefault="00000000" w:rsidRPr="00000000" w14:paraId="0000012D">
      <w:pPr>
        <w:numPr>
          <w:ilvl w:val="0"/>
          <w:numId w:val="1"/>
        </w:numPr>
        <w:spacing w:after="100" w:line="264" w:lineRule="auto"/>
        <w:ind w:left="397" w:hanging="142"/>
        <w:jc w:val="left"/>
        <w:rPr/>
      </w:pPr>
      <w:r w:rsidDel="00000000" w:rsidR="00000000" w:rsidRPr="00000000">
        <w:rPr>
          <w:rFonts w:ascii="Times New Roman" w:cs="Times New Roman" w:eastAsia="Times New Roman" w:hAnsi="Times New Roman"/>
          <w:b w:val="1"/>
          <w:bCs w:val="1"/>
          <w:i w:val="0"/>
          <w:iCs w:val="0"/>
          <w:color w:val="181818"/>
          <w:sz w:val="20"/>
          <w:szCs w:val="20"/>
          <w:rtl w:val="0"/>
        </w:rPr>
        <w:t xml:space="preserve">Default mixed sleeve.</w:t>
      </w:r>
      <w:r w:rsidDel="00000000" w:rsidR="00000000" w:rsidRPr="00000000">
        <w:rPr>
          <w:rFonts w:ascii="Times New Roman" w:cs="Times New Roman" w:eastAsia="Times New Roman" w:hAnsi="Times New Roman"/>
          <w:b w:val="0"/>
          <w:bCs w:val="0"/>
          <w:i w:val="0"/>
          <w:iCs w:val="0"/>
          <w:color w:val="181818"/>
          <w:sz w:val="20"/>
          <w:szCs w:val="20"/>
          <w:rtl w:val="0"/>
        </w:rPr>
        <w:t xml:space="preserve"> Use Combined Risk Parity as the primary balanced multi-asset comparison within this sample, with a zero-risk-free-rate Sharpe ratio of 0.91 and a maximum drawdown of -19.3% (Table 1; Figures A1, A2 and A4).</w:t>
      </w:r>
      <w:r w:rsidDel="00000000" w:rsidR="00000000" w:rsidRPr="00000000">
        <w:rPr>
          <w:rtl w:val="0"/>
        </w:rPr>
      </w:r>
    </w:p>
    <w:p w:rsidR="00000000" w:rsidDel="00000000" w:rsidP="00000000" w:rsidRDefault="00000000" w:rsidRPr="00000000" w14:paraId="0000012E">
      <w:pPr>
        <w:numPr>
          <w:ilvl w:val="0"/>
          <w:numId w:val="1"/>
        </w:numPr>
        <w:spacing w:after="100" w:line="264" w:lineRule="auto"/>
        <w:ind w:left="397" w:hanging="142"/>
        <w:jc w:val="left"/>
        <w:rPr/>
      </w:pPr>
      <w:r w:rsidDel="00000000" w:rsidR="00000000" w:rsidRPr="00000000">
        <w:rPr>
          <w:rFonts w:ascii="Times New Roman" w:cs="Times New Roman" w:eastAsia="Times New Roman" w:hAnsi="Times New Roman"/>
          <w:b w:val="1"/>
          <w:bCs w:val="1"/>
          <w:i w:val="0"/>
          <w:iCs w:val="0"/>
          <w:color w:val="181818"/>
          <w:sz w:val="20"/>
          <w:szCs w:val="20"/>
          <w:rtl w:val="0"/>
        </w:rPr>
        <w:t xml:space="preserve">Satellite growth sleeve.</w:t>
      </w:r>
      <w:r w:rsidDel="00000000" w:rsidR="00000000" w:rsidRPr="00000000">
        <w:rPr>
          <w:rFonts w:ascii="Times New Roman" w:cs="Times New Roman" w:eastAsia="Times New Roman" w:hAnsi="Times New Roman"/>
          <w:b w:val="0"/>
          <w:bCs w:val="0"/>
          <w:i w:val="0"/>
          <w:iCs w:val="0"/>
          <w:color w:val="181818"/>
          <w:sz w:val="20"/>
          <w:szCs w:val="20"/>
          <w:rtl w:val="0"/>
        </w:rPr>
        <w:t xml:space="preserve"> Keep Combined Maximum Sharpe as an optional higher-growth alternative rather than the default. Terminal wealth reaches 1.55x, but maximum drawdown deepens to -26.2% and the latest holdings are more concentrated (Tables 1 and 3; Figure A3).</w:t>
      </w:r>
      <w:r w:rsidDel="00000000" w:rsidR="00000000" w:rsidRPr="00000000">
        <w:rPr>
          <w:rtl w:val="0"/>
        </w:rPr>
      </w:r>
    </w:p>
    <w:p w:rsidR="00000000" w:rsidDel="00000000" w:rsidP="00000000" w:rsidRDefault="00000000" w:rsidRPr="00000000" w14:paraId="0000012F">
      <w:pPr>
        <w:numPr>
          <w:ilvl w:val="0"/>
          <w:numId w:val="1"/>
        </w:numPr>
        <w:spacing w:after="100" w:line="264" w:lineRule="auto"/>
        <w:ind w:left="397" w:hanging="142"/>
        <w:jc w:val="left"/>
        <w:rPr/>
      </w:pPr>
      <w:r w:rsidDel="00000000" w:rsidR="00000000" w:rsidRPr="00000000">
        <w:rPr>
          <w:rFonts w:ascii="Times New Roman" w:cs="Times New Roman" w:eastAsia="Times New Roman" w:hAnsi="Times New Roman"/>
          <w:b w:val="1"/>
          <w:bCs w:val="1"/>
          <w:i w:val="0"/>
          <w:iCs w:val="0"/>
          <w:color w:val="181818"/>
          <w:sz w:val="20"/>
          <w:szCs w:val="20"/>
          <w:rtl w:val="0"/>
        </w:rPr>
        <w:t xml:space="preserve">Sentiment as monitoring, not alpha.</w:t>
      </w:r>
      <w:r w:rsidDel="00000000" w:rsidR="00000000" w:rsidRPr="00000000">
        <w:rPr>
          <w:rFonts w:ascii="Times New Roman" w:cs="Times New Roman" w:eastAsia="Times New Roman" w:hAnsi="Times New Roman"/>
          <w:b w:val="0"/>
          <w:bCs w:val="0"/>
          <w:i w:val="0"/>
          <w:iCs w:val="0"/>
          <w:color w:val="181818"/>
          <w:sz w:val="20"/>
          <w:szCs w:val="20"/>
          <w:rtl w:val="0"/>
        </w:rPr>
        <w:t xml:space="preserve"> Retain the lagged context-weighted layer in the explainability workflow, but do not market it as a return engine. Relative to Equity MinVar, Sharpe moves from 0.4740 to 0.4711 and deteriorates further under equal cost assumptions (Figure A6; Tables 5 and 6).</w:t>
      </w:r>
      <w:r w:rsidDel="00000000" w:rsidR="00000000" w:rsidRPr="00000000">
        <w:rPr>
          <w:rtl w:val="0"/>
        </w:rPr>
      </w:r>
    </w:p>
    <w:p w:rsidR="00000000" w:rsidDel="00000000" w:rsidP="00000000" w:rsidRDefault="00000000" w:rsidRPr="00000000" w14:paraId="00000130">
      <w:pPr>
        <w:pStyle w:val="Heading1"/>
        <w:keepNext w:val="1"/>
        <w:spacing w:after="160" w:before="320" w:line="269" w:lineRule="auto"/>
        <w:jc w:val="left"/>
        <w:rPr/>
      </w:pPr>
      <w:r w:rsidDel="00000000" w:rsidR="00000000" w:rsidRPr="00000000">
        <w:rPr>
          <w:rFonts w:ascii="Times New Roman" w:cs="Times New Roman" w:eastAsia="Times New Roman" w:hAnsi="Times New Roman"/>
          <w:b w:val="1"/>
          <w:bCs w:val="1"/>
          <w:i w:val="0"/>
          <w:iCs w:val="0"/>
          <w:color w:val="181818"/>
          <w:sz w:val="27"/>
          <w:szCs w:val="27"/>
          <w:rtl w:val="0"/>
        </w:rPr>
        <w:t xml:space="preserve">6. Critical reflection and limits</w:t>
      </w:r>
      <w:r w:rsidDel="00000000" w:rsidR="00000000" w:rsidRPr="00000000">
        <w:rPr>
          <w:rtl w:val="0"/>
        </w:rPr>
      </w:r>
    </w:p>
    <w:p w:rsidR="00000000" w:rsidDel="00000000" w:rsidP="00000000" w:rsidRDefault="00000000" w:rsidRPr="00000000" w14:paraId="00000131">
      <w:pPr>
        <w:spacing w:after="110" w:before="0" w:line="269" w:lineRule="auto"/>
        <w:jc w:val="both"/>
        <w:rPr/>
      </w:pPr>
      <w:r w:rsidDel="00000000" w:rsidR="00000000" w:rsidRPr="00000000">
        <w:rPr>
          <w:rFonts w:ascii="Times New Roman" w:cs="Times New Roman" w:eastAsia="Times New Roman" w:hAnsi="Times New Roman"/>
          <w:b w:val="0"/>
          <w:bCs w:val="0"/>
          <w:i w:val="0"/>
          <w:iCs w:val="0"/>
          <w:color w:val="181818"/>
          <w:sz w:val="20"/>
          <w:szCs w:val="20"/>
          <w:rtl w:val="0"/>
        </w:rPr>
        <w:t xml:space="preserve">The reported rankings follow the stated timing rules, although they remain conditional on a short period and on choices made during model development. They describe this test rather than a permanent ordering of the funds.</w:t>
      </w:r>
      <w:r w:rsidDel="00000000" w:rsidR="00000000" w:rsidRPr="00000000">
        <w:rPr>
          <w:rtl w:val="0"/>
        </w:rPr>
      </w:r>
    </w:p>
    <w:p w:rsidR="00000000" w:rsidDel="00000000" w:rsidP="00000000" w:rsidRDefault="00000000" w:rsidRPr="00000000" w14:paraId="00000132">
      <w:pPr>
        <w:spacing w:after="110" w:before="0" w:line="269" w:lineRule="auto"/>
        <w:ind w:firstLine="238"/>
        <w:jc w:val="both"/>
        <w:rPr/>
      </w:pPr>
      <w:r w:rsidDel="00000000" w:rsidR="00000000" w:rsidRPr="00000000">
        <w:rPr>
          <w:rFonts w:ascii="Times New Roman" w:cs="Times New Roman" w:eastAsia="Times New Roman" w:hAnsi="Times New Roman"/>
          <w:b w:val="1"/>
          <w:bCs w:val="1"/>
          <w:i w:val="0"/>
          <w:iCs w:val="0"/>
          <w:color w:val="181818"/>
          <w:sz w:val="20"/>
          <w:szCs w:val="20"/>
          <w:rtl w:val="0"/>
        </w:rPr>
        <w:t xml:space="preserve">Short live window.</w:t>
      </w:r>
      <w:r w:rsidDel="00000000" w:rsidR="00000000" w:rsidRPr="00000000">
        <w:rPr>
          <w:rFonts w:ascii="Times New Roman" w:cs="Times New Roman" w:eastAsia="Times New Roman" w:hAnsi="Times New Roman"/>
          <w:b w:val="0"/>
          <w:bCs w:val="0"/>
          <w:i w:val="0"/>
          <w:iCs w:val="0"/>
          <w:color w:val="181818"/>
          <w:sz w:val="20"/>
          <w:szCs w:val="20"/>
          <w:rtl w:val="0"/>
        </w:rPr>
        <w:t xml:space="preserve"> Equity and Combined performance begins on 5 January 2021 and ends in December 2023. It captures the COVID recovery, the inflation and rate shock of 2022 and the 2023 equity rebound, but not a broad range of market regimes. A longer test could reverse the ordering of Equal Weight and Risk Parity.</w:t>
      </w:r>
      <w:r w:rsidDel="00000000" w:rsidR="00000000" w:rsidRPr="00000000">
        <w:rPr>
          <w:rtl w:val="0"/>
        </w:rPr>
      </w:r>
    </w:p>
    <w:p w:rsidR="00000000" w:rsidDel="00000000" w:rsidP="00000000" w:rsidRDefault="00000000" w:rsidRPr="00000000" w14:paraId="00000133">
      <w:pPr>
        <w:spacing w:after="110" w:before="0" w:line="269" w:lineRule="auto"/>
        <w:ind w:firstLine="238"/>
        <w:jc w:val="both"/>
        <w:rPr/>
      </w:pPr>
      <w:r w:rsidDel="00000000" w:rsidR="00000000" w:rsidRPr="00000000">
        <w:rPr>
          <w:rFonts w:ascii="Times New Roman" w:cs="Times New Roman" w:eastAsia="Times New Roman" w:hAnsi="Times New Roman"/>
          <w:b w:val="1"/>
          <w:bCs w:val="1"/>
          <w:i w:val="0"/>
          <w:iCs w:val="0"/>
          <w:color w:val="181818"/>
          <w:sz w:val="20"/>
          <w:szCs w:val="20"/>
          <w:rtl w:val="0"/>
        </w:rPr>
        <w:t xml:space="preserve">Headline results exclude costs.</w:t>
      </w:r>
      <w:r w:rsidDel="00000000" w:rsidR="00000000" w:rsidRPr="00000000">
        <w:rPr>
          <w:rFonts w:ascii="Times New Roman" w:cs="Times New Roman" w:eastAsia="Times New Roman" w:hAnsi="Times New Roman"/>
          <w:b w:val="0"/>
          <w:bCs w:val="0"/>
          <w:i w:val="0"/>
          <w:iCs w:val="0"/>
          <w:color w:val="181818"/>
          <w:sz w:val="20"/>
          <w:szCs w:val="20"/>
          <w:rtl w:val="0"/>
        </w:rPr>
        <w:t xml:space="preserve"> Table 1 compares funds before transaction costs. Table 5 shows that charging 5-25 basis points per unit of turnover lowers fusion performance, yet the same grid has not been applied to every fund. It therefore remains unclear how much of Maximum Sharpe's higher growth would survive against a lower-turnover Risk Parity strategy.</w:t>
      </w:r>
      <w:r w:rsidDel="00000000" w:rsidR="00000000" w:rsidRPr="00000000">
        <w:rPr>
          <w:rtl w:val="0"/>
        </w:rPr>
      </w:r>
    </w:p>
    <w:p w:rsidR="00000000" w:rsidDel="00000000" w:rsidP="00000000" w:rsidRDefault="00000000" w:rsidRPr="00000000" w14:paraId="00000134">
      <w:pPr>
        <w:spacing w:after="110" w:before="0" w:line="269" w:lineRule="auto"/>
        <w:ind w:firstLine="238"/>
        <w:jc w:val="both"/>
        <w:rPr/>
      </w:pPr>
      <w:r w:rsidDel="00000000" w:rsidR="00000000" w:rsidRPr="00000000">
        <w:rPr>
          <w:rFonts w:ascii="Times New Roman" w:cs="Times New Roman" w:eastAsia="Times New Roman" w:hAnsi="Times New Roman"/>
          <w:b w:val="1"/>
          <w:bCs w:val="1"/>
          <w:i w:val="0"/>
          <w:iCs w:val="0"/>
          <w:color w:val="181818"/>
          <w:sz w:val="20"/>
          <w:szCs w:val="20"/>
          <w:rtl w:val="0"/>
        </w:rPr>
        <w:t xml:space="preserve">Uneven news coverage.</w:t>
      </w:r>
      <w:r w:rsidDel="00000000" w:rsidR="00000000" w:rsidRPr="00000000">
        <w:rPr>
          <w:rFonts w:ascii="Times New Roman" w:cs="Times New Roman" w:eastAsia="Times New Roman" w:hAnsi="Times New Roman"/>
          <w:b w:val="0"/>
          <w:bCs w:val="0"/>
          <w:i w:val="0"/>
          <w:iCs w:val="0"/>
          <w:color w:val="181818"/>
          <w:sz w:val="20"/>
          <w:szCs w:val="20"/>
          <w:rtl w:val="0"/>
        </w:rPr>
        <w:t xml:space="preserve"> Materials and Real Estate contain fewer headlines and more exact-zero raw scores than Technology or Consumer (Figure A11). A movement in either sparse sector consequently rests on less information than a similar movement in a densely covered sector.</w:t>
      </w:r>
      <w:r w:rsidDel="00000000" w:rsidR="00000000" w:rsidRPr="00000000">
        <w:rPr>
          <w:rtl w:val="0"/>
        </w:rPr>
      </w:r>
    </w:p>
    <w:p w:rsidR="00000000" w:rsidDel="00000000" w:rsidP="00000000" w:rsidRDefault="00000000" w:rsidRPr="00000000" w14:paraId="00000135">
      <w:pPr>
        <w:spacing w:after="110" w:before="0" w:line="269" w:lineRule="auto"/>
        <w:ind w:firstLine="238"/>
        <w:jc w:val="both"/>
        <w:rPr/>
      </w:pPr>
      <w:r w:rsidDel="00000000" w:rsidR="00000000" w:rsidRPr="00000000">
        <w:rPr>
          <w:rFonts w:ascii="Times New Roman" w:cs="Times New Roman" w:eastAsia="Times New Roman" w:hAnsi="Times New Roman"/>
          <w:b w:val="1"/>
          <w:bCs w:val="1"/>
          <w:i w:val="0"/>
          <w:iCs w:val="0"/>
          <w:color w:val="181818"/>
          <w:sz w:val="20"/>
          <w:szCs w:val="20"/>
          <w:rtl w:val="0"/>
        </w:rPr>
        <w:t xml:space="preserve">Distributional, sentiment evidence.</w:t>
      </w:r>
      <w:r w:rsidDel="00000000" w:rsidR="00000000" w:rsidRPr="00000000">
        <w:rPr>
          <w:rFonts w:ascii="Times New Roman" w:cs="Times New Roman" w:eastAsia="Times New Roman" w:hAnsi="Times New Roman"/>
          <w:b w:val="0"/>
          <w:bCs w:val="0"/>
          <w:i w:val="0"/>
          <w:iCs w:val="0"/>
          <w:color w:val="181818"/>
          <w:sz w:val="20"/>
          <w:szCs w:val="20"/>
          <w:rtl w:val="0"/>
        </w:rPr>
        <w:t xml:space="preserve"> Polarity shares and the Week 9 ablation identify how the scores change, but they do not measure classification accuracy. </w:t>
      </w:r>
      <w:r w:rsidDel="00000000" w:rsidR="00000000" w:rsidRPr="00000000">
        <w:rPr>
          <w:rtl w:val="0"/>
        </w:rPr>
      </w:r>
    </w:p>
    <w:p w:rsidR="00000000" w:rsidDel="00000000" w:rsidP="00000000" w:rsidRDefault="00000000" w:rsidRPr="00000000" w14:paraId="00000136">
      <w:pPr>
        <w:spacing w:after="110" w:before="0" w:line="269" w:lineRule="auto"/>
        <w:ind w:firstLine="238"/>
        <w:jc w:val="both"/>
        <w:rPr/>
      </w:pPr>
      <w:r w:rsidDel="00000000" w:rsidR="00000000" w:rsidRPr="00000000">
        <w:rPr>
          <w:rFonts w:ascii="Times New Roman" w:cs="Times New Roman" w:eastAsia="Times New Roman" w:hAnsi="Times New Roman"/>
          <w:b w:val="1"/>
          <w:bCs w:val="1"/>
          <w:i w:val="0"/>
          <w:iCs w:val="0"/>
          <w:color w:val="181818"/>
          <w:sz w:val="20"/>
          <w:szCs w:val="20"/>
          <w:rtl w:val="0"/>
        </w:rPr>
        <w:t xml:space="preserve">End-point holdings are not path explanations.</w:t>
      </w:r>
      <w:r w:rsidDel="00000000" w:rsidR="00000000" w:rsidRPr="00000000">
        <w:rPr>
          <w:rFonts w:ascii="Times New Roman" w:cs="Times New Roman" w:eastAsia="Times New Roman" w:hAnsi="Times New Roman"/>
          <w:b w:val="0"/>
          <w:bCs w:val="0"/>
          <w:i w:val="0"/>
          <w:iCs w:val="0"/>
          <w:color w:val="181818"/>
          <w:sz w:val="20"/>
          <w:szCs w:val="20"/>
          <w:rtl w:val="0"/>
        </w:rPr>
        <w:t xml:space="preserve"> Tables 2 and 3 describe the final December 2023 decision. They are useful evidence of end-point concentration, but they cannot explain returns earned earlier in the 2021-2023 path.</w:t>
      </w:r>
      <w:r w:rsidDel="00000000" w:rsidR="00000000" w:rsidRPr="00000000">
        <w:rPr>
          <w:rtl w:val="0"/>
        </w:rPr>
      </w:r>
    </w:p>
    <w:p w:rsidR="00000000" w:rsidDel="00000000" w:rsidP="00000000" w:rsidRDefault="00000000" w:rsidRPr="00000000" w14:paraId="00000137">
      <w:pPr>
        <w:pStyle w:val="Heading2"/>
        <w:keepNext w:val="1"/>
        <w:spacing w:after="120" w:before="240" w:line="269" w:lineRule="auto"/>
        <w:jc w:val="left"/>
        <w:rPr/>
      </w:pPr>
      <w:r w:rsidDel="00000000" w:rsidR="00000000" w:rsidRPr="00000000">
        <w:rPr>
          <w:rFonts w:ascii="Times New Roman" w:cs="Times New Roman" w:eastAsia="Times New Roman" w:hAnsi="Times New Roman"/>
          <w:b w:val="1"/>
          <w:bCs w:val="1"/>
          <w:i w:val="0"/>
          <w:iCs w:val="0"/>
          <w:color w:val="181818"/>
          <w:sz w:val="22"/>
          <w:szCs w:val="22"/>
          <w:rtl w:val="0"/>
        </w:rPr>
        <w:t xml:space="preserve">Product-level reflection</w:t>
      </w:r>
      <w:r w:rsidDel="00000000" w:rsidR="00000000" w:rsidRPr="00000000">
        <w:rPr>
          <w:rtl w:val="0"/>
        </w:rPr>
      </w:r>
    </w:p>
    <w:p w:rsidR="00000000" w:rsidDel="00000000" w:rsidP="00000000" w:rsidRDefault="00000000" w:rsidRPr="00000000" w14:paraId="00000138">
      <w:pPr>
        <w:keepLines w:val="1"/>
        <w:spacing w:after="110" w:before="0" w:line="269" w:lineRule="auto"/>
        <w:ind w:firstLine="238"/>
        <w:jc w:val="both"/>
        <w:rPr/>
      </w:pPr>
      <w:r w:rsidDel="00000000" w:rsidR="00000000" w:rsidRPr="00000000">
        <w:rPr>
          <w:rFonts w:ascii="Times New Roman" w:cs="Times New Roman" w:eastAsia="Times New Roman" w:hAnsi="Times New Roman"/>
          <w:b w:val="0"/>
          <w:bCs w:val="0"/>
          <w:i w:val="0"/>
          <w:iCs w:val="0"/>
          <w:color w:val="181818"/>
          <w:sz w:val="20"/>
          <w:szCs w:val="20"/>
          <w:rtl w:val="0"/>
        </w:rPr>
        <w:t xml:space="preserve">Using the actual Week 9 analyser, rather than attaching a small dictionary to plain VADER, keeps the extension connected to the course baseline. It also clarifies provenance: course lexicons remain separate from the project additions, and the application openly reads precomputed files. The interface therefore reflects what the system actually does instead of appearing to run a live model.</w:t>
      </w:r>
      <w:r w:rsidDel="00000000" w:rsidR="00000000" w:rsidRPr="00000000">
        <w:rPr>
          <w:rtl w:val="0"/>
        </w:rPr>
      </w:r>
    </w:p>
    <w:p w:rsidR="00000000" w:rsidDel="00000000" w:rsidP="00000000" w:rsidRDefault="00000000" w:rsidRPr="00000000" w14:paraId="00000139">
      <w:pPr>
        <w:spacing w:after="110" w:before="0" w:line="269" w:lineRule="auto"/>
        <w:ind w:firstLine="238"/>
        <w:jc w:val="both"/>
        <w:rPr/>
      </w:pPr>
      <w:r w:rsidDel="00000000" w:rsidR="00000000" w:rsidRPr="00000000">
        <w:rPr>
          <w:rFonts w:ascii="Times New Roman" w:cs="Times New Roman" w:eastAsia="Times New Roman" w:hAnsi="Times New Roman"/>
          <w:color w:val="181818"/>
          <w:sz w:val="20"/>
          <w:szCs w:val="20"/>
          <w:rtl w:val="0"/>
        </w:rPr>
        <w:t xml:space="preserve">The laballed evidence has also been a small worksheet, which means it is not a precision study with only 120 labels. This means the agreement figures are polarity-match rates on a considerable small sample and therefore support no precisions or recall claims.</w:t>
      </w:r>
      <w:r w:rsidDel="00000000" w:rsidR="00000000" w:rsidRPr="00000000">
        <w:rPr>
          <w:rFonts w:ascii="Times New Roman" w:cs="Times New Roman" w:eastAsia="Times New Roman" w:hAnsi="Times New Roman"/>
          <w:b w:val="0"/>
          <w:bCs w:val="0"/>
          <w:i w:val="0"/>
          <w:iCs w:val="0"/>
          <w:color w:val="181818"/>
          <w:sz w:val="20"/>
          <w:szCs w:val="20"/>
          <w:rtl w:val="0"/>
        </w:rPr>
        <w:t xml:space="preserve"> Operationally, </w:t>
      </w:r>
      <w:r w:rsidDel="00000000" w:rsidR="00000000" w:rsidRPr="00000000">
        <w:rPr>
          <w:rFonts w:ascii="Times New Roman" w:cs="Times New Roman" w:eastAsia="Times New Roman" w:hAnsi="Times New Roman"/>
          <w:color w:val="181818"/>
          <w:sz w:val="20"/>
          <w:szCs w:val="20"/>
          <w:rtl w:val="0"/>
        </w:rPr>
        <w:t xml:space="preserve">I would test whether the lagged sector index actually lines up with the subsequent sector returns, not just stopping at the new climate description in A5.</w:t>
      </w:r>
      <w:r w:rsidDel="00000000" w:rsidR="00000000" w:rsidRPr="00000000">
        <w:rPr>
          <w:rFonts w:ascii="Times New Roman" w:cs="Times New Roman" w:eastAsia="Times New Roman" w:hAnsi="Times New Roman"/>
          <w:b w:val="0"/>
          <w:bCs w:val="0"/>
          <w:i w:val="0"/>
          <w:iCs w:val="0"/>
          <w:color w:val="181818"/>
          <w:sz w:val="20"/>
          <w:szCs w:val="20"/>
          <w:rtl w:val="0"/>
        </w:rPr>
        <w:t xml:space="preserve"> These steps do not alter the present finding: the tested sentiment overlay is economically flat to negative in this sample.</w:t>
      </w:r>
      <w:r w:rsidDel="00000000" w:rsidR="00000000" w:rsidRPr="00000000">
        <w:rPr>
          <w:rtl w:val="0"/>
        </w:rPr>
      </w:r>
    </w:p>
    <w:p w:rsidR="00000000" w:rsidDel="00000000" w:rsidP="00000000" w:rsidRDefault="00000000" w:rsidRPr="00000000" w14:paraId="0000013A">
      <w:pPr>
        <w:pStyle w:val="Heading2"/>
        <w:keepNext w:val="1"/>
        <w:spacing w:after="120" w:before="240" w:line="269" w:lineRule="auto"/>
        <w:jc w:val="left"/>
        <w:rPr/>
      </w:pPr>
      <w:r w:rsidDel="00000000" w:rsidR="00000000" w:rsidRPr="00000000">
        <w:rPr>
          <w:rFonts w:ascii="Times New Roman" w:cs="Times New Roman" w:eastAsia="Times New Roman" w:hAnsi="Times New Roman"/>
          <w:b w:val="1"/>
          <w:bCs w:val="1"/>
          <w:i w:val="0"/>
          <w:iCs w:val="0"/>
          <w:color w:val="181818"/>
          <w:sz w:val="22"/>
          <w:szCs w:val="22"/>
          <w:rtl w:val="0"/>
        </w:rPr>
        <w:t xml:space="preserve">What out-of-sample means here</w:t>
      </w:r>
      <w:r w:rsidDel="00000000" w:rsidR="00000000" w:rsidRPr="00000000">
        <w:rPr>
          <w:rtl w:val="0"/>
        </w:rPr>
      </w:r>
    </w:p>
    <w:p w:rsidR="00000000" w:rsidDel="00000000" w:rsidP="00000000" w:rsidRDefault="00000000" w:rsidRPr="00000000" w14:paraId="0000013B">
      <w:pPr>
        <w:keepLines w:val="1"/>
        <w:spacing w:after="110" w:before="0" w:line="269" w:lineRule="auto"/>
        <w:ind w:firstLine="238"/>
        <w:jc w:val="both"/>
        <w:rPr/>
      </w:pPr>
      <w:r w:rsidDel="00000000" w:rsidR="00000000" w:rsidRPr="00000000">
        <w:rPr>
          <w:rFonts w:ascii="Times New Roman" w:cs="Times New Roman" w:eastAsia="Times New Roman" w:hAnsi="Times New Roman"/>
          <w:b w:val="0"/>
          <w:bCs w:val="0"/>
          <w:i w:val="0"/>
          <w:iCs w:val="0"/>
          <w:color w:val="181818"/>
          <w:sz w:val="20"/>
          <w:szCs w:val="20"/>
          <w:rtl w:val="0"/>
        </w:rPr>
        <w:t xml:space="preserve">Walk-forward weights use past returns, and tradable sentiment is delayed by one equity session. Those rules protect the timing of individual portfolio returns, but they do not turn the whole research process into a sealed experiment. Lexicon retention, tilt strength and the base portfolio were considered with knowledge of the study period. The negative fusion result therefore applies to this overlay design; it cannot establish that every news rule would fail on an untouched sample. The development-holdout split will support later headline labelling, but it is not yet a pristine test set.</w:t>
      </w:r>
      <w:r w:rsidDel="00000000" w:rsidR="00000000" w:rsidRPr="00000000">
        <w:rPr>
          <w:rtl w:val="0"/>
        </w:rPr>
      </w:r>
    </w:p>
    <w:p w:rsidR="00000000" w:rsidDel="00000000" w:rsidP="00000000" w:rsidRDefault="00000000" w:rsidRPr="00000000" w14:paraId="0000013C">
      <w:pPr>
        <w:spacing w:after="110" w:before="0" w:line="269" w:lineRule="auto"/>
        <w:ind w:firstLine="238"/>
        <w:jc w:val="both"/>
        <w:rPr>
          <w:rFonts w:ascii="Times New Roman" w:cs="Times New Roman" w:eastAsia="Times New Roman" w:hAnsi="Times New Roman"/>
          <w:color w:val="181818"/>
          <w:sz w:val="20"/>
          <w:szCs w:val="20"/>
        </w:rPr>
      </w:pPr>
      <w:r w:rsidDel="00000000" w:rsidR="00000000" w:rsidRPr="00000000">
        <w:rPr>
          <w:rFonts w:ascii="Times New Roman" w:cs="Times New Roman" w:eastAsia="Times New Roman" w:hAnsi="Times New Roman"/>
          <w:b w:val="0"/>
          <w:bCs w:val="0"/>
          <w:i w:val="0"/>
          <w:iCs w:val="0"/>
          <w:color w:val="181818"/>
          <w:sz w:val="20"/>
          <w:szCs w:val="20"/>
          <w:rtl w:val="0"/>
        </w:rPr>
        <w:t xml:space="preserve">Signal Harbour joins the systematic fund menu to the news features developed in Part A. For a small advisory desk, the mixed-asset evidence favours Combined Risk Parity; sentiment is useful for context and monitoring, not as a source of alpha. Calendar, cost and coverage limitations remain visible because each can change the decision. The final </w:t>
      </w:r>
      <w:r w:rsidDel="00000000" w:rsidR="00000000" w:rsidRPr="00000000">
        <w:rPr>
          <w:rFonts w:ascii="Times New Roman" w:cs="Times New Roman" w:eastAsia="Times New Roman" w:hAnsi="Times New Roman"/>
          <w:color w:val="181818"/>
          <w:sz w:val="20"/>
          <w:szCs w:val="20"/>
          <w:rtl w:val="0"/>
        </w:rPr>
        <w:t xml:space="preserve">document version is also deployed, and reproduces the submitted output.</w:t>
      </w:r>
    </w:p>
    <w:p w:rsidR="00000000" w:rsidDel="00000000" w:rsidP="00000000" w:rsidRDefault="00000000" w:rsidRPr="00000000" w14:paraId="0000013D">
      <w:pPr>
        <w:spacing w:after="110" w:before="0" w:line="269" w:lineRule="auto"/>
        <w:ind w:firstLine="238"/>
        <w:jc w:val="both"/>
        <w:rPr>
          <w:rFonts w:ascii="Times New Roman" w:cs="Times New Roman" w:eastAsia="Times New Roman" w:hAnsi="Times New Roman"/>
          <w:color w:val="181818"/>
          <w:sz w:val="20"/>
          <w:szCs w:val="20"/>
        </w:rPr>
      </w:pPr>
      <w:r w:rsidDel="00000000" w:rsidR="00000000" w:rsidRPr="00000000">
        <w:rPr>
          <w:rtl w:val="0"/>
        </w:rPr>
      </w:r>
    </w:p>
    <w:p w:rsidR="00000000" w:rsidDel="00000000" w:rsidP="00000000" w:rsidRDefault="00000000" w:rsidRPr="00000000" w14:paraId="0000013E">
      <w:pPr>
        <w:spacing w:after="110" w:before="0" w:line="269" w:lineRule="auto"/>
        <w:ind w:left="0" w:firstLine="0"/>
        <w:jc w:val="both"/>
        <w:rPr/>
      </w:pPr>
      <w:r w:rsidDel="00000000" w:rsidR="00000000" w:rsidRPr="00000000">
        <w:rPr>
          <w:rFonts w:ascii="Times New Roman" w:cs="Times New Roman" w:eastAsia="Times New Roman" w:hAnsi="Times New Roman"/>
          <w:b w:val="1"/>
          <w:bCs w:val="1"/>
          <w:i w:val="0"/>
          <w:iCs w:val="0"/>
          <w:color w:val="181818"/>
          <w:sz w:val="27"/>
          <w:szCs w:val="27"/>
          <w:rtl w:val="0"/>
        </w:rPr>
        <w:t xml:space="preserve">Appendix A. Exhibits</w:t>
      </w:r>
      <w:r w:rsidDel="00000000" w:rsidR="00000000" w:rsidRPr="00000000">
        <w:rPr>
          <w:rtl w:val="0"/>
        </w:rPr>
      </w:r>
    </w:p>
    <w:p w:rsidR="00000000" w:rsidDel="00000000" w:rsidP="00000000" w:rsidRDefault="00000000" w:rsidRPr="00000000" w14:paraId="0000013F">
      <w:pPr>
        <w:spacing w:after="110" w:before="0" w:line="269" w:lineRule="auto"/>
        <w:jc w:val="both"/>
        <w:rPr/>
      </w:pPr>
      <w:r w:rsidDel="00000000" w:rsidR="00000000" w:rsidRPr="00000000">
        <w:rPr>
          <w:rFonts w:ascii="Times New Roman" w:cs="Times New Roman" w:eastAsia="Times New Roman" w:hAnsi="Times New Roman"/>
          <w:b w:val="0"/>
          <w:bCs w:val="0"/>
          <w:i w:val="0"/>
          <w:iCs w:val="0"/>
          <w:color w:val="181818"/>
          <w:sz w:val="20"/>
          <w:szCs w:val="20"/>
          <w:rtl w:val="0"/>
        </w:rPr>
        <w:t xml:space="preserve">Each exhibit is discussed in Sections 2 to 4. Captions restate the sample, source, and the claim the figure is meant to support.</w:t>
      </w:r>
      <w:r w:rsidDel="00000000" w:rsidR="00000000" w:rsidRPr="00000000">
        <w:rPr>
          <w:rtl w:val="0"/>
        </w:rPr>
      </w:r>
    </w:p>
    <w:p w:rsidR="00000000" w:rsidDel="00000000" w:rsidP="00000000" w:rsidRDefault="00000000" w:rsidRPr="00000000" w14:paraId="00000140">
      <w:pPr>
        <w:keepNext w:val="1"/>
        <w:spacing w:after="80" w:before="160" w:lineRule="auto"/>
        <w:jc w:val="center"/>
        <w:rPr/>
      </w:pPr>
      <w:r w:rsidDel="00000000" w:rsidR="00000000" w:rsidRPr="00000000">
        <w:rPr/>
        <w:drawing>
          <wp:inline distB="0" distT="0" distL="114300" distR="114300">
            <wp:extent cx="5989320" cy="4046838"/>
            <wp:effectExtent b="0" l="0" r="0" t="0"/>
            <wp:docPr descr="Figure A1. Growth of $1 across funds, out-of-sample through December 2023. Combined Risk Parity is steadier than Combined Maximum Sharpe; Crypto Minimum Variance leads terminal wealth among the crypto sleeves. Source: fund_returns.csv." id="12" name="image8.png"/>
            <a:graphic>
              <a:graphicData uri="http://schemas.openxmlformats.org/drawingml/2006/picture">
                <pic:pic>
                  <pic:nvPicPr>
                    <pic:cNvPr descr="Figure A1. Growth of $1 across funds, out-of-sample through December 2023. Combined Risk Parity is steadier than Combined Maximum Sharpe; Crypto Minimum Variance leads terminal wealth among the crypto sleeves. Source: fund_returns.csv." id="0" name="image8.png"/>
                    <pic:cNvPicPr preferRelativeResize="0"/>
                  </pic:nvPicPr>
                  <pic:blipFill>
                    <a:blip r:embed="rId7"/>
                    <a:srcRect b="0" l="0" r="0" t="0"/>
                    <a:stretch>
                      <a:fillRect/>
                    </a:stretch>
                  </pic:blipFill>
                  <pic:spPr>
                    <a:xfrm>
                      <a:off x="0" y="0"/>
                      <a:ext cx="5989320" cy="4046838"/>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200" w:before="80" w:line="269" w:lineRule="auto"/>
        <w:jc w:val="left"/>
        <w:rPr/>
      </w:pPr>
      <w:r w:rsidDel="00000000" w:rsidR="00000000" w:rsidRPr="00000000">
        <w:rPr>
          <w:rFonts w:ascii="Times New Roman" w:cs="Times New Roman" w:eastAsia="Times New Roman" w:hAnsi="Times New Roman"/>
          <w:b w:val="0"/>
          <w:bCs w:val="0"/>
          <w:i w:val="1"/>
          <w:iCs w:val="1"/>
          <w:color w:val="181818"/>
          <w:sz w:val="18"/>
          <w:szCs w:val="18"/>
          <w:rtl w:val="0"/>
        </w:rPr>
        <w:t xml:space="preserve">Figure A1. Growth of $1 across funds, out-of-sample through December 2023. Combined Risk Parity is steadier than Combined Maximum Sharpe; Crypto Minimum Variance leads terminal wealth among the crypto sleeves. Source: fund_returns.csv.</w:t>
      </w:r>
      <w:r w:rsidDel="00000000" w:rsidR="00000000" w:rsidRPr="00000000">
        <w:rPr>
          <w:rtl w:val="0"/>
        </w:rPr>
      </w:r>
    </w:p>
    <w:p w:rsidR="00000000" w:rsidDel="00000000" w:rsidP="00000000" w:rsidRDefault="00000000" w:rsidRPr="00000000" w14:paraId="00000142">
      <w:pPr>
        <w:rPr/>
      </w:pPr>
      <w:r w:rsidDel="00000000" w:rsidR="00000000" w:rsidRPr="00000000">
        <w:br w:type="page"/>
      </w:r>
      <w:r w:rsidDel="00000000" w:rsidR="00000000" w:rsidRPr="00000000">
        <w:rPr>
          <w:rtl w:val="0"/>
        </w:rPr>
      </w:r>
    </w:p>
    <w:p w:rsidR="00000000" w:rsidDel="00000000" w:rsidP="00000000" w:rsidRDefault="00000000" w:rsidRPr="00000000" w14:paraId="00000143">
      <w:pPr>
        <w:keepNext w:val="1"/>
        <w:spacing w:after="80" w:before="160" w:lineRule="auto"/>
        <w:jc w:val="center"/>
        <w:rPr/>
      </w:pPr>
      <w:r w:rsidDel="00000000" w:rsidR="00000000" w:rsidRPr="00000000">
        <w:rPr/>
        <w:drawing>
          <wp:inline distB="0" distT="0" distL="114300" distR="114300">
            <wp:extent cx="5989320" cy="4262434"/>
            <wp:effectExtent b="0" l="0" r="0" t="0"/>
            <wp:docPr descr="Figure A2. Combined-fund drawdowns. Risk Parity has the shallower path, supporting Recommendation 1; Maximum Sharpe reaches the deeper trough expected of the higher-growth satellite. Wealth paths prepend 1.0 so that the first loss is visible." id="14" name="image11.png"/>
            <a:graphic>
              <a:graphicData uri="http://schemas.openxmlformats.org/drawingml/2006/picture">
                <pic:pic>
                  <pic:nvPicPr>
                    <pic:cNvPr descr="Figure A2. Combined-fund drawdowns. Risk Parity has the shallower path, supporting Recommendation 1; Maximum Sharpe reaches the deeper trough expected of the higher-growth satellite. Wealth paths prepend 1.0 so that the first loss is visible." id="0" name="image11.png"/>
                    <pic:cNvPicPr preferRelativeResize="0"/>
                  </pic:nvPicPr>
                  <pic:blipFill>
                    <a:blip r:embed="rId8"/>
                    <a:srcRect b="0" l="0" r="0" t="0"/>
                    <a:stretch>
                      <a:fillRect/>
                    </a:stretch>
                  </pic:blipFill>
                  <pic:spPr>
                    <a:xfrm>
                      <a:off x="0" y="0"/>
                      <a:ext cx="5989320" cy="4262434"/>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200" w:before="80" w:line="269" w:lineRule="auto"/>
        <w:jc w:val="left"/>
        <w:rPr/>
      </w:pPr>
      <w:r w:rsidDel="00000000" w:rsidR="00000000" w:rsidRPr="00000000">
        <w:rPr>
          <w:rFonts w:ascii="Times New Roman" w:cs="Times New Roman" w:eastAsia="Times New Roman" w:hAnsi="Times New Roman"/>
          <w:b w:val="0"/>
          <w:bCs w:val="0"/>
          <w:i w:val="1"/>
          <w:iCs w:val="1"/>
          <w:color w:val="181818"/>
          <w:sz w:val="18"/>
          <w:szCs w:val="18"/>
          <w:rtl w:val="0"/>
        </w:rPr>
        <w:t xml:space="preserve">Figure A2. Combined-fund drawdowns. Risk Parity has the shallower path, supporting Recommendation 1; Maximum Sharpe reaches the deeper trough expected of the higher-growth satellite. Wealth paths prepend 1.0 so that the first loss is visible.</w:t>
      </w:r>
      <w:r w:rsidDel="00000000" w:rsidR="00000000" w:rsidRPr="00000000">
        <w:rPr>
          <w:rtl w:val="0"/>
        </w:rPr>
      </w:r>
    </w:p>
    <w:p w:rsidR="00000000" w:rsidDel="00000000" w:rsidP="00000000" w:rsidRDefault="00000000" w:rsidRPr="00000000" w14:paraId="00000145">
      <w:pPr>
        <w:rPr/>
      </w:pPr>
      <w:r w:rsidDel="00000000" w:rsidR="00000000" w:rsidRPr="00000000">
        <w:br w:type="page"/>
      </w:r>
      <w:r w:rsidDel="00000000" w:rsidR="00000000" w:rsidRPr="00000000">
        <w:rPr>
          <w:rtl w:val="0"/>
        </w:rPr>
      </w:r>
    </w:p>
    <w:p w:rsidR="00000000" w:rsidDel="00000000" w:rsidP="00000000" w:rsidRDefault="00000000" w:rsidRPr="00000000" w14:paraId="00000146">
      <w:pPr>
        <w:keepNext w:val="1"/>
        <w:spacing w:after="80" w:before="160" w:lineRule="auto"/>
        <w:jc w:val="center"/>
        <w:rPr/>
      </w:pPr>
      <w:r w:rsidDel="00000000" w:rsidR="00000000" w:rsidRPr="00000000">
        <w:rPr/>
        <w:drawing>
          <wp:inline distB="0" distT="0" distL="114300" distR="114300">
            <wp:extent cx="5989320" cy="4825013"/>
            <wp:effectExtent b="0" l="0" r="0" t="0"/>
            <wp:docPr descr="Figure A3. Combined Minimum Variance and Risk Parity decision weights, with an Other residual so the stacked areas sum to one. Maximum Sharpe concentration is summarised in Table 3 rather than in this panel." id="13" name="image3.png"/>
            <a:graphic>
              <a:graphicData uri="http://schemas.openxmlformats.org/drawingml/2006/picture">
                <pic:pic>
                  <pic:nvPicPr>
                    <pic:cNvPr descr="Figure A3. Combined Minimum Variance and Risk Parity decision weights, with an Other residual so the stacked areas sum to one. Maximum Sharpe concentration is summarised in Table 3 rather than in this panel." id="0" name="image3.png"/>
                    <pic:cNvPicPr preferRelativeResize="0"/>
                  </pic:nvPicPr>
                  <pic:blipFill>
                    <a:blip r:embed="rId9"/>
                    <a:srcRect b="0" l="0" r="0" t="0"/>
                    <a:stretch>
                      <a:fillRect/>
                    </a:stretch>
                  </pic:blipFill>
                  <pic:spPr>
                    <a:xfrm>
                      <a:off x="0" y="0"/>
                      <a:ext cx="5989320" cy="4825013"/>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200" w:before="80" w:line="269" w:lineRule="auto"/>
        <w:jc w:val="left"/>
        <w:rPr/>
      </w:pPr>
      <w:r w:rsidDel="00000000" w:rsidR="00000000" w:rsidRPr="00000000">
        <w:rPr>
          <w:rFonts w:ascii="Times New Roman" w:cs="Times New Roman" w:eastAsia="Times New Roman" w:hAnsi="Times New Roman"/>
          <w:b w:val="0"/>
          <w:bCs w:val="0"/>
          <w:i w:val="1"/>
          <w:iCs w:val="1"/>
          <w:color w:val="181818"/>
          <w:sz w:val="18"/>
          <w:szCs w:val="18"/>
          <w:rtl w:val="0"/>
        </w:rPr>
        <w:t xml:space="preserve">Figure A3. Combined Minimum Variance and Risk Parity decision weights, with an Other residual so the stacked areas sum to one. Maximum Sharpe concentration is summarised in Table 3 rather than in this panel.</w:t>
      </w:r>
      <w:r w:rsidDel="00000000" w:rsidR="00000000" w:rsidRPr="00000000">
        <w:rPr>
          <w:rtl w:val="0"/>
        </w:rPr>
      </w:r>
    </w:p>
    <w:p w:rsidR="00000000" w:rsidDel="00000000" w:rsidP="00000000" w:rsidRDefault="00000000" w:rsidRPr="00000000" w14:paraId="00000148">
      <w:pPr>
        <w:rPr/>
      </w:pPr>
      <w:r w:rsidDel="00000000" w:rsidR="00000000" w:rsidRPr="00000000">
        <w:br w:type="page"/>
      </w:r>
      <w:r w:rsidDel="00000000" w:rsidR="00000000" w:rsidRPr="00000000">
        <w:rPr>
          <w:rtl w:val="0"/>
        </w:rPr>
      </w:r>
    </w:p>
    <w:p w:rsidR="00000000" w:rsidDel="00000000" w:rsidP="00000000" w:rsidRDefault="00000000" w:rsidRPr="00000000" w14:paraId="00000149">
      <w:pPr>
        <w:keepNext w:val="1"/>
        <w:spacing w:after="80" w:before="160" w:lineRule="auto"/>
        <w:jc w:val="center"/>
        <w:rPr/>
      </w:pPr>
      <w:r w:rsidDel="00000000" w:rsidR="00000000" w:rsidRPr="00000000">
        <w:rPr/>
        <w:drawing>
          <wp:inline distB="0" distT="0" distL="114300" distR="114300">
            <wp:extent cx="5989320" cy="4100748"/>
            <wp:effectExtent b="0" l="0" r="0" t="0"/>
            <wp:docPr descr="Figure A4. Zero-risk-free-rate Sharpe rankings. Combined Risk Parity leads the mixed sleeves; Equity Equal Weight leads equities; Crypto Minimum Variance leads crypto. Annualisation is 252 or 365 days by sleeve." id="16" name="image4.png"/>
            <a:graphic>
              <a:graphicData uri="http://schemas.openxmlformats.org/drawingml/2006/picture">
                <pic:pic>
                  <pic:nvPicPr>
                    <pic:cNvPr descr="Figure A4. Zero-risk-free-rate Sharpe rankings. Combined Risk Parity leads the mixed sleeves; Equity Equal Weight leads equities; Crypto Minimum Variance leads crypto. Annualisation is 252 or 365 days by sleeve." id="0" name="image4.png"/>
                    <pic:cNvPicPr preferRelativeResize="0"/>
                  </pic:nvPicPr>
                  <pic:blipFill>
                    <a:blip r:embed="rId10"/>
                    <a:srcRect b="0" l="0" r="0" t="0"/>
                    <a:stretch>
                      <a:fillRect/>
                    </a:stretch>
                  </pic:blipFill>
                  <pic:spPr>
                    <a:xfrm>
                      <a:off x="0" y="0"/>
                      <a:ext cx="5989320" cy="4100748"/>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200" w:before="80" w:line="269" w:lineRule="auto"/>
        <w:jc w:val="left"/>
        <w:rPr/>
      </w:pPr>
      <w:r w:rsidDel="00000000" w:rsidR="00000000" w:rsidRPr="00000000">
        <w:rPr>
          <w:rFonts w:ascii="Times New Roman" w:cs="Times New Roman" w:eastAsia="Times New Roman" w:hAnsi="Times New Roman"/>
          <w:b w:val="0"/>
          <w:bCs w:val="0"/>
          <w:i w:val="1"/>
          <w:iCs w:val="1"/>
          <w:color w:val="181818"/>
          <w:sz w:val="18"/>
          <w:szCs w:val="18"/>
          <w:rtl w:val="0"/>
        </w:rPr>
        <w:t xml:space="preserve">Figure A4. Zero-risk-free-rate Sharpe rankings. Combined Risk Parity leads the mixed sleeves; Equity Equal Weight leads equities; Crypto Minimum Variance leads crypto. Annualisation is 252 or 365 days by sleeve.</w:t>
      </w:r>
      <w:r w:rsidDel="00000000" w:rsidR="00000000" w:rsidRPr="00000000">
        <w:rPr>
          <w:rtl w:val="0"/>
        </w:rPr>
      </w:r>
    </w:p>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keepNext w:val="1"/>
        <w:spacing w:after="80" w:before="160" w:lineRule="auto"/>
        <w:jc w:val="center"/>
        <w:rPr/>
      </w:pPr>
      <w:r w:rsidDel="00000000" w:rsidR="00000000" w:rsidRPr="00000000">
        <w:rPr/>
        <w:drawing>
          <wp:inline distB="0" distT="0" distL="114300" distR="114300">
            <wp:extent cx="5989320" cy="4262434"/>
            <wp:effectExtent b="0" l="0" r="0" t="0"/>
            <wp:docPr descr="Figure A5. Context-weighted sector sentiment, shown as a 21-session average. The series uses the complete ticker-day grid, sets no-news observations to neutral, and is lagged before any trading use." id="15" name="image7.png"/>
            <a:graphic>
              <a:graphicData uri="http://schemas.openxmlformats.org/drawingml/2006/picture">
                <pic:pic>
                  <pic:nvPicPr>
                    <pic:cNvPr descr="Figure A5. Context-weighted sector sentiment, shown as a 21-session average. The series uses the complete ticker-day grid, sets no-news observations to neutral, and is lagged before any trading use." id="0" name="image7.png"/>
                    <pic:cNvPicPr preferRelativeResize="0"/>
                  </pic:nvPicPr>
                  <pic:blipFill>
                    <a:blip r:embed="rId11"/>
                    <a:srcRect b="0" l="0" r="0" t="0"/>
                    <a:stretch>
                      <a:fillRect/>
                    </a:stretch>
                  </pic:blipFill>
                  <pic:spPr>
                    <a:xfrm>
                      <a:off x="0" y="0"/>
                      <a:ext cx="5989320" cy="4262434"/>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200" w:before="80" w:line="269" w:lineRule="auto"/>
        <w:jc w:val="left"/>
        <w:rPr/>
      </w:pPr>
      <w:r w:rsidDel="00000000" w:rsidR="00000000" w:rsidRPr="00000000">
        <w:rPr>
          <w:rFonts w:ascii="Times New Roman" w:cs="Times New Roman" w:eastAsia="Times New Roman" w:hAnsi="Times New Roman"/>
          <w:b w:val="0"/>
          <w:bCs w:val="0"/>
          <w:i w:val="1"/>
          <w:iCs w:val="1"/>
          <w:color w:val="181818"/>
          <w:sz w:val="18"/>
          <w:szCs w:val="18"/>
          <w:rtl w:val="0"/>
        </w:rPr>
        <w:t xml:space="preserve">Figure A5. Context-weighted sector sentiment, shown as a 21-session average. The series uses the complete ticker-day grid, sets no-news observations to neutral, and is lagged before any trading use.</w:t>
      </w:r>
      <w:r w:rsidDel="00000000" w:rsidR="00000000" w:rsidRPr="00000000">
        <w:rPr>
          <w:rtl w:val="0"/>
        </w:rPr>
      </w:r>
    </w:p>
    <w:p w:rsidR="00000000" w:rsidDel="00000000" w:rsidP="00000000" w:rsidRDefault="00000000" w:rsidRPr="00000000" w14:paraId="0000014E">
      <w:pPr>
        <w:rPr/>
      </w:pPr>
      <w:r w:rsidDel="00000000" w:rsidR="00000000" w:rsidRPr="00000000">
        <w:br w:type="page"/>
      </w:r>
      <w:r w:rsidDel="00000000" w:rsidR="00000000" w:rsidRPr="00000000">
        <w:rPr>
          <w:rtl w:val="0"/>
        </w:rPr>
      </w:r>
    </w:p>
    <w:p w:rsidR="00000000" w:rsidDel="00000000" w:rsidP="00000000" w:rsidRDefault="00000000" w:rsidRPr="00000000" w14:paraId="0000014F">
      <w:pPr>
        <w:keepNext w:val="1"/>
        <w:spacing w:after="80" w:before="160" w:lineRule="auto"/>
        <w:jc w:val="center"/>
        <w:rPr/>
      </w:pPr>
      <w:r w:rsidDel="00000000" w:rsidR="00000000" w:rsidRPr="00000000">
        <w:rPr/>
        <w:drawing>
          <wp:inline distB="0" distT="0" distL="114300" distR="114300">
            <wp:extent cx="5989320" cy="4034636"/>
            <wp:effectExtent b="0" l="0" r="0" t="0"/>
            <wp:docPr descr="Figure A6. Equity Minimum Variance against the lagged context-weighted sentiment tilt. The overlay does not improve the corrected baseline, which supports Recommendation 3." id="18" name="image5.png"/>
            <a:graphic>
              <a:graphicData uri="http://schemas.openxmlformats.org/drawingml/2006/picture">
                <pic:pic>
                  <pic:nvPicPr>
                    <pic:cNvPr descr="Figure A6. Equity Minimum Variance against the lagged context-weighted sentiment tilt. The overlay does not improve the corrected baseline, which supports Recommendation 3." id="0" name="image5.png"/>
                    <pic:cNvPicPr preferRelativeResize="0"/>
                  </pic:nvPicPr>
                  <pic:blipFill>
                    <a:blip r:embed="rId12"/>
                    <a:srcRect b="0" l="0" r="0" t="0"/>
                    <a:stretch>
                      <a:fillRect/>
                    </a:stretch>
                  </pic:blipFill>
                  <pic:spPr>
                    <a:xfrm>
                      <a:off x="0" y="0"/>
                      <a:ext cx="5989320" cy="4034636"/>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200" w:before="80" w:line="269" w:lineRule="auto"/>
        <w:jc w:val="left"/>
        <w:rPr/>
      </w:pPr>
      <w:r w:rsidDel="00000000" w:rsidR="00000000" w:rsidRPr="00000000">
        <w:rPr>
          <w:rFonts w:ascii="Times New Roman" w:cs="Times New Roman" w:eastAsia="Times New Roman" w:hAnsi="Times New Roman"/>
          <w:b w:val="0"/>
          <w:bCs w:val="0"/>
          <w:i w:val="1"/>
          <w:iCs w:val="1"/>
          <w:color w:val="181818"/>
          <w:sz w:val="18"/>
          <w:szCs w:val="18"/>
          <w:rtl w:val="0"/>
        </w:rPr>
        <w:t xml:space="preserve">Figure A6. Equity Minimum Variance against the lagged context-weighted sentiment tilt. The overlay does not improve the corrected baseline, which supports Recommendation 3.</w:t>
      </w:r>
      <w:r w:rsidDel="00000000" w:rsidR="00000000" w:rsidRPr="00000000">
        <w:rPr>
          <w:rtl w:val="0"/>
        </w:rPr>
      </w:r>
    </w:p>
    <w:p w:rsidR="00000000" w:rsidDel="00000000" w:rsidP="00000000" w:rsidRDefault="00000000" w:rsidRPr="00000000" w14:paraId="00000151">
      <w:pPr>
        <w:rPr/>
      </w:pPr>
      <w:r w:rsidDel="00000000" w:rsidR="00000000" w:rsidRPr="00000000">
        <w:br w:type="page"/>
      </w:r>
      <w:r w:rsidDel="00000000" w:rsidR="00000000" w:rsidRPr="00000000">
        <w:rPr>
          <w:rtl w:val="0"/>
        </w:rPr>
      </w:r>
    </w:p>
    <w:p w:rsidR="00000000" w:rsidDel="00000000" w:rsidP="00000000" w:rsidRDefault="00000000" w:rsidRPr="00000000" w14:paraId="00000152">
      <w:pPr>
        <w:keepNext w:val="1"/>
        <w:spacing w:after="80" w:before="160" w:lineRule="auto"/>
        <w:jc w:val="center"/>
        <w:rPr/>
      </w:pPr>
      <w:r w:rsidDel="00000000" w:rsidR="00000000" w:rsidRPr="00000000">
        <w:rPr/>
        <w:drawing>
          <wp:inline distB="0" distT="0" distL="114300" distR="114300">
            <wp:extent cx="5989320" cy="4034636"/>
            <wp:effectExtent b="0" l="0" r="0" t="0"/>
            <wp:docPr descr="Figure A7. Fusion sensitivity by tilt strength and equity base at zero cost. None of the tested specifications overtakes Equity Equal Weight (Table 6)." id="17" name="image6.png"/>
            <a:graphic>
              <a:graphicData uri="http://schemas.openxmlformats.org/drawingml/2006/picture">
                <pic:pic>
                  <pic:nvPicPr>
                    <pic:cNvPr descr="Figure A7. Fusion sensitivity by tilt strength and equity base at zero cost. None of the tested specifications overtakes Equity Equal Weight (Table 6)." id="0" name="image6.png"/>
                    <pic:cNvPicPr preferRelativeResize="0"/>
                  </pic:nvPicPr>
                  <pic:blipFill>
                    <a:blip r:embed="rId13"/>
                    <a:srcRect b="0" l="0" r="0" t="0"/>
                    <a:stretch>
                      <a:fillRect/>
                    </a:stretch>
                  </pic:blipFill>
                  <pic:spPr>
                    <a:xfrm>
                      <a:off x="0" y="0"/>
                      <a:ext cx="5989320" cy="4034636"/>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200" w:before="80" w:line="269" w:lineRule="auto"/>
        <w:jc w:val="left"/>
        <w:rPr/>
      </w:pPr>
      <w:r w:rsidDel="00000000" w:rsidR="00000000" w:rsidRPr="00000000">
        <w:rPr>
          <w:rFonts w:ascii="Times New Roman" w:cs="Times New Roman" w:eastAsia="Times New Roman" w:hAnsi="Times New Roman"/>
          <w:b w:val="0"/>
          <w:bCs w:val="0"/>
          <w:i w:val="1"/>
          <w:iCs w:val="1"/>
          <w:color w:val="181818"/>
          <w:sz w:val="18"/>
          <w:szCs w:val="18"/>
          <w:rtl w:val="0"/>
        </w:rPr>
        <w:t xml:space="preserve">Figure A7. Fusion sensitivity by tilt strength and equity base at zero cost. None of the tested specifications overtakes Equity Equal Weight (Table 6).</w:t>
      </w:r>
      <w:r w:rsidDel="00000000" w:rsidR="00000000" w:rsidRPr="00000000">
        <w:rPr>
          <w:rtl w:val="0"/>
        </w:rPr>
      </w:r>
    </w:p>
    <w:p w:rsidR="00000000" w:rsidDel="00000000" w:rsidP="00000000" w:rsidRDefault="00000000" w:rsidRPr="00000000" w14:paraId="00000154">
      <w:pPr>
        <w:rPr/>
      </w:pPr>
      <w:r w:rsidDel="00000000" w:rsidR="00000000" w:rsidRPr="00000000">
        <w:br w:type="page"/>
      </w:r>
      <w:r w:rsidDel="00000000" w:rsidR="00000000" w:rsidRPr="00000000">
        <w:rPr>
          <w:rtl w:val="0"/>
        </w:rPr>
      </w:r>
    </w:p>
    <w:p w:rsidR="00000000" w:rsidDel="00000000" w:rsidP="00000000" w:rsidRDefault="00000000" w:rsidRPr="00000000" w14:paraId="00000155">
      <w:pPr>
        <w:keepNext w:val="1"/>
        <w:spacing w:after="80" w:before="160" w:lineRule="auto"/>
        <w:jc w:val="center"/>
        <w:rPr/>
      </w:pPr>
      <w:r w:rsidDel="00000000" w:rsidR="00000000" w:rsidRPr="00000000">
        <w:rPr/>
        <w:drawing>
          <wp:inline distB="0" distT="0" distL="114300" distR="114300">
            <wp:extent cx="5989320" cy="4152073"/>
            <wp:effectExtent b="0" l="0" r="0" t="0"/>
            <wp:docPr descr="Figure A8. Polarity shares for Base VADER, Week 9 finVADER, and Signal Harbour on 4,000 headlines (Table 4). The comparison is distributional only." id="20" name="image1.png"/>
            <a:graphic>
              <a:graphicData uri="http://schemas.openxmlformats.org/drawingml/2006/picture">
                <pic:pic>
                  <pic:nvPicPr>
                    <pic:cNvPr descr="Figure A8. Polarity shares for Base VADER, Week 9 finVADER, and Signal Harbour on 4,000 headlines (Table 4). The comparison is distributional only." id="0" name="image1.png"/>
                    <pic:cNvPicPr preferRelativeResize="0"/>
                  </pic:nvPicPr>
                  <pic:blipFill>
                    <a:blip r:embed="rId14"/>
                    <a:srcRect b="0" l="0" r="0" t="0"/>
                    <a:stretch>
                      <a:fillRect/>
                    </a:stretch>
                  </pic:blipFill>
                  <pic:spPr>
                    <a:xfrm>
                      <a:off x="0" y="0"/>
                      <a:ext cx="5989320" cy="4152073"/>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200" w:before="80" w:line="269" w:lineRule="auto"/>
        <w:jc w:val="left"/>
        <w:rPr/>
      </w:pPr>
      <w:r w:rsidDel="00000000" w:rsidR="00000000" w:rsidRPr="00000000">
        <w:rPr>
          <w:rFonts w:ascii="Times New Roman" w:cs="Times New Roman" w:eastAsia="Times New Roman" w:hAnsi="Times New Roman"/>
          <w:b w:val="0"/>
          <w:bCs w:val="0"/>
          <w:i w:val="1"/>
          <w:iCs w:val="1"/>
          <w:color w:val="181818"/>
          <w:sz w:val="18"/>
          <w:szCs w:val="18"/>
          <w:rtl w:val="0"/>
        </w:rPr>
        <w:t xml:space="preserve">Figure A8. Polarity shares for Base VADER, Week 9 finVADER, and Signal Harbour on 4,000 headlines (Table 4). The comparison is distributional only.</w:t>
      </w:r>
      <w:r w:rsidDel="00000000" w:rsidR="00000000" w:rsidRPr="00000000">
        <w:rPr>
          <w:rtl w:val="0"/>
        </w:rPr>
      </w:r>
    </w:p>
    <w:p w:rsidR="00000000" w:rsidDel="00000000" w:rsidP="00000000" w:rsidRDefault="00000000" w:rsidRPr="00000000" w14:paraId="00000157">
      <w:pPr>
        <w:rPr/>
      </w:pPr>
      <w:r w:rsidDel="00000000" w:rsidR="00000000" w:rsidRPr="00000000">
        <w:br w:type="page"/>
      </w:r>
      <w:r w:rsidDel="00000000" w:rsidR="00000000" w:rsidRPr="00000000">
        <w:rPr>
          <w:rtl w:val="0"/>
        </w:rPr>
      </w:r>
    </w:p>
    <w:p w:rsidR="00000000" w:rsidDel="00000000" w:rsidP="00000000" w:rsidRDefault="00000000" w:rsidRPr="00000000" w14:paraId="00000158">
      <w:pPr>
        <w:keepNext w:val="1"/>
        <w:spacing w:after="80" w:before="160" w:lineRule="auto"/>
        <w:jc w:val="center"/>
        <w:rPr/>
      </w:pPr>
      <w:r w:rsidDel="00000000" w:rsidR="00000000" w:rsidRPr="00000000">
        <w:rPr/>
        <w:drawing>
          <wp:inline distB="0" distT="0" distL="114300" distR="114300">
            <wp:extent cx="5989320" cy="4032879"/>
            <wp:effectExtent b="0" l="0" r="0" t="0"/>
            <wp:docPr descr="Figure A9. Ablation of Signal Harbour components on the Week 9 finVADER base analyser, with Week 9-only and plain-VADER references." id="19" name="image2.png"/>
            <a:graphic>
              <a:graphicData uri="http://schemas.openxmlformats.org/drawingml/2006/picture">
                <pic:pic>
                  <pic:nvPicPr>
                    <pic:cNvPr descr="Figure A9. Ablation of Signal Harbour components on the Week 9 finVADER base analyser, with Week 9-only and plain-VADER references." id="0" name="image2.png"/>
                    <pic:cNvPicPr preferRelativeResize="0"/>
                  </pic:nvPicPr>
                  <pic:blipFill>
                    <a:blip r:embed="rId15"/>
                    <a:srcRect b="0" l="0" r="0" t="0"/>
                    <a:stretch>
                      <a:fillRect/>
                    </a:stretch>
                  </pic:blipFill>
                  <pic:spPr>
                    <a:xfrm>
                      <a:off x="0" y="0"/>
                      <a:ext cx="5989320" cy="4032879"/>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200" w:before="80" w:line="269" w:lineRule="auto"/>
        <w:jc w:val="left"/>
        <w:rPr/>
      </w:pPr>
      <w:r w:rsidDel="00000000" w:rsidR="00000000" w:rsidRPr="00000000">
        <w:rPr>
          <w:rFonts w:ascii="Times New Roman" w:cs="Times New Roman" w:eastAsia="Times New Roman" w:hAnsi="Times New Roman"/>
          <w:b w:val="0"/>
          <w:bCs w:val="0"/>
          <w:i w:val="1"/>
          <w:iCs w:val="1"/>
          <w:color w:val="181818"/>
          <w:sz w:val="18"/>
          <w:szCs w:val="18"/>
          <w:rtl w:val="0"/>
        </w:rPr>
        <w:t xml:space="preserve">Figure A9. Ablation of Signal Harbour components on the Week 9 finVADER base analyser, with Week 9-only and plain-VADER references.</w:t>
      </w:r>
      <w:r w:rsidDel="00000000" w:rsidR="00000000" w:rsidRPr="00000000">
        <w:rPr>
          <w:rtl w:val="0"/>
        </w:rPr>
      </w:r>
    </w:p>
    <w:p w:rsidR="00000000" w:rsidDel="00000000" w:rsidP="00000000" w:rsidRDefault="00000000" w:rsidRPr="00000000" w14:paraId="0000015A">
      <w:pPr>
        <w:rPr/>
      </w:pPr>
      <w:r w:rsidDel="00000000" w:rsidR="00000000" w:rsidRPr="00000000">
        <w:br w:type="page"/>
      </w:r>
      <w:r w:rsidDel="00000000" w:rsidR="00000000" w:rsidRPr="00000000">
        <w:rPr>
          <w:rtl w:val="0"/>
        </w:rPr>
      </w:r>
    </w:p>
    <w:p w:rsidR="00000000" w:rsidDel="00000000" w:rsidP="00000000" w:rsidRDefault="00000000" w:rsidRPr="00000000" w14:paraId="0000015B">
      <w:pPr>
        <w:keepNext w:val="1"/>
        <w:spacing w:after="80" w:before="160" w:lineRule="auto"/>
        <w:jc w:val="center"/>
        <w:rPr/>
      </w:pPr>
      <w:r w:rsidDel="00000000" w:rsidR="00000000" w:rsidRPr="00000000">
        <w:rPr/>
        <w:drawing>
          <wp:inline distB="0" distT="0" distL="114300" distR="114300">
            <wp:extent cx="5989320" cy="4039855"/>
            <wp:effectExtent b="0" l="0" r="0" t="0"/>
            <wp:docPr descr="Figure A10. Average active tickers per sector-day under the complete-grid context-weighted index. This is the coverage companion to Figure A5." id="22" name="image10.png"/>
            <a:graphic>
              <a:graphicData uri="http://schemas.openxmlformats.org/drawingml/2006/picture">
                <pic:pic>
                  <pic:nvPicPr>
                    <pic:cNvPr descr="Figure A10. Average active tickers per sector-day under the complete-grid context-weighted index. This is the coverage companion to Figure A5." id="0" name="image10.png"/>
                    <pic:cNvPicPr preferRelativeResize="0"/>
                  </pic:nvPicPr>
                  <pic:blipFill>
                    <a:blip r:embed="rId16"/>
                    <a:srcRect b="0" l="0" r="0" t="0"/>
                    <a:stretch>
                      <a:fillRect/>
                    </a:stretch>
                  </pic:blipFill>
                  <pic:spPr>
                    <a:xfrm>
                      <a:off x="0" y="0"/>
                      <a:ext cx="5989320" cy="4039855"/>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200" w:before="80" w:line="269" w:lineRule="auto"/>
        <w:jc w:val="left"/>
        <w:rPr/>
      </w:pPr>
      <w:r w:rsidDel="00000000" w:rsidR="00000000" w:rsidRPr="00000000">
        <w:rPr>
          <w:rFonts w:ascii="Times New Roman" w:cs="Times New Roman" w:eastAsia="Times New Roman" w:hAnsi="Times New Roman"/>
          <w:b w:val="0"/>
          <w:bCs w:val="0"/>
          <w:i w:val="1"/>
          <w:iCs w:val="1"/>
          <w:color w:val="181818"/>
          <w:sz w:val="18"/>
          <w:szCs w:val="18"/>
          <w:rtl w:val="0"/>
        </w:rPr>
        <w:t xml:space="preserve">Figure A10. Average active tickers per sector-day under the complete-grid context-weighted index. This is the coverage companion to Figure A5.</w:t>
      </w:r>
      <w:r w:rsidDel="00000000" w:rsidR="00000000" w:rsidRPr="00000000">
        <w:rPr>
          <w:rtl w:val="0"/>
        </w:rPr>
      </w:r>
    </w:p>
    <w:p w:rsidR="00000000" w:rsidDel="00000000" w:rsidP="00000000" w:rsidRDefault="00000000" w:rsidRPr="00000000" w14:paraId="0000015D">
      <w:pPr>
        <w:rPr/>
      </w:pPr>
      <w:r w:rsidDel="00000000" w:rsidR="00000000" w:rsidRPr="00000000">
        <w:br w:type="page"/>
      </w:r>
      <w:r w:rsidDel="00000000" w:rsidR="00000000" w:rsidRPr="00000000">
        <w:rPr>
          <w:rtl w:val="0"/>
        </w:rPr>
      </w:r>
    </w:p>
    <w:p w:rsidR="00000000" w:rsidDel="00000000" w:rsidP="00000000" w:rsidRDefault="00000000" w:rsidRPr="00000000" w14:paraId="0000015E">
      <w:pPr>
        <w:keepNext w:val="1"/>
        <w:spacing w:after="80" w:before="160" w:lineRule="auto"/>
        <w:jc w:val="center"/>
        <w:rPr/>
      </w:pPr>
      <w:r w:rsidDel="00000000" w:rsidR="00000000" w:rsidRPr="00000000">
        <w:rPr/>
        <w:drawing>
          <wp:inline distB="0" distT="0" distL="114300" distR="114300">
            <wp:extent cx="5989320" cy="4379821"/>
            <wp:effectExtent b="0" l="0" r="0" t="0"/>
            <wp:docPr descr="Figure A11. Sector coverage intensity: mean headlines on news-bearing ticker-days (bars) and the share of exact-zero raw scores (line). This exhibit is distinct from the polarity comparison in Figure A8." id="21" name="image9.png"/>
            <a:graphic>
              <a:graphicData uri="http://schemas.openxmlformats.org/drawingml/2006/picture">
                <pic:pic>
                  <pic:nvPicPr>
                    <pic:cNvPr descr="Figure A11. Sector coverage intensity: mean headlines on news-bearing ticker-days (bars) and the share of exact-zero raw scores (line). This exhibit is distinct from the polarity comparison in Figure A8." id="0" name="image9.png"/>
                    <pic:cNvPicPr preferRelativeResize="0"/>
                  </pic:nvPicPr>
                  <pic:blipFill>
                    <a:blip r:embed="rId17"/>
                    <a:srcRect b="0" l="0" r="0" t="0"/>
                    <a:stretch>
                      <a:fillRect/>
                    </a:stretch>
                  </pic:blipFill>
                  <pic:spPr>
                    <a:xfrm>
                      <a:off x="0" y="0"/>
                      <a:ext cx="5989320" cy="4379821"/>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after="200" w:before="80" w:line="269" w:lineRule="auto"/>
        <w:jc w:val="left"/>
        <w:rPr/>
      </w:pPr>
      <w:r w:rsidDel="00000000" w:rsidR="00000000" w:rsidRPr="00000000">
        <w:rPr>
          <w:rFonts w:ascii="Times New Roman" w:cs="Times New Roman" w:eastAsia="Times New Roman" w:hAnsi="Times New Roman"/>
          <w:b w:val="0"/>
          <w:bCs w:val="0"/>
          <w:i w:val="1"/>
          <w:iCs w:val="1"/>
          <w:color w:val="181818"/>
          <w:sz w:val="18"/>
          <w:szCs w:val="18"/>
          <w:rtl w:val="0"/>
        </w:rPr>
        <w:t xml:space="preserve">Figure A11. Sector coverage intensity: mean headlines on news-bearing ticker-days (bars) and the share of exact-zero raw scores (line). This exhibit is distinct from the polarity comparison in Figure A8.</w:t>
      </w:r>
      <w:r w:rsidDel="00000000" w:rsidR="00000000" w:rsidRPr="00000000">
        <w:rPr>
          <w:rtl w:val="0"/>
        </w:rPr>
      </w:r>
    </w:p>
    <w:p w:rsidR="00000000" w:rsidDel="00000000" w:rsidP="00000000" w:rsidRDefault="00000000" w:rsidRPr="00000000" w14:paraId="00000160">
      <w:pPr>
        <w:pStyle w:val="Heading1"/>
        <w:keepNext w:val="1"/>
        <w:pageBreakBefore w:val="1"/>
        <w:spacing w:after="160" w:before="320" w:line="269" w:lineRule="auto"/>
        <w:jc w:val="left"/>
        <w:rPr/>
      </w:pPr>
      <w:r w:rsidDel="00000000" w:rsidR="00000000" w:rsidRPr="00000000">
        <w:rPr>
          <w:rFonts w:ascii="Times New Roman" w:cs="Times New Roman" w:eastAsia="Times New Roman" w:hAnsi="Times New Roman"/>
          <w:b w:val="1"/>
          <w:bCs w:val="1"/>
          <w:i w:val="0"/>
          <w:iCs w:val="0"/>
          <w:color w:val="181818"/>
          <w:sz w:val="27"/>
          <w:szCs w:val="27"/>
          <w:rtl w:val="0"/>
        </w:rPr>
        <w:t xml:space="preserve">Appendix B. Core equations and references</w:t>
      </w:r>
      <w:r w:rsidDel="00000000" w:rsidR="00000000" w:rsidRPr="00000000">
        <w:rPr>
          <w:rtl w:val="0"/>
        </w:rPr>
      </w:r>
    </w:p>
    <w:p w:rsidR="00000000" w:rsidDel="00000000" w:rsidP="00000000" w:rsidRDefault="00000000" w:rsidRPr="00000000" w14:paraId="00000161">
      <w:pPr>
        <w:pStyle w:val="Heading2"/>
        <w:keepNext w:val="1"/>
        <w:spacing w:after="120" w:before="240" w:line="269" w:lineRule="auto"/>
        <w:jc w:val="left"/>
        <w:rPr/>
      </w:pPr>
      <w:r w:rsidDel="00000000" w:rsidR="00000000" w:rsidRPr="00000000">
        <w:rPr>
          <w:rFonts w:ascii="Times New Roman" w:cs="Times New Roman" w:eastAsia="Times New Roman" w:hAnsi="Times New Roman"/>
          <w:b w:val="1"/>
          <w:bCs w:val="1"/>
          <w:i w:val="0"/>
          <w:iCs w:val="0"/>
          <w:color w:val="181818"/>
          <w:sz w:val="22"/>
          <w:szCs w:val="22"/>
          <w:rtl w:val="0"/>
        </w:rPr>
        <w:t xml:space="preserve">Minimum variance</w:t>
      </w:r>
      <w:r w:rsidDel="00000000" w:rsidR="00000000" w:rsidRPr="00000000">
        <w:rPr>
          <w:rtl w:val="0"/>
        </w:rPr>
      </w:r>
    </w:p>
    <w:p w:rsidR="00000000" w:rsidDel="00000000" w:rsidP="00000000" w:rsidRDefault="00000000" w:rsidRPr="00000000" w14:paraId="00000162">
      <w:pPr>
        <w:spacing w:after="80" w:before="80" w:line="269" w:lineRule="auto"/>
        <w:jc w:val="center"/>
        <w:rPr/>
      </w:pPr>
      <w:r w:rsidDel="00000000" w:rsidR="00000000" w:rsidRPr="00000000">
        <w:rPr>
          <w:rFonts w:ascii="Times New Roman" w:cs="Times New Roman" w:eastAsia="Times New Roman" w:hAnsi="Times New Roman"/>
          <w:b w:val="0"/>
          <w:bCs w:val="0"/>
          <w:i w:val="0"/>
          <w:iCs w:val="0"/>
          <w:color w:val="181818"/>
          <w:sz w:val="21"/>
          <w:szCs w:val="21"/>
          <w:rtl w:val="0"/>
        </w:rPr>
        <w:t xml:space="preserve">minimise  w^T SigmaAnn w    subject to    1^T w = 1    and    0 &lt;= w(i) &lt;= wMax</w:t>
      </w:r>
      <w:r w:rsidDel="00000000" w:rsidR="00000000" w:rsidRPr="00000000">
        <w:rPr>
          <w:rtl w:val="0"/>
        </w:rPr>
      </w:r>
    </w:p>
    <w:p w:rsidR="00000000" w:rsidDel="00000000" w:rsidP="00000000" w:rsidRDefault="00000000" w:rsidRPr="00000000" w14:paraId="00000163">
      <w:pPr>
        <w:spacing w:after="160" w:before="0" w:line="269" w:lineRule="auto"/>
        <w:jc w:val="both"/>
        <w:rPr/>
      </w:pPr>
      <w:r w:rsidDel="00000000" w:rsidR="00000000" w:rsidRPr="00000000">
        <w:rPr>
          <w:rFonts w:ascii="Times New Roman" w:cs="Times New Roman" w:eastAsia="Times New Roman" w:hAnsi="Times New Roman"/>
          <w:b w:val="0"/>
          <w:bCs w:val="0"/>
          <w:i w:val="0"/>
          <w:iCs w:val="0"/>
          <w:color w:val="181818"/>
          <w:sz w:val="19"/>
          <w:szCs w:val="19"/>
          <w:rtl w:val="0"/>
        </w:rPr>
        <w:t xml:space="preserve">SigmaAnn = ppy * Cov(R), where ppy is 252 on the equity calendar or 365 on the native crypto calendar.</w:t>
      </w:r>
      <w:r w:rsidDel="00000000" w:rsidR="00000000" w:rsidRPr="00000000">
        <w:rPr>
          <w:rtl w:val="0"/>
        </w:rPr>
      </w:r>
    </w:p>
    <w:p w:rsidR="00000000" w:rsidDel="00000000" w:rsidP="00000000" w:rsidRDefault="00000000" w:rsidRPr="00000000" w14:paraId="00000164">
      <w:pPr>
        <w:pStyle w:val="Heading2"/>
        <w:keepNext w:val="1"/>
        <w:spacing w:after="120" w:before="240" w:line="269" w:lineRule="auto"/>
        <w:jc w:val="left"/>
        <w:rPr/>
      </w:pPr>
      <w:r w:rsidDel="00000000" w:rsidR="00000000" w:rsidRPr="00000000">
        <w:rPr>
          <w:rFonts w:ascii="Times New Roman" w:cs="Times New Roman" w:eastAsia="Times New Roman" w:hAnsi="Times New Roman"/>
          <w:b w:val="1"/>
          <w:bCs w:val="1"/>
          <w:i w:val="0"/>
          <w:iCs w:val="0"/>
          <w:color w:val="181818"/>
          <w:sz w:val="22"/>
          <w:szCs w:val="22"/>
          <w:rtl w:val="0"/>
        </w:rPr>
        <w:t xml:space="preserve">Maximum Sharpe</w:t>
      </w:r>
      <w:r w:rsidDel="00000000" w:rsidR="00000000" w:rsidRPr="00000000">
        <w:rPr>
          <w:rtl w:val="0"/>
        </w:rPr>
      </w:r>
    </w:p>
    <w:p w:rsidR="00000000" w:rsidDel="00000000" w:rsidP="00000000" w:rsidRDefault="00000000" w:rsidRPr="00000000" w14:paraId="00000165">
      <w:pPr>
        <w:spacing w:after="80" w:before="80" w:line="269" w:lineRule="auto"/>
        <w:jc w:val="center"/>
        <w:rPr/>
      </w:pPr>
      <w:r w:rsidDel="00000000" w:rsidR="00000000" w:rsidRPr="00000000">
        <w:rPr>
          <w:rFonts w:ascii="Times New Roman" w:cs="Times New Roman" w:eastAsia="Times New Roman" w:hAnsi="Times New Roman"/>
          <w:b w:val="0"/>
          <w:bCs w:val="0"/>
          <w:i w:val="0"/>
          <w:iCs w:val="0"/>
          <w:color w:val="181818"/>
          <w:sz w:val="21"/>
          <w:szCs w:val="21"/>
          <w:rtl w:val="0"/>
        </w:rPr>
        <w:t xml:space="preserve">maximise  (w^T muAnn) / sqrt(w^T SigmaAnn w)</w:t>
      </w:r>
      <w:r w:rsidDel="00000000" w:rsidR="00000000" w:rsidRPr="00000000">
        <w:rPr>
          <w:rtl w:val="0"/>
        </w:rPr>
      </w:r>
    </w:p>
    <w:p w:rsidR="00000000" w:rsidDel="00000000" w:rsidP="00000000" w:rsidRDefault="00000000" w:rsidRPr="00000000" w14:paraId="00000166">
      <w:pPr>
        <w:spacing w:after="160" w:before="0" w:line="269" w:lineRule="auto"/>
        <w:jc w:val="both"/>
        <w:rPr/>
      </w:pPr>
      <w:r w:rsidDel="00000000" w:rsidR="00000000" w:rsidRPr="00000000">
        <w:rPr>
          <w:rFonts w:ascii="Times New Roman" w:cs="Times New Roman" w:eastAsia="Times New Roman" w:hAnsi="Times New Roman"/>
          <w:b w:val="0"/>
          <w:bCs w:val="0"/>
          <w:i w:val="0"/>
          <w:iCs w:val="0"/>
          <w:color w:val="181818"/>
          <w:sz w:val="19"/>
          <w:szCs w:val="19"/>
          <w:rtl w:val="0"/>
        </w:rPr>
        <w:t xml:space="preserve">The risk-free rate is zero; the long-only and name-cap constraints are unchanged.</w:t>
      </w:r>
      <w:r w:rsidDel="00000000" w:rsidR="00000000" w:rsidRPr="00000000">
        <w:rPr>
          <w:rtl w:val="0"/>
        </w:rPr>
      </w:r>
    </w:p>
    <w:p w:rsidR="00000000" w:rsidDel="00000000" w:rsidP="00000000" w:rsidRDefault="00000000" w:rsidRPr="00000000" w14:paraId="00000167">
      <w:pPr>
        <w:pStyle w:val="Heading2"/>
        <w:keepNext w:val="1"/>
        <w:spacing w:after="120" w:before="240" w:line="269" w:lineRule="auto"/>
        <w:jc w:val="left"/>
        <w:rPr/>
      </w:pPr>
      <w:r w:rsidDel="00000000" w:rsidR="00000000" w:rsidRPr="00000000">
        <w:rPr>
          <w:rFonts w:ascii="Times New Roman" w:cs="Times New Roman" w:eastAsia="Times New Roman" w:hAnsi="Times New Roman"/>
          <w:b w:val="1"/>
          <w:bCs w:val="1"/>
          <w:i w:val="0"/>
          <w:iCs w:val="0"/>
          <w:color w:val="181818"/>
          <w:sz w:val="22"/>
          <w:szCs w:val="22"/>
          <w:rtl w:val="0"/>
        </w:rPr>
        <w:t xml:space="preserve">Reported performance</w:t>
      </w:r>
      <w:r w:rsidDel="00000000" w:rsidR="00000000" w:rsidRPr="00000000">
        <w:rPr>
          <w:rtl w:val="0"/>
        </w:rPr>
      </w:r>
    </w:p>
    <w:p w:rsidR="00000000" w:rsidDel="00000000" w:rsidP="00000000" w:rsidRDefault="00000000" w:rsidRPr="00000000" w14:paraId="00000168">
      <w:pPr>
        <w:spacing w:after="80" w:before="80" w:line="269" w:lineRule="auto"/>
        <w:jc w:val="center"/>
        <w:rPr/>
      </w:pPr>
      <w:r w:rsidDel="00000000" w:rsidR="00000000" w:rsidRPr="00000000">
        <w:rPr>
          <w:rFonts w:ascii="Times New Roman" w:cs="Times New Roman" w:eastAsia="Times New Roman" w:hAnsi="Times New Roman"/>
          <w:b w:val="0"/>
          <w:bCs w:val="0"/>
          <w:i w:val="0"/>
          <w:iCs w:val="0"/>
          <w:color w:val="181818"/>
          <w:sz w:val="21"/>
          <w:szCs w:val="21"/>
          <w:rtl w:val="0"/>
        </w:rPr>
        <w:t xml:space="preserve">Sharpe = (mean(r) * ppy) / (std(r) * sqrt(ppy))</w:t>
      </w:r>
      <w:r w:rsidDel="00000000" w:rsidR="00000000" w:rsidRPr="00000000">
        <w:rPr>
          <w:rtl w:val="0"/>
        </w:rPr>
      </w:r>
    </w:p>
    <w:p w:rsidR="00000000" w:rsidDel="00000000" w:rsidP="00000000" w:rsidRDefault="00000000" w:rsidRPr="00000000" w14:paraId="00000169">
      <w:pPr>
        <w:spacing w:after="80" w:before="80" w:line="269" w:lineRule="auto"/>
        <w:jc w:val="center"/>
        <w:rPr/>
      </w:pPr>
      <w:r w:rsidDel="00000000" w:rsidR="00000000" w:rsidRPr="00000000">
        <w:rPr>
          <w:rFonts w:ascii="Times New Roman" w:cs="Times New Roman" w:eastAsia="Times New Roman" w:hAnsi="Times New Roman"/>
          <w:b w:val="0"/>
          <w:bCs w:val="0"/>
          <w:i w:val="0"/>
          <w:iCs w:val="0"/>
          <w:color w:val="181818"/>
          <w:sz w:val="21"/>
          <w:szCs w:val="21"/>
          <w:rtl w:val="0"/>
        </w:rPr>
        <w:t xml:space="preserve">CAGR = WT raised to the power (ppy/T), minus 1</w:t>
      </w:r>
      <w:r w:rsidDel="00000000" w:rsidR="00000000" w:rsidRPr="00000000">
        <w:rPr>
          <w:rtl w:val="0"/>
        </w:rPr>
      </w:r>
    </w:p>
    <w:p w:rsidR="00000000" w:rsidDel="00000000" w:rsidP="00000000" w:rsidRDefault="00000000" w:rsidRPr="00000000" w14:paraId="0000016A">
      <w:pPr>
        <w:pStyle w:val="Heading2"/>
        <w:keepNext w:val="1"/>
        <w:spacing w:after="120" w:before="240" w:line="269" w:lineRule="auto"/>
        <w:jc w:val="left"/>
        <w:rPr/>
      </w:pPr>
      <w:r w:rsidDel="00000000" w:rsidR="00000000" w:rsidRPr="00000000">
        <w:rPr>
          <w:rFonts w:ascii="Times New Roman" w:cs="Times New Roman" w:eastAsia="Times New Roman" w:hAnsi="Times New Roman"/>
          <w:b w:val="1"/>
          <w:bCs w:val="1"/>
          <w:i w:val="0"/>
          <w:iCs w:val="0"/>
          <w:color w:val="181818"/>
          <w:sz w:val="22"/>
          <w:szCs w:val="22"/>
          <w:rtl w:val="0"/>
        </w:rPr>
        <w:t xml:space="preserve">Context-weighted score</w:t>
      </w:r>
      <w:r w:rsidDel="00000000" w:rsidR="00000000" w:rsidRPr="00000000">
        <w:rPr>
          <w:rtl w:val="0"/>
        </w:rPr>
      </w:r>
    </w:p>
    <w:p w:rsidR="00000000" w:rsidDel="00000000" w:rsidP="00000000" w:rsidRDefault="00000000" w:rsidRPr="00000000" w14:paraId="0000016B">
      <w:pPr>
        <w:spacing w:after="80" w:before="80" w:line="269" w:lineRule="auto"/>
        <w:jc w:val="center"/>
        <w:rPr/>
      </w:pPr>
      <w:r w:rsidDel="00000000" w:rsidR="00000000" w:rsidRPr="00000000">
        <w:rPr>
          <w:rFonts w:ascii="Times New Roman" w:cs="Times New Roman" w:eastAsia="Times New Roman" w:hAnsi="Times New Roman"/>
          <w:b w:val="0"/>
          <w:bCs w:val="0"/>
          <w:i w:val="0"/>
          <w:iCs w:val="0"/>
          <w:color w:val="181818"/>
          <w:sz w:val="21"/>
          <w:szCs w:val="21"/>
          <w:rtl w:val="0"/>
        </w:rPr>
        <w:t xml:space="preserve">sCw(i, t) = s(i, t) * coverageConf(i, t) * attentionConf(i, t)</w:t>
      </w:r>
      <w:r w:rsidDel="00000000" w:rsidR="00000000" w:rsidRPr="00000000">
        <w:rPr>
          <w:rtl w:val="0"/>
        </w:rPr>
      </w:r>
    </w:p>
    <w:p w:rsidR="00000000" w:rsidDel="00000000" w:rsidP="00000000" w:rsidRDefault="00000000" w:rsidRPr="00000000" w14:paraId="0000016C">
      <w:pPr>
        <w:spacing w:after="80" w:before="80" w:line="269" w:lineRule="auto"/>
        <w:jc w:val="center"/>
        <w:rPr/>
      </w:pPr>
      <w:r w:rsidDel="00000000" w:rsidR="00000000" w:rsidRPr="00000000">
        <w:rPr>
          <w:rFonts w:ascii="Times New Roman" w:cs="Times New Roman" w:eastAsia="Times New Roman" w:hAnsi="Times New Roman"/>
          <w:b w:val="0"/>
          <w:bCs w:val="0"/>
          <w:i w:val="0"/>
          <w:iCs w:val="0"/>
          <w:color w:val="181818"/>
          <w:sz w:val="21"/>
          <w:szCs w:val="21"/>
          <w:rtl w:val="0"/>
        </w:rPr>
        <w:t xml:space="preserve">Tradable score = sCw(i, t minus 1).</w:t>
      </w:r>
      <w:r w:rsidDel="00000000" w:rsidR="00000000" w:rsidRPr="00000000">
        <w:rPr>
          <w:rtl w:val="0"/>
        </w:rPr>
      </w:r>
    </w:p>
    <w:p w:rsidR="00000000" w:rsidDel="00000000" w:rsidP="00000000" w:rsidRDefault="00000000" w:rsidRPr="00000000" w14:paraId="0000016D">
      <w:pPr>
        <w:pStyle w:val="Heading2"/>
        <w:keepNext w:val="1"/>
        <w:spacing w:after="120" w:before="240" w:line="269" w:lineRule="auto"/>
        <w:jc w:val="left"/>
        <w:rPr/>
      </w:pPr>
      <w:r w:rsidDel="00000000" w:rsidR="00000000" w:rsidRPr="00000000">
        <w:rPr>
          <w:rFonts w:ascii="Times New Roman" w:cs="Times New Roman" w:eastAsia="Times New Roman" w:hAnsi="Times New Roman"/>
          <w:b w:val="1"/>
          <w:bCs w:val="1"/>
          <w:i w:val="0"/>
          <w:iCs w:val="0"/>
          <w:color w:val="181818"/>
          <w:sz w:val="22"/>
          <w:szCs w:val="22"/>
          <w:rtl w:val="0"/>
        </w:rPr>
        <w:t xml:space="preserve">Sentiment tilt</w:t>
      </w:r>
      <w:r w:rsidDel="00000000" w:rsidR="00000000" w:rsidRPr="00000000">
        <w:rPr>
          <w:rtl w:val="0"/>
        </w:rPr>
      </w:r>
    </w:p>
    <w:p w:rsidR="00000000" w:rsidDel="00000000" w:rsidP="00000000" w:rsidRDefault="00000000" w:rsidRPr="00000000" w14:paraId="0000016E">
      <w:pPr>
        <w:spacing w:after="160" w:before="0" w:line="269" w:lineRule="auto"/>
        <w:jc w:val="both"/>
        <w:rPr/>
      </w:pPr>
      <w:r w:rsidDel="00000000" w:rsidR="00000000" w:rsidRPr="00000000">
        <w:rPr>
          <w:rFonts w:ascii="Times New Roman" w:cs="Times New Roman" w:eastAsia="Times New Roman" w:hAnsi="Times New Roman"/>
          <w:b w:val="0"/>
          <w:bCs w:val="0"/>
          <w:i w:val="0"/>
          <w:iCs w:val="0"/>
          <w:color w:val="181818"/>
          <w:sz w:val="19"/>
          <w:szCs w:val="19"/>
          <w:rtl w:val="0"/>
        </w:rPr>
        <w:t xml:space="preserve">wTilt is proportional to w * exp(lambda * (score minus mean(score))). The tilted vector is then projected back onto the capped simplex.</w:t>
      </w:r>
      <w:r w:rsidDel="00000000" w:rsidR="00000000" w:rsidRPr="00000000">
        <w:rPr>
          <w:rtl w:val="0"/>
        </w:rPr>
      </w:r>
    </w:p>
    <w:p w:rsidR="00000000" w:rsidDel="00000000" w:rsidP="00000000" w:rsidRDefault="00000000" w:rsidRPr="00000000" w14:paraId="0000016F">
      <w:pPr>
        <w:pStyle w:val="Heading2"/>
        <w:keepNext w:val="1"/>
        <w:spacing w:after="120" w:before="240" w:line="269" w:lineRule="auto"/>
        <w:jc w:val="left"/>
        <w:rPr/>
      </w:pPr>
      <w:r w:rsidDel="00000000" w:rsidR="00000000" w:rsidRPr="00000000">
        <w:rPr>
          <w:rFonts w:ascii="Times New Roman" w:cs="Times New Roman" w:eastAsia="Times New Roman" w:hAnsi="Times New Roman"/>
          <w:b w:val="1"/>
          <w:bCs w:val="1"/>
          <w:i w:val="0"/>
          <w:iCs w:val="0"/>
          <w:color w:val="181818"/>
          <w:sz w:val="22"/>
          <w:szCs w:val="22"/>
          <w:rtl w:val="0"/>
        </w:rPr>
        <w:t xml:space="preserve">References</w:t>
      </w:r>
      <w:r w:rsidDel="00000000" w:rsidR="00000000" w:rsidRPr="00000000">
        <w:rPr>
          <w:rtl w:val="0"/>
        </w:rPr>
      </w:r>
    </w:p>
    <w:p w:rsidR="00000000" w:rsidDel="00000000" w:rsidP="00000000" w:rsidRDefault="00000000" w:rsidRPr="00000000" w14:paraId="00000170">
      <w:pPr>
        <w:spacing w:after="100" w:before="0" w:line="269" w:lineRule="auto"/>
        <w:ind w:left="283" w:hanging="283"/>
        <w:jc w:val="left"/>
        <w:rPr/>
      </w:pPr>
      <w:r w:rsidDel="00000000" w:rsidR="00000000" w:rsidRPr="00000000">
        <w:rPr>
          <w:rFonts w:ascii="Times New Roman" w:cs="Times New Roman" w:eastAsia="Times New Roman" w:hAnsi="Times New Roman"/>
          <w:b w:val="0"/>
          <w:bCs w:val="0"/>
          <w:i w:val="0"/>
          <w:iCs w:val="0"/>
          <w:color w:val="181818"/>
          <w:sz w:val="19"/>
          <w:szCs w:val="19"/>
          <w:rtl w:val="0"/>
        </w:rPr>
        <w:t xml:space="preserve">Hutto, C. J., and Gilbert, E. (2014). VADER: A parsimonious rule-based model for sentiment analysis of social media text. </w:t>
      </w:r>
      <w:r w:rsidDel="00000000" w:rsidR="00000000" w:rsidRPr="00000000">
        <w:rPr>
          <w:rFonts w:ascii="Times New Roman" w:cs="Times New Roman" w:eastAsia="Times New Roman" w:hAnsi="Times New Roman"/>
          <w:b w:val="0"/>
          <w:bCs w:val="0"/>
          <w:i w:val="1"/>
          <w:iCs w:val="1"/>
          <w:color w:val="181818"/>
          <w:sz w:val="19"/>
          <w:szCs w:val="19"/>
          <w:rtl w:val="0"/>
        </w:rPr>
        <w:t xml:space="preserve">ICWSM</w:t>
      </w:r>
      <w:r w:rsidDel="00000000" w:rsidR="00000000" w:rsidRPr="00000000">
        <w:rPr>
          <w:rFonts w:ascii="Times New Roman" w:cs="Times New Roman" w:eastAsia="Times New Roman" w:hAnsi="Times New Roman"/>
          <w:b w:val="0"/>
          <w:bCs w:val="0"/>
          <w:i w:val="0"/>
          <w:iCs w:val="0"/>
          <w:color w:val="181818"/>
          <w:sz w:val="19"/>
          <w:szCs w:val="19"/>
          <w:rtl w:val="0"/>
        </w:rPr>
        <w:t xml:space="preserve">.</w:t>
      </w:r>
      <w:r w:rsidDel="00000000" w:rsidR="00000000" w:rsidRPr="00000000">
        <w:rPr>
          <w:rtl w:val="0"/>
        </w:rPr>
      </w:r>
    </w:p>
    <w:p w:rsidR="00000000" w:rsidDel="00000000" w:rsidP="00000000" w:rsidRDefault="00000000" w:rsidRPr="00000000" w14:paraId="00000171">
      <w:pPr>
        <w:spacing w:after="100" w:before="0" w:line="269" w:lineRule="auto"/>
        <w:ind w:left="283" w:hanging="283"/>
        <w:jc w:val="left"/>
        <w:rPr/>
      </w:pPr>
      <w:r w:rsidDel="00000000" w:rsidR="00000000" w:rsidRPr="00000000">
        <w:rPr>
          <w:rFonts w:ascii="Times New Roman" w:cs="Times New Roman" w:eastAsia="Times New Roman" w:hAnsi="Times New Roman"/>
          <w:b w:val="0"/>
          <w:bCs w:val="0"/>
          <w:i w:val="0"/>
          <w:iCs w:val="0"/>
          <w:color w:val="181818"/>
          <w:sz w:val="19"/>
          <w:szCs w:val="19"/>
          <w:rtl w:val="0"/>
        </w:rPr>
        <w:t xml:space="preserve">Korab, P. FinVADER lexicons (SentiBigNomics / Henry path used in FINS3645 Week 9). Apache 2.0; vendored under src/vendor/course_finvader.</w:t>
      </w:r>
      <w:r w:rsidDel="00000000" w:rsidR="00000000" w:rsidRPr="00000000">
        <w:rPr>
          <w:rtl w:val="0"/>
        </w:rPr>
      </w:r>
    </w:p>
    <w:p w:rsidR="00000000" w:rsidDel="00000000" w:rsidP="00000000" w:rsidRDefault="00000000" w:rsidRPr="00000000" w14:paraId="00000172">
      <w:pPr>
        <w:spacing w:after="100" w:before="0" w:line="269" w:lineRule="auto"/>
        <w:ind w:left="283" w:hanging="283"/>
        <w:jc w:val="left"/>
        <w:rPr/>
      </w:pPr>
      <w:r w:rsidDel="00000000" w:rsidR="00000000" w:rsidRPr="00000000">
        <w:rPr>
          <w:rFonts w:ascii="Times New Roman" w:cs="Times New Roman" w:eastAsia="Times New Roman" w:hAnsi="Times New Roman"/>
          <w:b w:val="0"/>
          <w:bCs w:val="0"/>
          <w:i w:val="0"/>
          <w:iCs w:val="0"/>
          <w:color w:val="181818"/>
          <w:sz w:val="19"/>
          <w:szCs w:val="19"/>
          <w:rtl w:val="0"/>
        </w:rPr>
        <w:t xml:space="preserve">Loughran, T., and McDonald, B. (2011). When is a liability not a liability? </w:t>
      </w:r>
      <w:r w:rsidDel="00000000" w:rsidR="00000000" w:rsidRPr="00000000">
        <w:rPr>
          <w:rFonts w:ascii="Times New Roman" w:cs="Times New Roman" w:eastAsia="Times New Roman" w:hAnsi="Times New Roman"/>
          <w:b w:val="0"/>
          <w:bCs w:val="0"/>
          <w:i w:val="1"/>
          <w:iCs w:val="1"/>
          <w:color w:val="181818"/>
          <w:sz w:val="19"/>
          <w:szCs w:val="19"/>
          <w:rtl w:val="0"/>
        </w:rPr>
        <w:t xml:space="preserve">The Journal of Finance</w:t>
      </w:r>
      <w:r w:rsidDel="00000000" w:rsidR="00000000" w:rsidRPr="00000000">
        <w:rPr>
          <w:rFonts w:ascii="Times New Roman" w:cs="Times New Roman" w:eastAsia="Times New Roman" w:hAnsi="Times New Roman"/>
          <w:b w:val="0"/>
          <w:bCs w:val="0"/>
          <w:i w:val="0"/>
          <w:iCs w:val="0"/>
          <w:color w:val="181818"/>
          <w:sz w:val="19"/>
          <w:szCs w:val="19"/>
          <w:rtl w:val="0"/>
        </w:rPr>
        <w:t xml:space="preserve">, 66(1), 35 to 65.</w:t>
      </w:r>
      <w:r w:rsidDel="00000000" w:rsidR="00000000" w:rsidRPr="00000000">
        <w:rPr>
          <w:rtl w:val="0"/>
        </w:rPr>
      </w:r>
    </w:p>
    <w:p w:rsidR="00000000" w:rsidDel="00000000" w:rsidP="00000000" w:rsidRDefault="00000000" w:rsidRPr="00000000" w14:paraId="00000173">
      <w:pPr>
        <w:spacing w:after="100" w:before="0" w:line="269" w:lineRule="auto"/>
        <w:ind w:left="283" w:hanging="283"/>
        <w:jc w:val="left"/>
        <w:rPr/>
      </w:pPr>
      <w:r w:rsidDel="00000000" w:rsidR="00000000" w:rsidRPr="00000000">
        <w:rPr>
          <w:rFonts w:ascii="Times New Roman" w:cs="Times New Roman" w:eastAsia="Times New Roman" w:hAnsi="Times New Roman"/>
          <w:b w:val="0"/>
          <w:bCs w:val="0"/>
          <w:i w:val="0"/>
          <w:iCs w:val="0"/>
          <w:color w:val="181818"/>
          <w:sz w:val="19"/>
          <w:szCs w:val="19"/>
          <w:rtl w:val="0"/>
        </w:rPr>
        <w:t xml:space="preserve">Markowitz, H. (1952). Portfolio selection. </w:t>
      </w:r>
      <w:r w:rsidDel="00000000" w:rsidR="00000000" w:rsidRPr="00000000">
        <w:rPr>
          <w:rFonts w:ascii="Times New Roman" w:cs="Times New Roman" w:eastAsia="Times New Roman" w:hAnsi="Times New Roman"/>
          <w:b w:val="0"/>
          <w:bCs w:val="0"/>
          <w:i w:val="1"/>
          <w:iCs w:val="1"/>
          <w:color w:val="181818"/>
          <w:sz w:val="19"/>
          <w:szCs w:val="19"/>
          <w:rtl w:val="0"/>
        </w:rPr>
        <w:t xml:space="preserve">The Journal of Finance</w:t>
      </w:r>
      <w:r w:rsidDel="00000000" w:rsidR="00000000" w:rsidRPr="00000000">
        <w:rPr>
          <w:rFonts w:ascii="Times New Roman" w:cs="Times New Roman" w:eastAsia="Times New Roman" w:hAnsi="Times New Roman"/>
          <w:b w:val="0"/>
          <w:bCs w:val="0"/>
          <w:i w:val="0"/>
          <w:iCs w:val="0"/>
          <w:color w:val="181818"/>
          <w:sz w:val="19"/>
          <w:szCs w:val="19"/>
          <w:rtl w:val="0"/>
        </w:rPr>
        <w:t xml:space="preserve">, 7(1), 77 to 91.</w:t>
      </w:r>
      <w:r w:rsidDel="00000000" w:rsidR="00000000" w:rsidRPr="00000000">
        <w:rPr>
          <w:rtl w:val="0"/>
        </w:rPr>
      </w:r>
    </w:p>
    <w:p w:rsidR="00000000" w:rsidDel="00000000" w:rsidP="00000000" w:rsidRDefault="00000000" w:rsidRPr="00000000" w14:paraId="00000174">
      <w:pPr>
        <w:spacing w:after="100" w:before="0" w:line="269" w:lineRule="auto"/>
        <w:ind w:left="283" w:hanging="283"/>
        <w:jc w:val="left"/>
        <w:rPr/>
      </w:pPr>
      <w:r w:rsidDel="00000000" w:rsidR="00000000" w:rsidRPr="00000000">
        <w:rPr>
          <w:rFonts w:ascii="Times New Roman" w:cs="Times New Roman" w:eastAsia="Times New Roman" w:hAnsi="Times New Roman"/>
          <w:b w:val="0"/>
          <w:bCs w:val="0"/>
          <w:i w:val="0"/>
          <w:iCs w:val="0"/>
          <w:color w:val="181818"/>
          <w:sz w:val="19"/>
          <w:szCs w:val="19"/>
          <w:rtl w:val="0"/>
        </w:rPr>
        <w:t xml:space="preserve">FINS3645 Project 2026 brief and data access helper; Kaiyuan Lan, Project A Signal Harbour / Attention Pulse (2026).</w:t>
      </w:r>
      <w:r w:rsidDel="00000000" w:rsidR="00000000" w:rsidRPr="00000000">
        <w:rPr>
          <w:rtl w:val="0"/>
        </w:rPr>
      </w:r>
    </w:p>
    <w:sectPr>
      <w:headerReference r:id="rId18" w:type="default"/>
      <w:footerReference r:id="rId19" w:type="default"/>
      <w:pgSz w:h="16838" w:w="11906" w:orient="portrait"/>
      <w:pgMar w:bottom="935" w:top="1049" w:left="1134" w:right="1134" w:header="454" w:footer="3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81818"/>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8"/>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81818"/>
        <w:sz w:val="16"/>
        <w:szCs w:val="16"/>
        <w:u w:val="none"/>
        <w:shd w:fill="auto" w:val="clear"/>
        <w:vertAlign w:val="baseline"/>
        <w:rtl w:val="0"/>
      </w:rPr>
      <w:t xml:space="preserve">Kaiyuan Lan (z5444541)  |  FINS3645 Project B</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181818"/>
        <w:sz w:val="16"/>
        <w:szCs w:val="16"/>
        <w:u w:val="none"/>
        <w:shd w:fill="auto" w:val="clear"/>
        <w:vertAlign w:val="baseline"/>
        <w:rtl w:val="0"/>
      </w:rPr>
      <w:t xml:space="preserve">Signal Harbour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97" w:hanging="169.99999999999997"/>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image" Target="media/image9.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8.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gMbjDkINydkeQNHJ+lIwBEsP/A==">CgMxLjA4AHIhMVpsN3Q1UUdLZzNzSmxmeWIwRVlvdGtMOWN0RVNyZ2Vo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Kaiyuan Lan (z5444541)</dc:creator>
</cp:coreProperties>
</file>