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24273" w14:textId="77777777" w:rsidR="00675559" w:rsidRPr="00675559" w:rsidRDefault="00675559" w:rsidP="00675559">
      <w:pPr>
        <w:ind w:firstLine="720"/>
      </w:pPr>
      <w:r w:rsidRPr="00675559">
        <w:t>The data illustrated in this dashboard captures United States unemployment rates at both the state and county levels between January 1, 2019, and December 31, 2023. This dataset is particularly compelling as it spans the period just before the COVID-19 pandemic, the height of its economic impact, and the subsequent years of recovery. It provides an opportunity to analyze how different regions and industries were affected and how they have rebounded post-pandemic.</w:t>
      </w:r>
    </w:p>
    <w:p w14:paraId="593BF35E" w14:textId="77777777" w:rsidR="00675559" w:rsidRPr="00675559" w:rsidRDefault="00675559" w:rsidP="00675559">
      <w:pPr>
        <w:ind w:firstLine="720"/>
      </w:pPr>
      <w:r w:rsidRPr="00675559">
        <w:t>Exploration of the dashboard reveals that counties reliant on travel and tourism experienced the most dramatic changes in unemployment during the pandemic. For instance:</w:t>
      </w:r>
    </w:p>
    <w:p w14:paraId="6BF442D3" w14:textId="163AB1BB" w:rsidR="00675559" w:rsidRPr="00675559" w:rsidRDefault="00675559" w:rsidP="00675559">
      <w:pPr>
        <w:numPr>
          <w:ilvl w:val="0"/>
          <w:numId w:val="3"/>
        </w:numPr>
      </w:pPr>
      <w:r w:rsidRPr="00675559">
        <w:rPr>
          <w:b/>
          <w:bCs/>
        </w:rPr>
        <w:t>Sevier County, Tennessee</w:t>
      </w:r>
      <w:r w:rsidRPr="00675559">
        <w:t xml:space="preserve">, home to major attractions like the Great Smoky Mountains and Dollywood, saw its unemployment rate rise sharply from 4.0% to 29.3% between March and April 2020. This spike coincided with the implementation of </w:t>
      </w:r>
      <w:hyperlink r:id="rId5" w:history="1">
        <w:r w:rsidRPr="00A678E1">
          <w:rPr>
            <w:rStyle w:val="Hyperlink"/>
          </w:rPr>
          <w:t>“Safer at Home guidelines” and executive order No. 17 calling on businesses to use alternative business models</w:t>
        </w:r>
      </w:hyperlink>
      <w:r w:rsidRPr="00675559">
        <w:t>, which restricted business operations.</w:t>
      </w:r>
    </w:p>
    <w:p w14:paraId="14B48527" w14:textId="0031CABC" w:rsidR="00675559" w:rsidRPr="00675559" w:rsidRDefault="00675559" w:rsidP="00675559">
      <w:pPr>
        <w:numPr>
          <w:ilvl w:val="0"/>
          <w:numId w:val="3"/>
        </w:numPr>
      </w:pPr>
      <w:r w:rsidRPr="00675559">
        <w:rPr>
          <w:b/>
          <w:bCs/>
        </w:rPr>
        <w:t>Clark County, Nevada (Las Vegas)</w:t>
      </w:r>
      <w:r w:rsidRPr="00675559">
        <w:t>, also heavily dependent on tourism, experienced a rise in unemployment from 8.0% to 34.0% during the same period, following the county's</w:t>
      </w:r>
      <w:r w:rsidR="00387933">
        <w:t xml:space="preserve"> </w:t>
      </w:r>
      <w:hyperlink r:id="rId6" w:history="1">
        <w:r w:rsidR="00387933">
          <w:rPr>
            <w:rStyle w:val="Hyperlink"/>
          </w:rPr>
          <w:t>Emergency Declaration</w:t>
        </w:r>
      </w:hyperlink>
      <w:r w:rsidR="00387933">
        <w:t xml:space="preserve"> </w:t>
      </w:r>
      <w:r w:rsidRPr="00675559">
        <w:t>on March 15, 2020.</w:t>
      </w:r>
    </w:p>
    <w:p w14:paraId="6C64DD3E" w14:textId="4FA9FB53" w:rsidR="00675559" w:rsidRPr="00675559" w:rsidRDefault="00675559" w:rsidP="00675559">
      <w:pPr>
        <w:numPr>
          <w:ilvl w:val="0"/>
          <w:numId w:val="3"/>
        </w:numPr>
      </w:pPr>
      <w:r w:rsidRPr="00675559">
        <w:rPr>
          <w:b/>
          <w:bCs/>
        </w:rPr>
        <w:t>Orleans Parish, Louisiana (New Orleans)</w:t>
      </w:r>
      <w:r w:rsidRPr="00675559">
        <w:t xml:space="preserve">, known for its cultural events and hospitality industry, saw unemployment increase from 6.8% to 20.2% after </w:t>
      </w:r>
      <w:hyperlink r:id="rId7" w:history="1">
        <w:r w:rsidR="00387933" w:rsidRPr="00DA4CC5">
          <w:rPr>
            <w:rStyle w:val="Hyperlink"/>
          </w:rPr>
          <w:t>Louisiana’s Stay at Home Order</w:t>
        </w:r>
      </w:hyperlink>
      <w:r w:rsidR="00387933">
        <w:t xml:space="preserve"> was</w:t>
      </w:r>
      <w:r w:rsidRPr="00675559">
        <w:t xml:space="preserve"> issued on March 23, 2020.</w:t>
      </w:r>
    </w:p>
    <w:p w14:paraId="74887693" w14:textId="77777777" w:rsidR="00675559" w:rsidRPr="00675559" w:rsidRDefault="00675559" w:rsidP="00675559">
      <w:pPr>
        <w:ind w:firstLine="720"/>
      </w:pPr>
      <w:r w:rsidRPr="00675559">
        <w:t>The dashboard also demonstrates a significant recovery in unemployment rates by December 2023, with many counties approaching or surpassing pre-pandemic levels:</w:t>
      </w:r>
    </w:p>
    <w:p w14:paraId="3239EAB3" w14:textId="77777777" w:rsidR="00675559" w:rsidRPr="00675559" w:rsidRDefault="00675559" w:rsidP="00675559">
      <w:pPr>
        <w:numPr>
          <w:ilvl w:val="0"/>
          <w:numId w:val="4"/>
        </w:numPr>
      </w:pPr>
      <w:r w:rsidRPr="00675559">
        <w:t>Sevier County’s unemployment rate declined to 2.4% in December 2023, compared to 2.7% in December 2019.</w:t>
      </w:r>
    </w:p>
    <w:p w14:paraId="72EDB442" w14:textId="77777777" w:rsidR="00675559" w:rsidRPr="00675559" w:rsidRDefault="00675559" w:rsidP="00675559">
      <w:pPr>
        <w:numPr>
          <w:ilvl w:val="0"/>
          <w:numId w:val="4"/>
        </w:numPr>
      </w:pPr>
      <w:r w:rsidRPr="00675559">
        <w:t>Clark County’s unemployment rate improved to 5.4% in December 2023, close to its December 2019 rate of 4.1%.</w:t>
      </w:r>
    </w:p>
    <w:p w14:paraId="24294303" w14:textId="42E65DB0" w:rsidR="00675559" w:rsidRPr="00675559" w:rsidRDefault="00675559" w:rsidP="00675559">
      <w:pPr>
        <w:numPr>
          <w:ilvl w:val="0"/>
          <w:numId w:val="4"/>
        </w:numPr>
      </w:pPr>
      <w:r w:rsidRPr="00675559">
        <w:t xml:space="preserve">Orleans Parish's unemployment rate returned to 4.4% </w:t>
      </w:r>
      <w:r w:rsidR="00387933">
        <w:t xml:space="preserve"> in</w:t>
      </w:r>
      <w:r w:rsidRPr="00675559">
        <w:t xml:space="preserve"> December 2023</w:t>
      </w:r>
      <w:r w:rsidR="00387933">
        <w:t>, the rate it was in December 2019</w:t>
      </w:r>
      <w:r w:rsidRPr="00675559">
        <w:t>.</w:t>
      </w:r>
    </w:p>
    <w:p w14:paraId="4F233A27" w14:textId="01098CD4" w:rsidR="00675559" w:rsidRDefault="00675559" w:rsidP="00387933">
      <w:pPr>
        <w:ind w:firstLine="720"/>
      </w:pPr>
      <w:r w:rsidRPr="00675559">
        <w:rPr>
          <w:b/>
          <w:bCs/>
        </w:rPr>
        <w:t>Conclusion:</w:t>
      </w:r>
      <w:r w:rsidRPr="00675559">
        <w:t xml:space="preserve"> The dashboard provides valuable insights into the economic effects of the COVID-19 pandemic and the subsequent recovery. It underscores how counties with tourism-dependent economies faced the most significant challenges during the pandemic but have largely recovered by the end of 2023. While some counties, like Orleans Parish, have returned to pre-pandemic levels, others, such as Clark County, continue to face slightly elevated unemployment rates. This analysis highlights the resilience of local economies and raises questions about the long-term impacts of economic disruptions on different industries and regions. Future analyses could explore whether these trends align with broader national patterns or if certain factors, such as state policies or federal aid, influenced recovery trajectories.</w:t>
      </w:r>
    </w:p>
    <w:sectPr w:rsidR="00675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2CF"/>
    <w:multiLevelType w:val="hybridMultilevel"/>
    <w:tmpl w:val="4FBA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F470B"/>
    <w:multiLevelType w:val="multilevel"/>
    <w:tmpl w:val="79E8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71565"/>
    <w:multiLevelType w:val="hybridMultilevel"/>
    <w:tmpl w:val="EB56E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C43201B"/>
    <w:multiLevelType w:val="multilevel"/>
    <w:tmpl w:val="D1C8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718449">
    <w:abstractNumId w:val="2"/>
  </w:num>
  <w:num w:numId="2" w16cid:durableId="725615365">
    <w:abstractNumId w:val="0"/>
  </w:num>
  <w:num w:numId="3" w16cid:durableId="2122336414">
    <w:abstractNumId w:val="3"/>
  </w:num>
  <w:num w:numId="4" w16cid:durableId="299727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9EF"/>
    <w:rsid w:val="000A4875"/>
    <w:rsid w:val="000C598B"/>
    <w:rsid w:val="001A2A12"/>
    <w:rsid w:val="00236D99"/>
    <w:rsid w:val="00387933"/>
    <w:rsid w:val="003B228A"/>
    <w:rsid w:val="00415B46"/>
    <w:rsid w:val="004A5F07"/>
    <w:rsid w:val="004D46B9"/>
    <w:rsid w:val="004F543D"/>
    <w:rsid w:val="005269FE"/>
    <w:rsid w:val="00536A65"/>
    <w:rsid w:val="005F1B12"/>
    <w:rsid w:val="00675559"/>
    <w:rsid w:val="0072635A"/>
    <w:rsid w:val="009C17D8"/>
    <w:rsid w:val="00A678E1"/>
    <w:rsid w:val="00B17B72"/>
    <w:rsid w:val="00B439EF"/>
    <w:rsid w:val="00B8558C"/>
    <w:rsid w:val="00BF44AD"/>
    <w:rsid w:val="00DA4CC5"/>
    <w:rsid w:val="00EE0E33"/>
    <w:rsid w:val="00FC0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06EC1"/>
  <w15:chartTrackingRefBased/>
  <w15:docId w15:val="{7FF8D150-1C25-4D61-B01F-A6C355B9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9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9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9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9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9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9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9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9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9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9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9EF"/>
    <w:rPr>
      <w:rFonts w:eastAsiaTheme="majorEastAsia" w:cstheme="majorBidi"/>
      <w:color w:val="272727" w:themeColor="text1" w:themeTint="D8"/>
    </w:rPr>
  </w:style>
  <w:style w:type="paragraph" w:styleId="Title">
    <w:name w:val="Title"/>
    <w:basedOn w:val="Normal"/>
    <w:next w:val="Normal"/>
    <w:link w:val="TitleChar"/>
    <w:uiPriority w:val="10"/>
    <w:qFormat/>
    <w:rsid w:val="00B43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9EF"/>
    <w:pPr>
      <w:spacing w:before="160"/>
      <w:jc w:val="center"/>
    </w:pPr>
    <w:rPr>
      <w:i/>
      <w:iCs/>
      <w:color w:val="404040" w:themeColor="text1" w:themeTint="BF"/>
    </w:rPr>
  </w:style>
  <w:style w:type="character" w:customStyle="1" w:styleId="QuoteChar">
    <w:name w:val="Quote Char"/>
    <w:basedOn w:val="DefaultParagraphFont"/>
    <w:link w:val="Quote"/>
    <w:uiPriority w:val="29"/>
    <w:rsid w:val="00B439EF"/>
    <w:rPr>
      <w:i/>
      <w:iCs/>
      <w:color w:val="404040" w:themeColor="text1" w:themeTint="BF"/>
    </w:rPr>
  </w:style>
  <w:style w:type="paragraph" w:styleId="ListParagraph">
    <w:name w:val="List Paragraph"/>
    <w:basedOn w:val="Normal"/>
    <w:uiPriority w:val="34"/>
    <w:qFormat/>
    <w:rsid w:val="00B439EF"/>
    <w:pPr>
      <w:ind w:left="720"/>
      <w:contextualSpacing/>
    </w:pPr>
  </w:style>
  <w:style w:type="character" w:styleId="IntenseEmphasis">
    <w:name w:val="Intense Emphasis"/>
    <w:basedOn w:val="DefaultParagraphFont"/>
    <w:uiPriority w:val="21"/>
    <w:qFormat/>
    <w:rsid w:val="00B439EF"/>
    <w:rPr>
      <w:i/>
      <w:iCs/>
      <w:color w:val="2F5496" w:themeColor="accent1" w:themeShade="BF"/>
    </w:rPr>
  </w:style>
  <w:style w:type="paragraph" w:styleId="IntenseQuote">
    <w:name w:val="Intense Quote"/>
    <w:basedOn w:val="Normal"/>
    <w:next w:val="Normal"/>
    <w:link w:val="IntenseQuoteChar"/>
    <w:uiPriority w:val="30"/>
    <w:qFormat/>
    <w:rsid w:val="00B439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9EF"/>
    <w:rPr>
      <w:i/>
      <w:iCs/>
      <w:color w:val="2F5496" w:themeColor="accent1" w:themeShade="BF"/>
    </w:rPr>
  </w:style>
  <w:style w:type="character" w:styleId="IntenseReference">
    <w:name w:val="Intense Reference"/>
    <w:basedOn w:val="DefaultParagraphFont"/>
    <w:uiPriority w:val="32"/>
    <w:qFormat/>
    <w:rsid w:val="00B439EF"/>
    <w:rPr>
      <w:b/>
      <w:bCs/>
      <w:smallCaps/>
      <w:color w:val="2F5496" w:themeColor="accent1" w:themeShade="BF"/>
      <w:spacing w:val="5"/>
    </w:rPr>
  </w:style>
  <w:style w:type="character" w:styleId="Hyperlink">
    <w:name w:val="Hyperlink"/>
    <w:basedOn w:val="DefaultParagraphFont"/>
    <w:uiPriority w:val="99"/>
    <w:unhideWhenUsed/>
    <w:rsid w:val="00A678E1"/>
    <w:rPr>
      <w:color w:val="0563C1" w:themeColor="hyperlink"/>
      <w:u w:val="single"/>
    </w:rPr>
  </w:style>
  <w:style w:type="character" w:styleId="UnresolvedMention">
    <w:name w:val="Unresolved Mention"/>
    <w:basedOn w:val="DefaultParagraphFont"/>
    <w:uiPriority w:val="99"/>
    <w:semiHidden/>
    <w:unhideWhenUsed/>
    <w:rsid w:val="00A678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53048">
      <w:bodyDiv w:val="1"/>
      <w:marLeft w:val="0"/>
      <w:marRight w:val="0"/>
      <w:marTop w:val="0"/>
      <w:marBottom w:val="0"/>
      <w:divBdr>
        <w:top w:val="none" w:sz="0" w:space="0" w:color="auto"/>
        <w:left w:val="none" w:sz="0" w:space="0" w:color="auto"/>
        <w:bottom w:val="none" w:sz="0" w:space="0" w:color="auto"/>
        <w:right w:val="none" w:sz="0" w:space="0" w:color="auto"/>
      </w:divBdr>
    </w:div>
    <w:div w:id="211629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ate.gov/wp-content/uploads/2020/03/2020-03-20-Notice-Louisiana-Stay-Home-Orde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arkcountynv.gov/news_detail_T28_R704.php" TargetMode="External"/><Relationship Id="rId5" Type="http://schemas.openxmlformats.org/officeDocument/2006/relationships/hyperlink" Target="https://www.tn.gov/governor/covid-19/covid19timeline.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1</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Jay</dc:creator>
  <cp:keywords/>
  <dc:description/>
  <cp:lastModifiedBy>Spencer, Jay</cp:lastModifiedBy>
  <cp:revision>3</cp:revision>
  <dcterms:created xsi:type="dcterms:W3CDTF">2025-01-12T23:03:00Z</dcterms:created>
  <dcterms:modified xsi:type="dcterms:W3CDTF">2025-01-13T04:03:00Z</dcterms:modified>
</cp:coreProperties>
</file>