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FD002">
      <w:pPr>
        <w:ind w:left="-28" w:leftChars="-95" w:hanging="171" w:hangingChars="95"/>
      </w:pPr>
      <w:r>
        <w:rPr>
          <w:rFonts w:hint="eastAsia" w:ascii="仿宋" w:hAnsi="仿宋" w:eastAsia="仿宋" w:cs="仿宋"/>
          <w:sz w:val="18"/>
          <w:szCs w:val="21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-396240</wp:posOffset>
            </wp:positionV>
            <wp:extent cx="2277110" cy="641985"/>
            <wp:effectExtent l="0" t="0" r="0" b="0"/>
            <wp:wrapNone/>
            <wp:docPr id="7" name="图片 7" descr="智库图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智库图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文道潮黑体" w:hAnsi="文道潮黑体" w:eastAsia="文道潮黑体" w:cs="文道潮黑体"/>
          <w:lang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-865505</wp:posOffset>
            </wp:positionH>
            <wp:positionV relativeFrom="paragraph">
              <wp:posOffset>-926465</wp:posOffset>
            </wp:positionV>
            <wp:extent cx="7583805" cy="10704195"/>
            <wp:effectExtent l="0" t="0" r="10795" b="14605"/>
            <wp:wrapNone/>
            <wp:docPr id="1" name="图片 6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未标题-1"/>
                    <pic:cNvPicPr>
                      <a:picLocks noChangeAspect="1"/>
                    </pic:cNvPicPr>
                  </pic:nvPicPr>
                  <pic:blipFill>
                    <a:blip r:embed="rId10"/>
                    <a:srcRect b="2751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583805" cy="1070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F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240" w:lineRule="auto"/>
        <w:ind w:left="-183" w:leftChars="-94" w:right="0" w:rightChars="0" w:hanging="14" w:firstLineChars="0"/>
        <w:jc w:val="both"/>
        <w:textAlignment w:val="auto"/>
        <w:rPr>
          <w:rFonts w:hint="default" w:ascii="微软雅黑" w:hAnsi="微软雅黑" w:eastAsia="微软雅黑" w:cs="微软雅黑"/>
          <w:color w:val="01A3E4"/>
          <w:sz w:val="72"/>
          <w:szCs w:val="72"/>
          <w:lang w:val="en-US" w:eastAsia="zh-CN"/>
        </w:rPr>
      </w:pPr>
      <w:r>
        <w:rPr>
          <w:rFonts w:hint="eastAsia" w:ascii="文道潮黑体" w:hAnsi="文道潮黑体" w:eastAsia="文道潮黑体" w:cs="文道潮黑体"/>
          <w:color w:val="01A3E4"/>
          <w:sz w:val="72"/>
          <w:szCs w:val="72"/>
          <w:lang w:val="en-US" w:eastAsia="zh-CN"/>
        </w:rPr>
        <w:t>职教周刊</w:t>
      </w:r>
      <w:r>
        <w:rPr>
          <w:rFonts w:hint="eastAsia" w:ascii="文道潮黑体" w:hAnsi="文道潮黑体" w:eastAsia="文道潮黑体" w:cs="文道潮黑体"/>
          <w:color w:val="01A3E4"/>
          <w:sz w:val="36"/>
          <w:szCs w:val="36"/>
          <w:lang w:val="en-US" w:eastAsia="zh-CN"/>
        </w:rPr>
        <w:t>（高职）</w:t>
      </w:r>
    </w:p>
    <w:p w14:paraId="16CDE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16" w:lineRule="auto"/>
        <w:ind w:left="-183" w:leftChars="-94" w:right="0" w:rightChars="0" w:hanging="14" w:firstLineChars="0"/>
        <w:jc w:val="both"/>
        <w:textAlignment w:val="auto"/>
        <w:rPr>
          <w:rFonts w:hint="eastAsia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{{ year }}年 第{{ issue }}期 （{{ date_range }}）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 xml:space="preserve">  总第 </w:t>
      </w: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{{ total_issue }}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 xml:space="preserve"> 期</w:t>
      </w:r>
    </w:p>
    <w:p w14:paraId="0FEF3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-183" w:leftChars="-94" w:right="0" w:rightChars="0" w:hanging="14" w:firstLineChars="0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5346CB46">
      <w:pPr>
        <w:pStyle w:val="2"/>
        <w:ind w:left="-196" w:leftChars="-95" w:hanging="3" w:firstLineChars="0"/>
        <w:rPr>
          <w:rFonts w:hint="eastAsia"/>
          <w:lang w:val="en-US" w:eastAsia="zh-CN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080" w:bottom="1440" w:left="1080" w:header="567" w:footer="992" w:gutter="283"/>
          <w:pgNumType w:fmt="decimal"/>
          <w:cols w:space="425" w:num="1"/>
          <w:titlePg/>
          <w:rtlGutter w:val="0"/>
          <w:docGrid w:type="lines" w:linePitch="312" w:charSpace="0"/>
        </w:sectPr>
      </w:pPr>
    </w:p>
    <w:p w14:paraId="10BF9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-15" w:leftChars="-7" w:firstLine="16" w:firstLineChars="8"/>
        <w:textAlignment w:val="auto"/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声明</w:t>
      </w:r>
    </w:p>
    <w:p w14:paraId="35B25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刊主要内容由AI职教大脑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vertAlign w:val="superscript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©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进行信息采集、处理及加工而自动生成。原始信息主要源自互联网或其他公开信息，以及高职发展智库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vertAlign w:val="superscript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©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研究团队的部分可公开成果或第三方投稿，原有权属归相关权利人所有。本刊不对原始信息的真实性、准确性、完整性、时效性等作任何明示或默示的保证。</w:t>
      </w:r>
    </w:p>
    <w:p w14:paraId="35F4A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本刊版权为高职发展智库所有，未经许可，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任何方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不得以任何方式翻版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如进行引用、刊发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转载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的，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须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注明出处为“高职发展智库”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或“职教周刊”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，且不得对本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刊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进行任何有悖原意的引用、删节和修改。</w:t>
      </w:r>
    </w:p>
    <w:p w14:paraId="3A91E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本刊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内容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不构成我们的任何建议，亦不为因使用本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刊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或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本刊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所载内容引起的任何损失承担任何责任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</w:p>
    <w:p w14:paraId="2E948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如果想了解本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刊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更多信息，可拨打+86 28 86241018，或发送电邮联系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</w:p>
    <w:p w14:paraId="6539F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5F170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责编</w:t>
      </w:r>
    </w:p>
    <w:p w14:paraId="33E7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小琼  gzfzzk@edac.com.cn</w:t>
      </w:r>
    </w:p>
    <w:p w14:paraId="08157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default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出品 / 主办</w:t>
      </w:r>
    </w:p>
    <w:p w14:paraId="460F8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default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高职发展智库 / 绎达股份（</w:t>
      </w:r>
      <w:r>
        <w:rPr>
          <w:rFonts w:hint="eastAsia" w:ascii="仿宋" w:hAnsi="仿宋" w:eastAsia="仿宋" w:cs="仿宋"/>
          <w:color w:val="404040" w:themeColor="text1" w:themeTint="BF"/>
          <w:sz w:val="16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872494.NQ</w:t>
      </w: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</w:t>
      </w:r>
    </w:p>
    <w:p w14:paraId="0D389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404040" w:themeColor="text1" w:themeTint="BF"/>
          <w:sz w:val="20"/>
          <w:szCs w:val="22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技术支持</w:t>
      </w:r>
    </w:p>
    <w:p w14:paraId="0C620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eastAsia" w:ascii="楷体" w:hAnsi="楷体" w:eastAsia="楷体" w:cs="楷体"/>
          <w:color w:val="808080" w:themeColor="text1" w:themeTint="80"/>
          <w:spacing w:val="7"/>
          <w:kern w:val="2"/>
          <w:sz w:val="15"/>
          <w:szCs w:val="15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仿宋" w:hAnsi="仿宋" w:eastAsia="仿宋" w:cs="仿宋"/>
          <w:color w:val="404040" w:themeColor="text1" w:themeTint="BF"/>
          <w:sz w:val="18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索安赛数据(成都)有限公司</w:t>
      </w:r>
    </w:p>
    <w:p w14:paraId="26017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Lines="50" w:line="312" w:lineRule="auto"/>
        <w:textAlignment w:val="auto"/>
        <w:rPr>
          <w:rFonts w:hint="eastAsia" w:ascii="楷体" w:hAnsi="楷体" w:eastAsia="楷体" w:cs="楷体"/>
          <w:color w:val="808080" w:themeColor="text1" w:themeTint="80"/>
          <w:spacing w:val="7"/>
          <w:kern w:val="2"/>
          <w:sz w:val="15"/>
          <w:szCs w:val="15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sdt>
      <w:sdtPr>
        <w:rPr>
          <w:rFonts w:hint="eastAsia" w:ascii="仿宋" w:hAnsi="仿宋" w:eastAsia="仿宋" w:cs="仿宋"/>
          <w:b/>
          <w:bCs/>
          <w:color w:val="01A3E4"/>
          <w:kern w:val="2"/>
          <w:sz w:val="28"/>
          <w:szCs w:val="36"/>
          <w:lang w:val="en-US" w:eastAsia="zh-CN" w:bidi="ar-SA"/>
        </w:rPr>
        <w:id w:val="618508529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/>
          <w:bCs/>
          <w:color w:val="000000" w:themeColor="text1"/>
          <w:spacing w:val="7"/>
          <w:kern w:val="2"/>
          <w:sz w:val="18"/>
          <w:szCs w:val="18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08BAC1A9">
          <w:pPr>
            <w:pStyle w:val="1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b/>
              <w:bCs/>
              <w:color w:val="01A3E4"/>
              <w:sz w:val="28"/>
              <w:szCs w:val="28"/>
              <w:lang w:val="en-US" w:eastAsia="zh-CN"/>
            </w:rPr>
          </w:pPr>
          <w:r>
            <w:rPr>
              <w:rFonts w:hint="eastAsia" w:ascii="仿宋" w:hAnsi="仿宋" w:eastAsia="仿宋" w:cs="仿宋"/>
              <w:b/>
              <w:bCs/>
              <w:color w:val="01A3E4"/>
              <w:sz w:val="32"/>
              <w:szCs w:val="32"/>
              <w:lang w:val="en-US" w:eastAsia="zh-CN"/>
            </w:rPr>
            <w:t>导读</w:t>
          </w:r>
        </w:p>
        <w:p w14:paraId="1B0C2D4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textAlignment w:val="auto"/>
            <w:rPr>
              <w:rFonts w:hint="default" w:ascii="仿宋" w:hAnsi="仿宋" w:eastAsia="仿宋" w:cs="仿宋"/>
              <w:b/>
              <w:bCs/>
              <w:color w:val="01A3E4"/>
              <w:sz w:val="22"/>
              <w:szCs w:val="22"/>
              <w:lang w:val="en-US"/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instrText xml:space="preserve">TOC \o "1-1" \h \u </w:instrText>
          </w: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t>智库专题</w:t>
          </w:r>
        </w:p>
        <w:p w14:paraId="1777DC61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for item in section_zhiku %}{{item.title}}</w:t>
          </w:r>
        </w:p>
        <w:p w14:paraId="1B5551EB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{%endfor%}</w:t>
          </w:r>
        </w:p>
        <w:p w14:paraId="2CB01EB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ind w:left="0" w:leftChars="0" w:hanging="6" w:firstLineChars="0"/>
            <w:textAlignment w:val="auto"/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1"/>
              <w:szCs w:val="21"/>
              <w:lang w:val="en-US" w:eastAsia="zh-CN"/>
            </w:rPr>
          </w:pP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instrText xml:space="preserve"> HYPERLINK \l _Toc2137905155 </w:instrText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t>国家部委</w:t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end"/>
          </w:r>
        </w:p>
        <w:p w14:paraId="22EBD946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for item in section_national %}{{ item.title }}</w:t>
          </w:r>
        </w:p>
        <w:p w14:paraId="3CC12696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endfor %}</w:t>
          </w:r>
        </w:p>
        <w:p w14:paraId="29FC4295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textAlignment w:val="auto"/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</w:pP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instrText xml:space="preserve"> HYPERLINK \l _Toc1589985171 </w:instrText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t>省市地区</w:t>
          </w: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fldChar w:fldCharType="end"/>
          </w:r>
        </w:p>
        <w:p w14:paraId="09D0C72C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for item in section_provincial %}{{ item.title }}</w:t>
          </w:r>
        </w:p>
        <w:p w14:paraId="035C0A25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ind w:right="-466" w:rightChars="-222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endfor %}</w:t>
          </w:r>
        </w:p>
        <w:p w14:paraId="4A12BAA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ind w:left="0" w:leftChars="0" w:hanging="6" w:firstLineChars="0"/>
            <w:textAlignment w:val="auto"/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</w:pPr>
          <w:r>
            <w:rPr>
              <w:rFonts w:hint="eastAsia" w:ascii="仿宋" w:hAnsi="仿宋" w:eastAsia="仿宋" w:cs="仿宋"/>
              <w:b/>
              <w:bCs/>
              <w:color w:val="01A3E4"/>
              <w:spacing w:val="7"/>
              <w:sz w:val="22"/>
              <w:szCs w:val="22"/>
              <w:lang w:val="en-US" w:eastAsia="zh-CN"/>
            </w:rPr>
            <w:t>高职院校</w:t>
          </w:r>
        </w:p>
        <w:p w14:paraId="447C4BD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ind w:left="0" w:leftChars="0" w:hanging="6" w:firstLineChars="0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for item in section_college %}{{ item.title }}</w:t>
          </w:r>
        </w:p>
        <w:p w14:paraId="7CAD846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546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157" w:beforeLines="50" w:line="360" w:lineRule="auto"/>
            <w:ind w:left="0" w:leftChars="0" w:hanging="6" w:firstLineChars="0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t>{% endfor %}</w:t>
          </w:r>
        </w:p>
        <w:p w14:paraId="6B6774E4">
          <w:pPr>
            <w:pStyle w:val="1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right="82" w:rightChars="39"/>
            <w:textAlignment w:val="auto"/>
            <w:rPr>
              <w:rFonts w:hint="eastAsia" w:ascii="仿宋" w:hAnsi="仿宋" w:eastAsia="仿宋" w:cs="仿宋"/>
              <w:color w:val="000000" w:themeColor="text1"/>
              <w:spacing w:val="7"/>
              <w:sz w:val="18"/>
              <w:szCs w:val="18"/>
              <w:lang w:val="en-US" w:eastAsia="zh-CN"/>
              <w14:textFill>
                <w14:solidFill>
                  <w14:schemeClr w14:val="tx1"/>
                </w14:solidFill>
              </w14:textFill>
            </w:rPr>
            <w:sectPr>
              <w:type w:val="continuous"/>
              <w:pgSz w:w="11906" w:h="16838"/>
              <w:pgMar w:top="1440" w:right="662" w:bottom="1440" w:left="880" w:header="851" w:footer="992" w:gutter="283"/>
              <w:pgNumType w:fmt="decimal"/>
              <w:cols w:equalWidth="0" w:num="2">
                <w:col w:w="3140" w:space="470"/>
                <w:col w:w="6470"/>
              </w:cols>
              <w:rtlGutter w:val="0"/>
              <w:docGrid w:type="lines" w:linePitch="312" w:charSpace="0"/>
            </w:sectPr>
          </w:pPr>
          <w:r>
            <w:rPr>
              <w:rFonts w:hint="eastAsia" w:ascii="仿宋" w:hAnsi="仿宋" w:eastAsia="仿宋" w:cs="仿宋"/>
              <w:color w:val="000000" w:themeColor="text1"/>
              <w:spacing w:val="7"/>
              <w:sz w:val="22"/>
              <w:szCs w:val="22"/>
              <w:lang w:val="en-US" w:eastAsia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523E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240" w:lineRule="auto"/>
        <w:textAlignment w:val="auto"/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</w:pPr>
      <w:bookmarkStart w:id="0" w:name="bookmark84"/>
      <w:bookmarkEnd w:id="0"/>
      <w:bookmarkStart w:id="1" w:name="bookmark85"/>
      <w:bookmarkEnd w:id="1"/>
      <w:bookmarkStart w:id="2" w:name="_Toc528661709"/>
      <w:bookmarkStart w:id="3" w:name="_Toc1309731941"/>
      <w:r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  <w:t>智库专题</w:t>
      </w:r>
    </w:p>
    <w:p w14:paraId="67FFBD43">
      <w:pPr>
        <w:bidi w:val="0"/>
        <w:rPr>
          <w:rFonts w:hint="eastAsia" w:ascii="黑体" w:hAnsi="黑体" w:eastAsia="黑体" w:cs="黑体"/>
          <w:b/>
          <w:bCs/>
          <w:color w:val="249087" w:themeColor="accent5" w:themeShade="BF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163830</wp:posOffset>
                </wp:positionV>
                <wp:extent cx="593407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0585" y="147447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3E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12.9pt;height:0pt;width:467.25pt;z-index:251662336;mso-width-relative:page;mso-height-relative:page;" filled="f" stroked="t" coordsize="21600,21600" o:gfxdata="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6Hye1AAAAAYBAAAPAAAAAAAAAAEAIAAAACIAAABkcnMvZG93bnJldi54bWxQSwECFAAU&#10;AAAACACHTuJA+mDPfPUBAAC9AwAADgAAAAAAAAABACAAAAAjAQAAZHJzL2Uyb0RvYy54bWxQSwUG&#10;AAAAAAYABgBZAQAAigUAAAAA&#10;">
                <v:fill on="f" focussize="0,0"/>
                <v:stroke weight="1pt" color="#01A3E4 [3204]" miterlimit="8" joinstyle="miter"/>
                <v:imagedata o:title=""/>
                <o:lock v:ext="edit" aspectratio="f"/>
              </v:line>
            </w:pict>
          </mc:Fallback>
        </mc:AlternateContent>
      </w:r>
    </w:p>
    <w:bookmarkEnd w:id="2"/>
    <w:bookmarkEnd w:id="3"/>
    <w:p w14:paraId="51032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 xml:space="preserve">{% for item in section_zhiku %} </w:t>
      </w:r>
    </w:p>
    <w:p w14:paraId="75A2AE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>{{ item.title }}</w:t>
      </w:r>
    </w:p>
    <w:p w14:paraId="1DA1F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{{ item.content }} {{ item.spider_from }}</w:t>
      </w:r>
    </w:p>
    <w:p w14:paraId="15E74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{% endfor %}</w:t>
      </w:r>
    </w:p>
    <w:p w14:paraId="520D9575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3E6BB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240" w:lineRule="auto"/>
        <w:textAlignment w:val="auto"/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  <w:t>国家部委</w:t>
      </w:r>
    </w:p>
    <w:p w14:paraId="147837B0">
      <w:pPr>
        <w:bidi w:val="0"/>
        <w:rPr>
          <w:rFonts w:hint="eastAsia" w:ascii="黑体" w:hAnsi="黑体" w:eastAsia="黑体" w:cs="黑体"/>
          <w:b/>
          <w:bCs/>
          <w:color w:val="249087" w:themeColor="accent5" w:themeShade="BF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163830</wp:posOffset>
                </wp:positionV>
                <wp:extent cx="5934075" cy="0"/>
                <wp:effectExtent l="0" t="6350" r="0" b="63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0585" y="147447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3E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12.9pt;height:0pt;width:467.25pt;z-index:251667456;mso-width-relative:page;mso-height-relative:page;" filled="f" stroked="t" coordsize="21600,21600" o:gfxdata="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Oh8ntQAAAAGAQAADwAAAAAAAAABACAAAAAiAAAAZHJzL2Rvd25yZXYueG1sUEsBAhQA&#10;FAAAAAgAh07iQA92Kc72AQAAvQMAAA4AAAAAAAAAAQAgAAAAIwEAAGRycy9lMm9Eb2MueG1sUEsF&#10;BgAAAAAGAAYAWQEAAIsFAAAAAA==&#10;">
                <v:fill on="f" focussize="0,0"/>
                <v:stroke weight="1pt" color="#01A3E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D602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 xml:space="preserve">{% for item in section_national %} </w:t>
      </w:r>
    </w:p>
    <w:p w14:paraId="6EA78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>{{ item.title }}</w:t>
      </w:r>
    </w:p>
    <w:p w14:paraId="59E90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{{ item.content }} （{{ item.link }}）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039C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{% endfor %}</w:t>
      </w:r>
    </w:p>
    <w:p w14:paraId="59A98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240" w:lineRule="auto"/>
        <w:textAlignment w:val="auto"/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  <w:t>省市地区</w:t>
      </w:r>
    </w:p>
    <w:p w14:paraId="59EDB7D5">
      <w:pPr>
        <w:bidi w:val="0"/>
        <w:rPr>
          <w:rFonts w:hint="eastAsia" w:ascii="黑体" w:hAnsi="黑体" w:eastAsia="黑体" w:cs="黑体"/>
          <w:b/>
          <w:bCs/>
          <w:color w:val="249087" w:themeColor="accent5" w:themeShade="BF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163830</wp:posOffset>
                </wp:positionV>
                <wp:extent cx="5934075" cy="0"/>
                <wp:effectExtent l="0" t="6350" r="0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0585" y="147447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3E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12.9pt;height:0pt;width:467.25pt;z-index:251668480;mso-width-relative:page;mso-height-relative:page;" filled="f" stroked="t" coordsize="21600,21600" o:gfxdata="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6Hye1AAAAAYBAAAPAAAAAAAAAAEAIAAAACIAAABkcnMvZG93bnJldi54bWxQSwECFAAU&#10;AAAACACHTuJAvsOZtPUBAAC9AwAADgAAAAAAAAABACAAAAAjAQAAZHJzL2Uyb0RvYy54bWxQSwUG&#10;AAAAAAYABgBZAQAAigUAAAAA&#10;">
                <v:fill on="f" focussize="0,0"/>
                <v:stroke weight="1pt" color="#01A3E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6D43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 xml:space="preserve">{% for item in section_provincial %} </w:t>
      </w:r>
    </w:p>
    <w:p w14:paraId="51367E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>{{ item.title }}</w:t>
      </w:r>
    </w:p>
    <w:p w14:paraId="2497B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{{ item.content }} {{ item.spider_from }}</w:t>
      </w:r>
    </w:p>
    <w:p w14:paraId="389EE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{% endfor %}</w:t>
      </w:r>
    </w:p>
    <w:p w14:paraId="6756BEEE">
      <w:pPr>
        <w:pStyle w:val="2"/>
        <w:rPr>
          <w:rFonts w:hint="eastAsia"/>
          <w:lang w:val="en-US" w:eastAsia="zh-CN"/>
        </w:rPr>
      </w:pPr>
      <w:bookmarkStart w:id="4" w:name="_GoBack"/>
      <w:bookmarkEnd w:id="4"/>
    </w:p>
    <w:p w14:paraId="29287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line="240" w:lineRule="auto"/>
        <w:textAlignment w:val="auto"/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1A3E4"/>
          <w:sz w:val="44"/>
          <w:szCs w:val="44"/>
          <w:lang w:val="en-US" w:eastAsia="zh-CN"/>
        </w:rPr>
        <w:t>高职院校</w:t>
      </w:r>
    </w:p>
    <w:p w14:paraId="668DF5CF">
      <w:pPr>
        <w:bidi w:val="0"/>
        <w:rPr>
          <w:rFonts w:hint="eastAsia" w:ascii="黑体" w:hAnsi="黑体" w:eastAsia="黑体" w:cs="黑体"/>
          <w:b/>
          <w:bCs/>
          <w:color w:val="249087" w:themeColor="accent5" w:themeShade="BF"/>
          <w:sz w:val="32"/>
          <w:szCs w:val="40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163830</wp:posOffset>
                </wp:positionV>
                <wp:extent cx="5934075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70585" y="147447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3E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pt;margin-top:12.9pt;height:0pt;width:467.25pt;z-index:251669504;mso-width-relative:page;mso-height-relative:page;" filled="f" stroked="t" coordsize="21600,21600" o:gfxdata="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Oh8ntQAAAAGAQAADwAAAAAAAAABACAAAAAiAAAAZHJzL2Rvd25yZXYueG1sUEsBAhQA&#10;FAAAAAgAh07iQCrXdSH2AQAAvwMAAA4AAAAAAAAAAQAgAAAAIwEAAGRycy9lMm9Eb2MueG1sUEsF&#10;BgAAAAAGAAYAWQEAAIsFAAAAAA==&#10;">
                <v:fill on="f" focussize="0,0"/>
                <v:stroke weight="1pt" color="#01A3E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2BF66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 xml:space="preserve">{% for item in section_college %} </w:t>
      </w:r>
    </w:p>
    <w:p w14:paraId="7E9045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21" w:lineRule="atLeast"/>
        <w:ind w:left="0" w:right="0"/>
        <w:jc w:val="both"/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A78A0"/>
          <w:kern w:val="0"/>
          <w:sz w:val="28"/>
          <w:szCs w:val="28"/>
          <w:lang w:val="en-US" w:eastAsia="zh-CN" w:bidi="ar"/>
        </w:rPr>
        <w:t>{{ item.title }}</w:t>
      </w:r>
    </w:p>
    <w:p w14:paraId="50141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{{ item.content }} （{{ item.link }}）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C5E1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00" w:lineRule="auto"/>
        <w:jc w:val="both"/>
        <w:textAlignment w:val="auto"/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{% endfor %}</w:t>
      </w:r>
    </w:p>
    <w:p w14:paraId="34A59F20">
      <w:pPr>
        <w:pStyle w:val="2"/>
        <w:rPr>
          <w:rFonts w:hint="eastAsia"/>
          <w:lang w:val="en-US" w:eastAsia="zh-CN"/>
        </w:rPr>
      </w:pPr>
    </w:p>
    <w:p w14:paraId="06B02B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6F9EBEB2">
      <w:pPr>
        <w:pStyle w:val="2"/>
        <w:ind w:left="0" w:leftChars="0" w:firstLine="0" w:firstLineChars="0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7213DD98">
      <w:pPr>
        <w:pStyle w:val="2"/>
        <w:ind w:left="0" w:leftChars="0" w:firstLine="0" w:firstLineChars="0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5E5DD743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03999D14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6A6CA010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3FAA22C4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6924A42B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6BB2CC6C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5E5453CA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</w:p>
    <w:p w14:paraId="732E61F3">
      <w:pPr>
        <w:pStyle w:val="2"/>
        <w:ind w:left="0" w:leftChars="0" w:firstLine="0" w:firstLineChars="0"/>
        <w:jc w:val="left"/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ragraph">
                  <wp:posOffset>892175</wp:posOffset>
                </wp:positionV>
                <wp:extent cx="6254750" cy="5112385"/>
                <wp:effectExtent l="0" t="0" r="19050" b="18415"/>
                <wp:wrapThrough wrapText="bothSides">
                  <wp:wrapPolygon>
                    <wp:start x="0" y="0"/>
                    <wp:lineTo x="0" y="21463"/>
                    <wp:lineTo x="21490" y="21463"/>
                    <wp:lineTo x="21490" y="0"/>
                    <wp:lineTo x="0" y="0"/>
                  </wp:wrapPolygon>
                </wp:wrapThrough>
                <wp:docPr id="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4750" cy="5112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DBA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</w:p>
                          <w:p w14:paraId="67691E26">
                            <w:pPr>
                              <w:pStyle w:val="2"/>
                              <w:ind w:left="0" w:leftChars="0" w:firstLine="0" w:firstLineChars="0"/>
                            </w:pPr>
                          </w:p>
                          <w:p w14:paraId="421DB2DE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17D04150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 w:eastAsia="宋体" w:cs="宋体"/>
                                <w:kern w:val="2"/>
                                <w:sz w:val="24"/>
                                <w:szCs w:val="24"/>
                                <w:lang w:val="en-US" w:eastAsia="zh-CN" w:bidi="ar"/>
                              </w:rPr>
                              <w:drawing>
                                <wp:inline distT="0" distB="0" distL="114300" distR="114300">
                                  <wp:extent cx="965200" cy="899795"/>
                                  <wp:effectExtent l="0" t="0" r="0" b="14605"/>
                                  <wp:docPr id="20" name="图片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5200" cy="899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宋体" w:hAnsi="宋体" w:eastAsia="宋体" w:cs="宋体"/>
                                <w:kern w:val="2"/>
                                <w:sz w:val="24"/>
                                <w:szCs w:val="24"/>
                                <w:lang w:val="en-US" w:eastAsia="zh-CN" w:bidi="ar"/>
                              </w:rPr>
                              <w:drawing>
                                <wp:inline distT="0" distB="0" distL="114300" distR="114300">
                                  <wp:extent cx="967105" cy="899795"/>
                                  <wp:effectExtent l="0" t="0" r="0" b="14605"/>
                                  <wp:docPr id="23" name="图片 4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图片 4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7105" cy="899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 w14:paraId="00074F66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0A78A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0A78A0"/>
                                <w:sz w:val="21"/>
                                <w:szCs w:val="21"/>
                              </w:rPr>
                              <w:t xml:space="preserve">©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0A78A0"/>
                                <w:sz w:val="21"/>
                                <w:szCs w:val="21"/>
                                <w:lang w:val="en-US" w:eastAsia="zh-CN"/>
                              </w:rPr>
                              <w:t>高职发展智库</w:t>
                            </w:r>
                          </w:p>
                          <w:p w14:paraId="4764070B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default" w:ascii="楷体" w:hAnsi="楷体" w:eastAsia="楷体" w:cs="楷体"/>
                                <w:b w:val="0"/>
                                <w:bCs w:val="0"/>
                                <w:color w:val="0A78A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0A78A0"/>
                                <w:sz w:val="21"/>
                                <w:szCs w:val="21"/>
                                <w:lang w:val="en-US" w:eastAsia="zh-CN"/>
                              </w:rPr>
                              <w:t>高职发展智库、数说职教、AI职教大脑的名称和标识均属于绎达股份的商标或注册商标。</w:t>
                            </w:r>
                          </w:p>
                          <w:p w14:paraId="1BA80549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</w:rPr>
                              <w:t>为避免歧义，除非另有说明，本文所述信息范围包括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高职发展智库、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</w:rPr>
                              <w:t>绎达股份和/或其一家或多家全资、控股的附属公司，以及能够实际控制的其他法律实体。</w:t>
                            </w:r>
                          </w:p>
                          <w:p w14:paraId="3251264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</w:rPr>
                              <w:t>本文所述信息限于一般参考之用，不可视为详尽说明，亦不构成我们的咨询、服务或其他任何建议，以及任何形式的要约或邀请。虽然我们已致力提供准确和及时的信息，但我们不对其作出任何保证，且无需事前通知，随时有权更改该信息，亦不对任何主体因使用本文内容而导致的任何损失承担责任。</w:t>
                            </w:r>
                          </w:p>
                          <w:p w14:paraId="1214DBCA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A78A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A78A0"/>
                                <w:sz w:val="24"/>
                                <w:szCs w:val="24"/>
                                <w:lang w:val="en-US" w:eastAsia="zh-CN"/>
                              </w:rPr>
                              <w:t>高职发展智库</w:t>
                            </w:r>
                          </w:p>
                          <w:p w14:paraId="59DF5BFC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高职发展智库是绎达股份(872494.NQ)联合业内领先的职教、产业及科研等单位和专家学者们发起的新型智库平台，旨在汇集高职教育的改革和发展智慧，以跨界思维，创变高职深改。</w:t>
                            </w:r>
                          </w:p>
                          <w:p w14:paraId="79912E1D">
                            <w:pPr>
                              <w:pStyle w:val="1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Lines="50" w:beforeAutospacing="0" w:after="0" w:afterAutospacing="0" w:line="276" w:lineRule="auto"/>
                              <w:jc w:val="both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绎达股份(872494.NQ)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Hans"/>
                              </w:rPr>
                              <w:t>源自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2000年“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Hans"/>
                              </w:rPr>
                              <w:t>国企重组及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eastAsia="zh-Hans"/>
                              </w:rPr>
                              <w:t>企业发展项目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eastAsia="zh-Hans"/>
                              </w:rPr>
                              <w:t>（SOERED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eastAsia="zh-Hans"/>
                              </w:rPr>
                              <w:t>），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2003年正式成立，2017年完成股改登陆新三板挂牌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eastAsia="zh-Hans"/>
                              </w:rPr>
                              <w:t>。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222A35" w:themeColor="text2" w:themeShade="80"/>
                                <w:sz w:val="21"/>
                                <w:szCs w:val="21"/>
                                <w:lang w:val="en-US" w:eastAsia="zh-CN"/>
                              </w:rPr>
                              <w:t>目前，拥有索安赛数据、绎图信息、贝因科技、绎达经研等多间全资或控股附属公司，以及高职发展智库，业务涵盖管理咨询、数字科技。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51.4pt;margin-top:70.25pt;height:402.55pt;width:492.5pt;mso-position-horizontal-relative:page;mso-wrap-distance-left:9pt;mso-wrap-distance-right:9pt;z-index:-251650048;mso-width-relative:page;mso-height-relative:page;" fillcolor="#FFFFFF" filled="t" stroked="f" coordsize="21600,21600" wrapcoords="0 0 0 21463 21490 21463 21490 0 0 0" o:gfxdata="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86hYNkAAAAMAQAA&#10;DwAAAAAAAAABACAAAAAiAAAAZHJzL2Rvd25yZXYueG1sUEsBAhQAFAAAAAgAh07iQDnB2L8YAgAA&#10;NgQAAA4AAAAAAAAAAQAgAAAAK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21DBAA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</w:p>
                    <w:p w14:paraId="67691E26">
                      <w:pPr>
                        <w:pStyle w:val="2"/>
                        <w:ind w:left="0" w:leftChars="0" w:firstLine="0" w:firstLineChars="0"/>
                      </w:pPr>
                    </w:p>
                    <w:p w14:paraId="421DB2DE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eastAsia" w:ascii="楷体" w:hAnsi="楷体" w:eastAsia="楷体" w:cs="楷体"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17D04150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宋体" w:hAnsi="宋体" w:eastAsia="宋体" w:cs="宋体"/>
                          <w:kern w:val="2"/>
                          <w:sz w:val="24"/>
                          <w:szCs w:val="24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965200" cy="899795"/>
                            <wp:effectExtent l="0" t="0" r="0" b="14605"/>
                            <wp:docPr id="20" name="图片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5200" cy="899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宋体" w:hAnsi="宋体" w:eastAsia="宋体" w:cs="宋体"/>
                          <w:kern w:val="2"/>
                          <w:sz w:val="24"/>
                          <w:szCs w:val="24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967105" cy="899795"/>
                            <wp:effectExtent l="0" t="0" r="0" b="14605"/>
                            <wp:docPr id="23" name="图片 4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图片 4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7105" cy="899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</w:p>
                    <w:p w14:paraId="00074F66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0A78A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0A78A0"/>
                          <w:sz w:val="21"/>
                          <w:szCs w:val="21"/>
                        </w:rPr>
                        <w:t xml:space="preserve">© 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0A78A0"/>
                          <w:sz w:val="21"/>
                          <w:szCs w:val="21"/>
                          <w:lang w:val="en-US" w:eastAsia="zh-CN"/>
                        </w:rPr>
                        <w:t>高职发展智库</w:t>
                      </w:r>
                    </w:p>
                    <w:p w14:paraId="4764070B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default" w:ascii="楷体" w:hAnsi="楷体" w:eastAsia="楷体" w:cs="楷体"/>
                          <w:b w:val="0"/>
                          <w:bCs w:val="0"/>
                          <w:color w:val="0A78A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0A78A0"/>
                          <w:sz w:val="21"/>
                          <w:szCs w:val="21"/>
                          <w:lang w:val="en-US" w:eastAsia="zh-CN"/>
                        </w:rPr>
                        <w:t>高职发展智库、数说职教、AI职教大脑的名称和标识均属于绎达股份的商标或注册商标。</w:t>
                      </w:r>
                    </w:p>
                    <w:p w14:paraId="1BA80549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</w:rPr>
                        <w:t>为避免歧义，除非另有说明，本文所述信息范围包括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高职发展智库、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</w:rPr>
                        <w:t>绎达股份和/或其一家或多家全资、控股的附属公司，以及能够实际控制的其他法律实体。</w:t>
                      </w:r>
                    </w:p>
                    <w:p w14:paraId="3251264D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</w:rPr>
                        <w:t>本文所述信息限于一般参考之用，不可视为详尽说明，亦不构成我们的咨询、服务或其他任何建议，以及任何形式的要约或邀请。虽然我们已致力提供准确和及时的信息，但我们不对其作出任何保证，且无需事前通知，随时有权更改该信息，亦不对任何主体因使用本文内容而导致的任何损失承担责任。</w:t>
                      </w:r>
                    </w:p>
                    <w:p w14:paraId="1214DBCA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eastAsia" w:ascii="楷体" w:hAnsi="楷体" w:eastAsia="楷体" w:cs="楷体"/>
                          <w:b/>
                          <w:bCs/>
                          <w:color w:val="0A78A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0A78A0"/>
                          <w:sz w:val="24"/>
                          <w:szCs w:val="24"/>
                          <w:lang w:val="en-US" w:eastAsia="zh-CN"/>
                        </w:rPr>
                        <w:t>高职发展智库</w:t>
                      </w:r>
                    </w:p>
                    <w:p w14:paraId="59DF5BFC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default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高职发展智库是绎达股份(872494.NQ)联合业内领先的职教、产业及科研等单位和专家学者们发起的新型智库平台，旨在汇集高职教育的改革和发展智慧，以跨界思维，创变高职深改。</w:t>
                      </w:r>
                    </w:p>
                    <w:p w14:paraId="79912E1D">
                      <w:pPr>
                        <w:pStyle w:val="1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Lines="50" w:beforeAutospacing="0" w:after="0" w:afterAutospacing="0" w:line="276" w:lineRule="auto"/>
                        <w:jc w:val="both"/>
                        <w:textAlignment w:val="auto"/>
                        <w:rPr>
                          <w:rFonts w:hint="default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绎达股份(872494.NQ)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Hans"/>
                        </w:rPr>
                        <w:t>源自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2000年“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Hans"/>
                        </w:rPr>
                        <w:t>国企重组及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eastAsia="zh-Hans"/>
                        </w:rPr>
                        <w:t>企业发展项目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eastAsia="zh-CN"/>
                        </w:rPr>
                        <w:t>”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eastAsia="zh-Hans"/>
                        </w:rPr>
                        <w:t>（SOERED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eastAsia="zh-Hans"/>
                        </w:rPr>
                        <w:t>），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2003年正式成立，2017年完成股改登陆新三板挂牌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eastAsia="zh-Hans"/>
                        </w:rPr>
                        <w:t>。</w:t>
                      </w:r>
                      <w:r>
                        <w:rPr>
                          <w:rFonts w:hint="eastAsia" w:ascii="楷体" w:hAnsi="楷体" w:eastAsia="楷体" w:cs="楷体"/>
                          <w:color w:val="222A35" w:themeColor="text2" w:themeShade="80"/>
                          <w:sz w:val="21"/>
                          <w:szCs w:val="21"/>
                          <w:lang w:val="en-US" w:eastAsia="zh-CN"/>
                        </w:rPr>
                        <w:t>目前，拥有索安赛数据、绎图信息、贝因科技、绎达经研等多间全资或控股附属公司，以及高职发展智库，业务涵盖管理咨询、数字科技。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863600" cy="787400"/>
            <wp:effectExtent l="0" t="0" r="0" b="0"/>
            <wp:docPr id="14" name="图片 14" descr="辅助图标色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辅助图标色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6" w:type="default"/>
      <w:footerReference r:id="rId7" w:type="default"/>
      <w:pgSz w:w="11906" w:h="16838"/>
      <w:pgMar w:top="1440" w:right="1080" w:bottom="1440" w:left="1080" w:header="567" w:footer="850" w:gutter="283"/>
      <w:pgNumType w:fmt="decimal"/>
      <w:cols w:space="425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A57E297-E12B-4C7A-9E40-F3ADAD8123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AD1B9E8D-1319-4A05-B514-D848CF50AC1C}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Hoefler Text">
    <w:altName w:val="Segoe Print"/>
    <w:panose1 w:val="02030602050506020203"/>
    <w:charset w:val="00"/>
    <w:family w:val="auto"/>
    <w:pitch w:val="default"/>
    <w:sig w:usb0="00000000" w:usb1="00000000" w:usb2="00000004" w:usb3="00000000" w:csb0="20000197" w:csb1="4F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venir Next Regular">
    <w:altName w:val="Tw Cen MT Condensed Extra Bold"/>
    <w:panose1 w:val="020B0803020202020204"/>
    <w:charset w:val="00"/>
    <w:family w:val="auto"/>
    <w:pitch w:val="default"/>
    <w:sig w:usb0="00000000" w:usb1="00000000" w:usb2="00000000" w:usb3="00000000" w:csb0="0000009B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F85CE22-6354-4EDB-9DB7-B99F0F09B259}"/>
  </w:font>
  <w:font w:name="文道潮黑体">
    <w:panose1 w:val="02010600040101010101"/>
    <w:charset w:val="86"/>
    <w:family w:val="auto"/>
    <w:pitch w:val="default"/>
    <w:sig w:usb0="00000283" w:usb1="1A0F0C10" w:usb2="00000012" w:usb3="00000000" w:csb0="00060001" w:csb1="00000000"/>
    <w:embedRegular r:id="rId4" w:fontKey="{AEBF28A8-1B1B-472F-B7CC-A759437A97F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E68F4BF7-2BF0-4FB6-93DD-A5C785B5FE47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627471F8-6B78-47C5-9A24-48A9D8809F9C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7" w:fontKey="{A3D8E2A4-1480-4359-B1AC-9676280CE9F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7D32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F6F30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F6F30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945BC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E9BAF4"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E9BAF4"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2120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08D54">
                          <w:pPr>
                            <w:pStyle w:val="7"/>
                            <w:tabs>
                              <w:tab w:val="left" w:pos="8647"/>
                              <w:tab w:val="clear" w:pos="8306"/>
                            </w:tabs>
                            <w:ind w:right="140" w:rightChars="0"/>
                            <w:jc w:val="right"/>
                          </w:pP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楷体_GB2312" w:hAnsi="楷体_GB2312" w:eastAsia="楷体_GB2312" w:cs="楷体_GB2312"/>
                              <w:sz w:val="22"/>
                            </w:rPr>
                            <w:t>6</w: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t xml:space="preserve"> of </w: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instrText xml:space="preserve"> NUMPAGES </w:instrTex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楷体_GB2312" w:hAnsi="楷体_GB2312" w:eastAsia="楷体_GB2312" w:cs="楷体_GB2312"/>
                              <w:sz w:val="22"/>
                            </w:rPr>
                            <w:t>9</w:t>
                          </w:r>
                          <w:r>
                            <w:rPr>
                              <w:rFonts w:hint="eastAsia" w:ascii="楷体_GB2312" w:hAnsi="楷体_GB2312" w:eastAsia="楷体_GB2312" w:cs="楷体_GB2312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F08D54">
                    <w:pPr>
                      <w:pStyle w:val="7"/>
                      <w:tabs>
                        <w:tab w:val="left" w:pos="8647"/>
                        <w:tab w:val="clear" w:pos="8306"/>
                      </w:tabs>
                      <w:ind w:right="140" w:rightChars="0"/>
                      <w:jc w:val="right"/>
                    </w:pP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t xml:space="preserve">Page </w: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begin"/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instrText xml:space="preserve"> PAGE </w:instrTex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separate"/>
                    </w:r>
                    <w:r>
                      <w:rPr>
                        <w:rFonts w:ascii="楷体_GB2312" w:hAnsi="楷体_GB2312" w:eastAsia="楷体_GB2312" w:cs="楷体_GB2312"/>
                        <w:sz w:val="22"/>
                      </w:rPr>
                      <w:t>6</w: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end"/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t xml:space="preserve"> of </w: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begin"/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instrText xml:space="preserve"> NUMPAGES </w:instrTex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separate"/>
                    </w:r>
                    <w:r>
                      <w:rPr>
                        <w:rFonts w:ascii="楷体_GB2312" w:hAnsi="楷体_GB2312" w:eastAsia="楷体_GB2312" w:cs="楷体_GB2312"/>
                        <w:sz w:val="22"/>
                      </w:rPr>
                      <w:t>9</w:t>
                    </w:r>
                    <w:r>
                      <w:rPr>
                        <w:rFonts w:hint="eastAsia" w:ascii="楷体_GB2312" w:hAnsi="楷体_GB2312" w:eastAsia="楷体_GB2312" w:cs="楷体_GB2312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59EB8">
    <w:pPr>
      <w:pStyle w:val="8"/>
      <w:wordWrap/>
      <w:spacing w:line="360" w:lineRule="auto"/>
      <w:jc w:val="left"/>
      <w:rPr>
        <w:rFonts w:hint="eastAsia" w:ascii="微软雅黑" w:hAnsi="微软雅黑" w:eastAsia="微软雅黑" w:cs="微软雅黑"/>
        <w:b/>
        <w:bCs/>
        <w:color w:val="EE822F" w:themeColor="accent2"/>
        <w:sz w:val="18"/>
        <w:szCs w:val="24"/>
        <w:lang w:val="en-US" w:eastAsia="zh-CN"/>
        <w14:textFill>
          <w14:solidFill>
            <w14:schemeClr w14:val="accent2"/>
          </w14:solidFill>
        </w14:textFill>
      </w:rPr>
    </w:pPr>
    <w:r>
      <w:rPr>
        <w:rFonts w:hint="eastAsia" w:ascii="方正公文小标宋" w:hAnsi="方正公文小标宋" w:eastAsia="方正公文小标宋" w:cs="方正公文小标宋"/>
        <w:b w:val="0"/>
        <w:bCs w:val="0"/>
        <w:lang w:val="en-US" w:eastAsia="zh-CN"/>
      </w:rPr>
      <w:t>职业教育动态  2025年 第1期</w:t>
    </w:r>
    <w:r>
      <w:rPr>
        <w:rFonts w:hint="eastAsia" w:ascii="方正公文小标宋" w:hAnsi="方正公文小标宋" w:eastAsia="方正公文小标宋" w:cs="方正公文小标宋"/>
        <w:b/>
        <w:bCs/>
        <w:lang w:val="en-US" w:eastAsia="zh-CN"/>
      </w:rPr>
      <w:t xml:space="preserve">                                                              </w:t>
    </w:r>
    <w:r>
      <w:rPr>
        <w:rFonts w:hint="eastAsia" w:ascii="微软雅黑" w:hAnsi="微软雅黑" w:eastAsia="微软雅黑" w:cs="微软雅黑"/>
        <w:b/>
        <w:bCs/>
        <w:color w:val="EE822F" w:themeColor="accent2"/>
        <w:sz w:val="18"/>
        <w:szCs w:val="24"/>
        <w:lang w:val="en-US" w:eastAsia="zh-CN"/>
        <w14:textFill>
          <w14:solidFill>
            <w14:schemeClr w14:val="accent2"/>
          </w14:solidFill>
        </w14:textFill>
      </w:rPr>
      <w:t>「广东动态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242D5"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240" w:lineRule="auto"/>
      <w:ind w:left="0" w:leftChars="0" w:right="0" w:rightChars="0" w:firstLine="0" w:firstLineChars="0"/>
      <w:jc w:val="right"/>
      <w:textAlignment w:val="auto"/>
      <w:rPr>
        <w:rFonts w:hint="default" w:ascii="微软雅黑" w:hAnsi="微软雅黑" w:eastAsia="微软雅黑" w:cs="微软雅黑"/>
        <w:color w:val="01A3E4"/>
        <w:sz w:val="18"/>
        <w:szCs w:val="18"/>
        <w:lang w:val="en-US" w:eastAsia="zh-CN"/>
      </w:rPr>
    </w:pPr>
    <w:r>
      <w:rPr>
        <w:rFonts w:hint="eastAsia" w:ascii="仿宋" w:hAnsi="仿宋" w:eastAsia="仿宋" w:cs="仿宋"/>
        <w:sz w:val="18"/>
        <w:szCs w:val="21"/>
        <w:lang w:eastAsia="zh-CN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-228600</wp:posOffset>
          </wp:positionH>
          <wp:positionV relativeFrom="paragraph">
            <wp:posOffset>85090</wp:posOffset>
          </wp:positionV>
          <wp:extent cx="1532255" cy="431800"/>
          <wp:effectExtent l="0" t="0" r="0" b="0"/>
          <wp:wrapNone/>
          <wp:docPr id="9" name="图片 9" descr="智库图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智库图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2255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方正公文小标宋" w:hAnsi="方正公文小标宋" w:eastAsia="方正公文小标宋" w:cs="方正公文小标宋"/>
        <w:b/>
        <w:bCs/>
        <w:lang w:val="en-US" w:eastAsia="zh-CN"/>
      </w:rPr>
      <w:t xml:space="preserve">                                            </w:t>
    </w:r>
    <w:r>
      <w:rPr>
        <w:rFonts w:hint="eastAsia" w:ascii="文道潮黑体" w:hAnsi="文道潮黑体" w:eastAsia="文道潮黑体" w:cs="文道潮黑体"/>
        <w:color w:val="01A3E4"/>
        <w:sz w:val="28"/>
        <w:szCs w:val="28"/>
        <w:lang w:val="en-US" w:eastAsia="zh-CN"/>
      </w:rPr>
      <w:t>职教周刊</w:t>
    </w:r>
    <w:r>
      <w:rPr>
        <w:rFonts w:hint="eastAsia" w:ascii="文道潮黑体" w:hAnsi="文道潮黑体" w:eastAsia="文道潮黑体" w:cs="文道潮黑体"/>
        <w:color w:val="01A3E4"/>
        <w:sz w:val="18"/>
        <w:szCs w:val="18"/>
        <w:lang w:val="en-US" w:eastAsia="zh-CN"/>
      </w:rPr>
      <w:t>（高职）</w:t>
    </w:r>
  </w:p>
  <w:p w14:paraId="4F52EBDC">
    <w:pPr>
      <w:pStyle w:val="8"/>
      <w:wordWrap/>
      <w:spacing w:line="360" w:lineRule="auto"/>
      <w:jc w:val="right"/>
      <w:rPr>
        <w:rFonts w:hint="eastAsia" w:ascii="微软雅黑" w:hAnsi="微软雅黑" w:eastAsia="微软雅黑" w:cs="微软雅黑"/>
        <w:b/>
        <w:bCs/>
        <w:color w:val="EE822F" w:themeColor="accent2"/>
        <w:sz w:val="18"/>
        <w:szCs w:val="18"/>
        <w:lang w:val="en-US" w:eastAsia="zh-CN"/>
        <w14:textFill>
          <w14:solidFill>
            <w14:schemeClr w14:val="accent2"/>
          </w14:solidFill>
        </w14:textFill>
      </w:rPr>
    </w:pPr>
    <w:r>
      <w:rPr>
        <w:rFonts w:hint="eastAsia" w:ascii="楷体" w:hAnsi="楷体" w:eastAsia="楷体" w:cs="楷体"/>
        <w:sz w:val="18"/>
        <w:szCs w:val="18"/>
        <w:lang w:val="en-US" w:eastAsia="zh-CN"/>
      </w:rPr>
      <w:t xml:space="preserve">{{ year }}年 第{{ issue }}期 （{{ date_range }}）  总第 </w:t>
    </w:r>
    <w:r>
      <w:rPr>
        <w:rFonts w:hint="eastAsia" w:ascii="楷体" w:hAnsi="楷体" w:eastAsia="楷体" w:cs="楷体"/>
        <w:b/>
        <w:bCs/>
        <w:sz w:val="18"/>
        <w:szCs w:val="18"/>
        <w:lang w:val="en-US" w:eastAsia="zh-CN"/>
      </w:rPr>
      <w:t>{{ total_issue }}</w:t>
    </w:r>
    <w:r>
      <w:rPr>
        <w:rFonts w:hint="eastAsia" w:ascii="楷体" w:hAnsi="楷体" w:eastAsia="楷体" w:cs="楷体"/>
        <w:sz w:val="18"/>
        <w:szCs w:val="18"/>
        <w:lang w:val="en-US" w:eastAsia="zh-CN"/>
      </w:rPr>
      <w:t xml:space="preserve"> 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attachedTemplate r:id="rId1"/>
  <w:documentProtection w:enforcement="0"/>
  <w:defaultTabStop w:val="48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1ZmMzMWQ2MDMwZDZmYmNkMDVmNDBiNzAyOWVkZDIifQ=="/>
  </w:docVars>
  <w:rsids>
    <w:rsidRoot w:val="00172A27"/>
    <w:rsid w:val="011C5C44"/>
    <w:rsid w:val="0147153B"/>
    <w:rsid w:val="014A4B87"/>
    <w:rsid w:val="01F01F8D"/>
    <w:rsid w:val="02005B8D"/>
    <w:rsid w:val="024040AE"/>
    <w:rsid w:val="0298045A"/>
    <w:rsid w:val="03182E0F"/>
    <w:rsid w:val="035D39A0"/>
    <w:rsid w:val="03A45970"/>
    <w:rsid w:val="03BA416C"/>
    <w:rsid w:val="04132A59"/>
    <w:rsid w:val="041B1ABE"/>
    <w:rsid w:val="042E2478"/>
    <w:rsid w:val="04441D61"/>
    <w:rsid w:val="044947C2"/>
    <w:rsid w:val="05BE1FE7"/>
    <w:rsid w:val="065D2980"/>
    <w:rsid w:val="067A4160"/>
    <w:rsid w:val="06DC4523"/>
    <w:rsid w:val="08217D3F"/>
    <w:rsid w:val="08514A4D"/>
    <w:rsid w:val="089C0CB5"/>
    <w:rsid w:val="095E1336"/>
    <w:rsid w:val="09736C45"/>
    <w:rsid w:val="0A0124A3"/>
    <w:rsid w:val="0A067AB9"/>
    <w:rsid w:val="0A481B51"/>
    <w:rsid w:val="0A863049"/>
    <w:rsid w:val="0B48117A"/>
    <w:rsid w:val="0CFF7DA3"/>
    <w:rsid w:val="0D1129FD"/>
    <w:rsid w:val="0DEA200F"/>
    <w:rsid w:val="0EA62779"/>
    <w:rsid w:val="107C3E68"/>
    <w:rsid w:val="110A6493"/>
    <w:rsid w:val="115F467E"/>
    <w:rsid w:val="118C11EC"/>
    <w:rsid w:val="11A3155D"/>
    <w:rsid w:val="11DA43C2"/>
    <w:rsid w:val="12393718"/>
    <w:rsid w:val="12611AD0"/>
    <w:rsid w:val="126F222F"/>
    <w:rsid w:val="132D04F5"/>
    <w:rsid w:val="13394A5B"/>
    <w:rsid w:val="133D454B"/>
    <w:rsid w:val="13BD743A"/>
    <w:rsid w:val="1460255E"/>
    <w:rsid w:val="14D256D2"/>
    <w:rsid w:val="153320AA"/>
    <w:rsid w:val="164F2B28"/>
    <w:rsid w:val="1723614E"/>
    <w:rsid w:val="17872AB3"/>
    <w:rsid w:val="17AD0A19"/>
    <w:rsid w:val="17DE34F9"/>
    <w:rsid w:val="180F222F"/>
    <w:rsid w:val="18A84B5D"/>
    <w:rsid w:val="191358F5"/>
    <w:rsid w:val="19B579D5"/>
    <w:rsid w:val="19C72DC1"/>
    <w:rsid w:val="19CC03D7"/>
    <w:rsid w:val="1A66082C"/>
    <w:rsid w:val="1A7F1D34"/>
    <w:rsid w:val="1A8E31E7"/>
    <w:rsid w:val="1AA27273"/>
    <w:rsid w:val="1ABA324B"/>
    <w:rsid w:val="1B6F3710"/>
    <w:rsid w:val="1CC03ABA"/>
    <w:rsid w:val="1D395EDF"/>
    <w:rsid w:val="1D69366C"/>
    <w:rsid w:val="1DBD1A23"/>
    <w:rsid w:val="1DD7570D"/>
    <w:rsid w:val="1E3A290B"/>
    <w:rsid w:val="1E6E4153"/>
    <w:rsid w:val="1E865CF5"/>
    <w:rsid w:val="1EC27FFB"/>
    <w:rsid w:val="1EFC4C0E"/>
    <w:rsid w:val="1F4F2CBC"/>
    <w:rsid w:val="1FE85338"/>
    <w:rsid w:val="203A606B"/>
    <w:rsid w:val="21C828BA"/>
    <w:rsid w:val="21D342CD"/>
    <w:rsid w:val="224A3D08"/>
    <w:rsid w:val="226E2973"/>
    <w:rsid w:val="23880F5D"/>
    <w:rsid w:val="23E6478B"/>
    <w:rsid w:val="2418288B"/>
    <w:rsid w:val="24FA1608"/>
    <w:rsid w:val="25445FE3"/>
    <w:rsid w:val="258637D7"/>
    <w:rsid w:val="2596764E"/>
    <w:rsid w:val="263E08AF"/>
    <w:rsid w:val="26F64CE5"/>
    <w:rsid w:val="27A6670B"/>
    <w:rsid w:val="28785DE7"/>
    <w:rsid w:val="29A54CBA"/>
    <w:rsid w:val="2A666276"/>
    <w:rsid w:val="2A924D25"/>
    <w:rsid w:val="2AD215C5"/>
    <w:rsid w:val="2ADE329E"/>
    <w:rsid w:val="2B4011AD"/>
    <w:rsid w:val="2C653BFC"/>
    <w:rsid w:val="2C6C0817"/>
    <w:rsid w:val="2C82701B"/>
    <w:rsid w:val="2CA3146B"/>
    <w:rsid w:val="2CE675AA"/>
    <w:rsid w:val="2D1B54A6"/>
    <w:rsid w:val="2DDD6BFF"/>
    <w:rsid w:val="2E4C26D8"/>
    <w:rsid w:val="2EBB6E77"/>
    <w:rsid w:val="2ED075DC"/>
    <w:rsid w:val="2EF35FAE"/>
    <w:rsid w:val="2F0D7070"/>
    <w:rsid w:val="2F902EF4"/>
    <w:rsid w:val="2F9B467C"/>
    <w:rsid w:val="2FD302BA"/>
    <w:rsid w:val="2FF51832"/>
    <w:rsid w:val="30564A47"/>
    <w:rsid w:val="31E3754A"/>
    <w:rsid w:val="31F36BF1"/>
    <w:rsid w:val="325F175F"/>
    <w:rsid w:val="32DE174A"/>
    <w:rsid w:val="32DF17E8"/>
    <w:rsid w:val="32F14F2B"/>
    <w:rsid w:val="33005EB4"/>
    <w:rsid w:val="3353526D"/>
    <w:rsid w:val="335F5F3F"/>
    <w:rsid w:val="339578B8"/>
    <w:rsid w:val="343E7A0C"/>
    <w:rsid w:val="345F1634"/>
    <w:rsid w:val="34DB376C"/>
    <w:rsid w:val="359C195C"/>
    <w:rsid w:val="35EF4EA0"/>
    <w:rsid w:val="364B233B"/>
    <w:rsid w:val="369829D5"/>
    <w:rsid w:val="37213DE4"/>
    <w:rsid w:val="3756532C"/>
    <w:rsid w:val="378700C7"/>
    <w:rsid w:val="37BD5AA8"/>
    <w:rsid w:val="37F60C21"/>
    <w:rsid w:val="3808688B"/>
    <w:rsid w:val="380F51A3"/>
    <w:rsid w:val="38E21DBF"/>
    <w:rsid w:val="398919E9"/>
    <w:rsid w:val="3A125E82"/>
    <w:rsid w:val="3A845691"/>
    <w:rsid w:val="3AAD1DE5"/>
    <w:rsid w:val="3AD76784"/>
    <w:rsid w:val="3B077069"/>
    <w:rsid w:val="3B1F52A0"/>
    <w:rsid w:val="3B2F036E"/>
    <w:rsid w:val="3D02319C"/>
    <w:rsid w:val="3D5724FE"/>
    <w:rsid w:val="3D6D1C91"/>
    <w:rsid w:val="3E61503D"/>
    <w:rsid w:val="3E927592"/>
    <w:rsid w:val="3F413AD3"/>
    <w:rsid w:val="3F6D3EF0"/>
    <w:rsid w:val="40496BCB"/>
    <w:rsid w:val="40580367"/>
    <w:rsid w:val="419911B4"/>
    <w:rsid w:val="41CF70DE"/>
    <w:rsid w:val="41FE0437"/>
    <w:rsid w:val="429E310A"/>
    <w:rsid w:val="43200694"/>
    <w:rsid w:val="44B87626"/>
    <w:rsid w:val="450B4432"/>
    <w:rsid w:val="4561381A"/>
    <w:rsid w:val="45CF69D6"/>
    <w:rsid w:val="45DD5596"/>
    <w:rsid w:val="468F6C89"/>
    <w:rsid w:val="471C39BB"/>
    <w:rsid w:val="4766336A"/>
    <w:rsid w:val="4803505C"/>
    <w:rsid w:val="48E22159"/>
    <w:rsid w:val="49917190"/>
    <w:rsid w:val="499B426E"/>
    <w:rsid w:val="4A1175E4"/>
    <w:rsid w:val="4A2507EC"/>
    <w:rsid w:val="4A3B526E"/>
    <w:rsid w:val="4A6177D2"/>
    <w:rsid w:val="4B447E66"/>
    <w:rsid w:val="4B8F6A55"/>
    <w:rsid w:val="4C2B3189"/>
    <w:rsid w:val="4CC8598D"/>
    <w:rsid w:val="4DAC7DFD"/>
    <w:rsid w:val="4E5D6597"/>
    <w:rsid w:val="4E7443A9"/>
    <w:rsid w:val="4F2328A4"/>
    <w:rsid w:val="4F5E49A9"/>
    <w:rsid w:val="4FB37368"/>
    <w:rsid w:val="514101E6"/>
    <w:rsid w:val="516C0F7E"/>
    <w:rsid w:val="51F63283"/>
    <w:rsid w:val="51F7178E"/>
    <w:rsid w:val="52043EAB"/>
    <w:rsid w:val="526754B2"/>
    <w:rsid w:val="52677AEF"/>
    <w:rsid w:val="52DC0984"/>
    <w:rsid w:val="54A7213D"/>
    <w:rsid w:val="554D7917"/>
    <w:rsid w:val="559E63C4"/>
    <w:rsid w:val="56431446"/>
    <w:rsid w:val="56732580"/>
    <w:rsid w:val="56A5017F"/>
    <w:rsid w:val="56C225BA"/>
    <w:rsid w:val="57B8376D"/>
    <w:rsid w:val="58D66D2D"/>
    <w:rsid w:val="596D0588"/>
    <w:rsid w:val="5A01540E"/>
    <w:rsid w:val="5ACA7AC3"/>
    <w:rsid w:val="5B9A71BE"/>
    <w:rsid w:val="5BB625AD"/>
    <w:rsid w:val="5BD448EE"/>
    <w:rsid w:val="5D190A85"/>
    <w:rsid w:val="5DC14446"/>
    <w:rsid w:val="5E6463FD"/>
    <w:rsid w:val="5F5875E4"/>
    <w:rsid w:val="5FC44C79"/>
    <w:rsid w:val="60363DC9"/>
    <w:rsid w:val="60A0100E"/>
    <w:rsid w:val="617F4CBC"/>
    <w:rsid w:val="619959CB"/>
    <w:rsid w:val="61B03707"/>
    <w:rsid w:val="62440991"/>
    <w:rsid w:val="627B1F67"/>
    <w:rsid w:val="62A63B19"/>
    <w:rsid w:val="62E278F0"/>
    <w:rsid w:val="62FB540E"/>
    <w:rsid w:val="636E7D8C"/>
    <w:rsid w:val="646D768E"/>
    <w:rsid w:val="64A70DF2"/>
    <w:rsid w:val="64B11C70"/>
    <w:rsid w:val="6554084E"/>
    <w:rsid w:val="655C7807"/>
    <w:rsid w:val="656F2FA2"/>
    <w:rsid w:val="65EB5492"/>
    <w:rsid w:val="66293A88"/>
    <w:rsid w:val="6635242D"/>
    <w:rsid w:val="66867873"/>
    <w:rsid w:val="6719049E"/>
    <w:rsid w:val="6749676F"/>
    <w:rsid w:val="679D028A"/>
    <w:rsid w:val="679F73D4"/>
    <w:rsid w:val="67B01B69"/>
    <w:rsid w:val="67B95CF3"/>
    <w:rsid w:val="67CE0D8B"/>
    <w:rsid w:val="67D47E05"/>
    <w:rsid w:val="68016A6B"/>
    <w:rsid w:val="6953779A"/>
    <w:rsid w:val="696500AC"/>
    <w:rsid w:val="69A43F48"/>
    <w:rsid w:val="6A8665AD"/>
    <w:rsid w:val="6A8E3615"/>
    <w:rsid w:val="6AE43BE2"/>
    <w:rsid w:val="6C6B0755"/>
    <w:rsid w:val="6D2F1E41"/>
    <w:rsid w:val="6D7C4ED1"/>
    <w:rsid w:val="6EC35897"/>
    <w:rsid w:val="6EF72978"/>
    <w:rsid w:val="6F360DAF"/>
    <w:rsid w:val="6F4B1E4F"/>
    <w:rsid w:val="6FBF5CA9"/>
    <w:rsid w:val="6FFA0B53"/>
    <w:rsid w:val="706D2F7B"/>
    <w:rsid w:val="70721850"/>
    <w:rsid w:val="70850C84"/>
    <w:rsid w:val="7151732B"/>
    <w:rsid w:val="71E66B2C"/>
    <w:rsid w:val="728A3ABA"/>
    <w:rsid w:val="730234A7"/>
    <w:rsid w:val="73496396"/>
    <w:rsid w:val="736D487B"/>
    <w:rsid w:val="736E0E6D"/>
    <w:rsid w:val="73781BAB"/>
    <w:rsid w:val="75046C41"/>
    <w:rsid w:val="75AA2D6E"/>
    <w:rsid w:val="75D21A46"/>
    <w:rsid w:val="762F50EB"/>
    <w:rsid w:val="76822451"/>
    <w:rsid w:val="76B30ACF"/>
    <w:rsid w:val="77573E97"/>
    <w:rsid w:val="785C5DE4"/>
    <w:rsid w:val="789B25C4"/>
    <w:rsid w:val="789C6E79"/>
    <w:rsid w:val="79B95EEB"/>
    <w:rsid w:val="79C33DD5"/>
    <w:rsid w:val="7A5549F4"/>
    <w:rsid w:val="7A91537F"/>
    <w:rsid w:val="7AC63870"/>
    <w:rsid w:val="7BDB34DF"/>
    <w:rsid w:val="7C122B9D"/>
    <w:rsid w:val="7C753C06"/>
    <w:rsid w:val="7C9F15B4"/>
    <w:rsid w:val="7CA003F4"/>
    <w:rsid w:val="7CB959D2"/>
    <w:rsid w:val="7D004222"/>
    <w:rsid w:val="7D3A719C"/>
    <w:rsid w:val="7DAA5057"/>
    <w:rsid w:val="7E2348D9"/>
    <w:rsid w:val="7E795155"/>
    <w:rsid w:val="7EBE0DBA"/>
    <w:rsid w:val="7EF67EA8"/>
    <w:rsid w:val="7F3B240A"/>
    <w:rsid w:val="7F4A4D43"/>
    <w:rsid w:val="7F9A4CEF"/>
    <w:rsid w:val="979FD1C0"/>
    <w:rsid w:val="9BFFF715"/>
    <w:rsid w:val="CFFF5B01"/>
    <w:rsid w:val="D9BF8CD3"/>
    <w:rsid w:val="DBFF294E"/>
    <w:rsid w:val="DFCF36B8"/>
    <w:rsid w:val="ED7FCE02"/>
    <w:rsid w:val="EEBB52F2"/>
    <w:rsid w:val="EFD74462"/>
    <w:rsid w:val="F9B3A17C"/>
    <w:rsid w:val="FBF5B88E"/>
    <w:rsid w:val="FBFE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5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3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autoRedefine/>
    <w:semiHidden/>
    <w:unhideWhenUsed/>
    <w:qFormat/>
    <w:uiPriority w:val="99"/>
    <w:pPr>
      <w:ind w:firstLine="420" w:firstLineChars="200"/>
    </w:pPr>
  </w:style>
  <w:style w:type="paragraph" w:styleId="3">
    <w:name w:val="Body Text Indent"/>
    <w:basedOn w:val="1"/>
    <w:autoRedefine/>
    <w:semiHidden/>
    <w:unhideWhenUsed/>
    <w:qFormat/>
    <w:uiPriority w:val="99"/>
    <w:pPr>
      <w:spacing w:after="120" w:afterLines="0" w:afterAutospacing="0"/>
      <w:ind w:left="420" w:leftChars="200"/>
    </w:pPr>
  </w:style>
  <w:style w:type="paragraph" w:styleId="6">
    <w:name w:val="Body Text"/>
    <w:basedOn w:val="1"/>
    <w:autoRedefine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qFormat/>
    <w:uiPriority w:val="0"/>
  </w:style>
  <w:style w:type="paragraph" w:styleId="10">
    <w:name w:val="toc 2"/>
    <w:basedOn w:val="1"/>
    <w:next w:val="1"/>
    <w:autoRedefine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autoRedefine/>
    <w:qFormat/>
    <w:uiPriority w:val="0"/>
    <w:rPr>
      <w:b/>
    </w:rPr>
  </w:style>
  <w:style w:type="character" w:styleId="17">
    <w:name w:val="Hyperlink"/>
    <w:basedOn w:val="15"/>
    <w:autoRedefine/>
    <w:qFormat/>
    <w:uiPriority w:val="0"/>
    <w:rPr>
      <w:color w:val="0000FF"/>
      <w:u w:val="single"/>
    </w:rPr>
  </w:style>
  <w:style w:type="table" w:customStyle="1" w:styleId="1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4"/>
      <w:szCs w:val="14"/>
      <w:lang w:val="en-US" w:eastAsia="en-US" w:bidi="ar-SA"/>
    </w:rPr>
  </w:style>
  <w:style w:type="paragraph" w:customStyle="1" w:styleId="20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题目 2"/>
    <w:next w:val="23"/>
    <w:autoRedefine/>
    <w:qFormat/>
    <w:uiPriority w:val="0"/>
    <w:pPr>
      <w:spacing w:after="120"/>
      <w:outlineLvl w:val="1"/>
    </w:pPr>
    <w:rPr>
      <w:rFonts w:hint="eastAsia" w:ascii="Arial Unicode MS" w:hAnsi="Arial Unicode MS" w:eastAsia="Hoefler Text" w:cs="Arial Unicode MS"/>
      <w:b/>
      <w:bCs/>
      <w:color w:val="008CB4"/>
      <w:spacing w:val="2"/>
      <w:kern w:val="2"/>
      <w:sz w:val="28"/>
      <w:szCs w:val="28"/>
      <w:lang w:val="zh-CN" w:eastAsia="zh-CN" w:bidi="ar-SA"/>
    </w:rPr>
  </w:style>
  <w:style w:type="paragraph" w:customStyle="1" w:styleId="23">
    <w:name w:val="正文1"/>
    <w:autoRedefine/>
    <w:qFormat/>
    <w:uiPriority w:val="0"/>
    <w:pPr>
      <w:spacing w:before="80" w:after="180" w:line="288" w:lineRule="auto"/>
    </w:pPr>
    <w:rPr>
      <w:rFonts w:hint="eastAsia" w:ascii="Arial Unicode MS" w:hAnsi="Arial Unicode MS" w:eastAsia="Hoefler Text" w:cs="Arial Unicode MS"/>
      <w:color w:val="000000"/>
      <w:kern w:val="2"/>
      <w:sz w:val="22"/>
      <w:szCs w:val="22"/>
      <w:lang w:val="zh-CN" w:eastAsia="zh-CN" w:bidi="ar-SA"/>
    </w:rPr>
  </w:style>
  <w:style w:type="paragraph" w:customStyle="1" w:styleId="24">
    <w:name w:val="自由格式"/>
    <w:autoRedefine/>
    <w:qFormat/>
    <w:uiPriority w:val="0"/>
    <w:rPr>
      <w:rFonts w:hint="eastAsia" w:ascii="Arial Unicode MS" w:hAnsi="Arial Unicode MS" w:eastAsia="Avenir Next Regular" w:cs="Arial Unicode MS"/>
      <w:color w:val="2F2D2B"/>
      <w:kern w:val="2"/>
      <w:sz w:val="22"/>
      <w:szCs w:val="22"/>
      <w:lang w:val="zh-CN" w:eastAsia="zh-CN" w:bidi="ar-SA"/>
    </w:rPr>
  </w:style>
  <w:style w:type="character" w:customStyle="1" w:styleId="25">
    <w:name w:val="无间隔 Char"/>
    <w:basedOn w:val="15"/>
    <w:link w:val="26"/>
    <w:autoRedefine/>
    <w:qFormat/>
    <w:uiPriority w:val="0"/>
    <w:rPr>
      <w:rFonts w:hint="default" w:ascii="Times New Roman" w:hAnsi="Times New Roman" w:eastAsia="宋体"/>
      <w:sz w:val="22"/>
    </w:rPr>
  </w:style>
  <w:style w:type="paragraph" w:customStyle="1" w:styleId="26">
    <w:name w:val="No Spacing"/>
    <w:link w:val="25"/>
    <w:autoRedefine/>
    <w:qFormat/>
    <w:uiPriority w:val="0"/>
    <w:rPr>
      <w:rFonts w:hint="default" w:ascii="Times New Roman" w:hAnsi="Times New Roman" w:eastAsia="宋体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baotongx\Library\Containers\com.kingsoft.wpsoffice.mac\Data\C:\Users\baotongx\Library\Containers\com.kingsoft.wpsoffice.mac\Data\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513</Words>
  <Characters>1014</Characters>
  <Lines>1</Lines>
  <Paragraphs>1</Paragraphs>
  <TotalTime>13</TotalTime>
  <ScaleCrop>false</ScaleCrop>
  <LinksUpToDate>false</LinksUpToDate>
  <CharactersWithSpaces>1131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2024-01-06T07:20:00Z</dcterms:created>
  <dc:creator>魏文广</dc:creator>
  <cp:lastModifiedBy>把耳朵捂住</cp:lastModifiedBy>
  <dcterms:modified xsi:type="dcterms:W3CDTF">2025-12-31T03:28:16Z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ABA8A5338AC84097AEDCF6C71B86DE80_13</vt:lpwstr>
  </property>
  <property fmtid="{D5CDD505-2E9C-101B-9397-08002B2CF9AE}" pid="4" name="KSOTemplateDocerSaveRecord">
    <vt:lpwstr>eyJoZGlkIjoiOTg1ZmMzMWQ2MDMwZDZmYmNkMDVmNDBiNzAyOWVkZDIiLCJ1c2VySWQiOiI3NDk2MDYxIn0=</vt:lpwstr>
  </property>
</Properties>
</file>