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Panel Delphi multiagente para decisiones en proyectos informáticos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Informe técnico · Evaluación Parcial N°2 (Encargo) · ISY0101 Ingeniería de Soluciones con IA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Integrantes: Pamela Alvarez · Jenaro Marín · Juan Andrés Salas   |   Docente: </w:t>
      </w:r>
      <w:r>
        <w:rPr>
          <w:rFonts w:ascii="Calibri" w:cs="Calibri" w:eastAsia="Calibri" w:hAnsi="Calibri"/>
          <w:sz w:val="20"/>
          <w:szCs w:val="20"/>
          <w:highlight w:val="yellow"/>
        </w:rPr>
        <w:t xml:space="preserve">[completar]</w:t>
      </w:r>
      <w:r>
        <w:rPr>
          <w:rFonts w:ascii="Calibri" w:cs="Calibri" w:eastAsia="Calibri" w:hAnsi="Calibri"/>
          <w:sz w:val="20"/>
          <w:szCs w:val="20"/>
        </w:rPr>
        <w:t xml:space="preserve">   |   Octubre de 2026</w:t>
      </w:r>
    </w:p>
    <w:p>
      <w:pPr>
        <w:pBdr>
          <w:bottom w:val="single" w:color="1F3864" w:sz="8" w:space="4"/>
        </w:pBd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Repositorio: </w:t>
      </w:r>
      <w:hyperlink w:history="1" r:id="rIdlj2ksyaa2uzldv6r0s2wz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github.com/jasalass/MultiAgente_Crew_AI</w:t>
        </w:r>
      </w:hyperlink>
      <w:r>
        <w:rPr>
          <w:rFonts w:ascii="Calibri" w:cs="Calibri" w:eastAsia="Calibri" w:hAnsi="Calibri"/>
          <w:sz w:val="20"/>
          <w:szCs w:val="20"/>
        </w:rPr>
        <w:t xml:space="preserve"> (README con guía de estudio, diagramas en docs/img y evidencia en outputs/)</w:t>
      </w:r>
    </w:p>
    <w:p>
      <w:pPr>
        <w:shd w:fill="FFF2CC" w:color="auto" w:val="clear"/>
        <w:spacing w:after="100"/>
      </w:pPr>
      <w:r>
        <w:rPr>
          <w:rFonts w:ascii="Calibri" w:cs="Calibri" w:eastAsia="Calibri" w:hAnsi="Calibri"/>
          <w:b/>
          <w:bCs/>
          <w:color w:val="7F6000"/>
          <w:sz w:val="19"/>
          <w:szCs w:val="19"/>
        </w:rPr>
        <w:t xml:space="preserve">Nota para el equipo (borrar antes de entregar): </w:t>
      </w:r>
      <w:r>
        <w:rPr>
          <w:rFonts w:ascii="Calibri" w:cs="Calibri" w:eastAsia="Calibri" w:hAnsi="Calibri"/>
          <w:color w:val="7F6000"/>
          <w:sz w:val="19"/>
          <w:szCs w:val="19"/>
        </w:rPr>
        <w:t xml:space="preserve">este borrador se generó con IA a partir del repositorio. Las secciones descriptivas deben revisarse; las secciones en amarillo (justificación técnica, conclusiones y reflexiones individuales) deben redactarlas ustedes sin IA, como exige la pauta.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Requerimiento organizacional y objetivo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Antes de construir un sistema, un equipo debe tomar decisiones difíciles de revertir (arquitectura, nube, stack, seguridad, alcance). Cuando las toma una sola persona, sus sesgos pasan al proyecto; y en una reunión, la opinión de mayor jerarquía suele arrastrar al resto. El sistema aplica 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método Delphi</w:t>
      </w:r>
      <w:r>
        <w:rPr>
          <w:rFonts w:ascii="Calibri" w:cs="Calibri" w:eastAsia="Calibri" w:hAnsi="Calibri"/>
          <w:sz w:val="21"/>
          <w:szCs w:val="21"/>
        </w:rPr>
        <w:t xml:space="preserve"> con un panel de 5 a 7 expertos de TI simulados por modelos de lenguaje de familias distintas: responden por separado y de forma anónima, reciben un resumen estadístico del grupo y pueden reconsiderar en rondas sucesivas. A partir de la descripción de un proyecto, entrega 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veredicto de viabilidad</w:t>
      </w:r>
      <w:r>
        <w:rPr>
          <w:rFonts w:ascii="Calibri" w:cs="Calibri" w:eastAsia="Calibri" w:hAnsi="Calibri"/>
          <w:sz w:val="21"/>
          <w:szCs w:val="21"/>
        </w:rPr>
        <w:t xml:space="preserve">, decisiones recomendadas (firmes, condicionadas o abiertas), un ADR (Architecture Decision Record) por decisión y los riesgos ordenados por gravedad.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Diseño e implementación del agente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tiene cuatro capas (Figura 1): pantallas en Streamlit, una API en FastAPI que encola y persiste los análisis, un motor en Python que orquesta las rondas y aplica las reglas, y los equipos de agentes en CrewAI que llaman a los modelos.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figura1" descr="Visión general: pantallas, API, motor Delphi, equipo de IA y proveedores de modelo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Visión general: pantallas, API, motor Delphi, equipo de IA y proveedores de modelos.</w:t>
      </w:r>
    </w:p>
    <w:p>
      <w:pPr>
        <w:pStyle w:val="Heading2"/>
        <w:spacing w:after="40" w:before="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2.1 Frameworks y componentes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Función en el sistema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Orquestación de agentes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CrewAI 1.15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Process.hierarchical en cada ronda (Moderador como manager_agent) y Process.sequential en el Asesor normativo.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Modelos de lenguaje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gpt-oss-120b y gpt-oss-20b (Groq); Gemini 3.5 Flash y Gemma 4 31B (Google)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Moderador y Asesor (gpt-oss-120b, 4 keys rotadas); expertos de tres familias distintas.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Recuperación semántica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gemini-embedding-001 + índice vectorial local (NumPy)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RAG sobre la Ley 21.719 y memoria institucional de análisis anteriores.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y persistencia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FastAPI + RunStore en disco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Cola de análisis, eventos en vivo, informe, ADR y estado de cada ejecución.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Streamlit + Plotly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Formulario, ejecución en vivo por etapas, veredicto, decisiones, riesgos e historial.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Contratos</w:t>
            </w:r>
          </w:p>
        </w:tc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Pydantic</w:t>
            </w:r>
          </w:p>
        </w:tc>
        <w:tc>
          <w:tcPr>
            <w:tcW w:type="dxa" w:w="43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Validación del JSON de cada experto y de todos los datos intercambiados.</w:t>
            </w:r>
          </w:p>
        </w:tc>
      </w:tr>
    </w:tbl>
    <w:p>
      <w:pPr>
        <w:pStyle w:val="Heading2"/>
        <w:spacing w:after="40" w:before="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2.2 Herramientas de consulta, escritura y razonamiento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herramientas son clases </w:t>
      </w:r>
      <w:r>
        <w:rPr>
          <w:rFonts w:ascii="Consolas" w:cs="Consolas" w:eastAsia="Consolas" w:hAnsi="Consolas"/>
          <w:sz w:val="19"/>
          <w:szCs w:val="19"/>
        </w:rPr>
        <w:t xml:space="preserve">BaseTool</w:t>
      </w:r>
      <w:r>
        <w:rPr>
          <w:rFonts w:ascii="Calibri" w:cs="Calibri" w:eastAsia="Calibri" w:hAnsi="Calibri"/>
          <w:sz w:val="21"/>
          <w:szCs w:val="21"/>
        </w:rPr>
        <w:t xml:space="preserve"> de CrewAI con esquema de parámetros y estado (registran cada uso). El agente decide cuándo llamarlas y declara el motivo de cada llamada, que se muestra en la ejecución en vivo.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3688"/>
        <w:gridCol w:w="2000"/>
      </w:tblGrid>
      <w:tr>
        <w:trPr>
          <w:tblHeader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 usa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consultar_ley_21719</w:t>
            </w:r>
          </w:p>
        </w:tc>
        <w:tc>
          <w:tcPr>
            <w:tcW w:type="dxa" w:w="1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Consulta</w:t>
            </w:r>
          </w:p>
        </w:tc>
        <w:tc>
          <w:tcPr>
            <w:tcW w:type="dxa" w:w="36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Búsqueda semántica en los 140 artículos de la Ley 21.719; devuelve fragmentos con su cita.</w:t>
            </w:r>
          </w:p>
        </w:tc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Investigador normativo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buscar_analisis_anteriores</w:t>
            </w:r>
          </w:p>
        </w:tc>
        <w:tc>
          <w:tcPr>
            <w:tcW w:type="dxa" w:w="1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Consulta (memoria)</w:t>
            </w:r>
          </w:p>
        </w:tc>
        <w:tc>
          <w:tcPr>
            <w:tcW w:type="dxa" w:w="36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Recupera análisis terminados parecidos: veredicto, decisiones y riesgos.</w:t>
            </w:r>
          </w:p>
        </w:tc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Investigador normativo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guardar_ficha</w:t>
            </w:r>
          </w:p>
        </w:tc>
        <w:tc>
          <w:tcPr>
            <w:tcW w:type="dxa" w:w="1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Escritura</w:t>
            </w:r>
          </w:p>
        </w:tc>
        <w:tc>
          <w:tcPr>
            <w:tcW w:type="dxa" w:w="36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Escribe la ficha de contexto (ficha_contexto.md) que recibe todo el panel.</w:t>
            </w:r>
          </w:p>
        </w:tc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Redactor de la ficha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Delegación de CrewAI</w:t>
            </w:r>
          </w:p>
        </w:tc>
        <w:tc>
          <w:tcPr>
            <w:tcW w:type="dxa" w:w="1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Coordinación</w:t>
            </w:r>
          </w:p>
        </w:tc>
        <w:tc>
          <w:tcPr>
            <w:tcW w:type="dxa" w:w="36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Moderador delega en cada experto su cuestionario.</w:t>
            </w:r>
          </w:p>
        </w:tc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Moderador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DelphiStatsTool / stats.py</w:t>
            </w:r>
          </w:p>
        </w:tc>
        <w:tc>
          <w:tcPr>
            <w:tcW w:type="dxa" w:w="14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Razonamiento</w:t>
            </w:r>
          </w:p>
        </w:tc>
        <w:tc>
          <w:tcPr>
            <w:tcW w:type="dxa" w:w="36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Mediana, cuartiles, IQR, consenso y reglas de decisión, de forma determinista.</w:t>
            </w:r>
          </w:p>
        </w:tc>
        <w:tc>
          <w:tcPr>
            <w:tcW w:type="dxa" w:w="2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Motor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Memoria y recuperación de contexto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Corto plazo (dentro de un análisis): </w:t>
      </w:r>
      <w:r>
        <w:rPr>
          <w:rFonts w:ascii="Calibri" w:cs="Calibri" w:eastAsia="Calibri" w:hAnsi="Calibri"/>
          <w:sz w:val="21"/>
          <w:szCs w:val="21"/>
        </w:rPr>
        <w:t xml:space="preserve">en las rondas 2 y 3, cada experto recibe su propia respuesta anterior y el resumen anónimo del grupo (medianas, IQR y argumentos sin autor), y debe justificar si se aleja del rango intercuartílico. La memoria propia de CrewAI se desactiva (memory=False) para que ningún experto vea lo que dijo otro.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Largo plazo (entre análisis): </w:t>
      </w:r>
      <w:r>
        <w:rPr>
          <w:rFonts w:ascii="Calibri" w:cs="Calibri" w:eastAsia="Calibri" w:hAnsi="Calibri"/>
          <w:sz w:val="21"/>
          <w:szCs w:val="21"/>
        </w:rPr>
        <w:t xml:space="preserve">cada análisis terminado se indexa con embeddings en una memoria institucional; cuando llega un proyecto parecido, el Asesor recupera su veredicto, decisiones y riesgos como «lecciones de análisis anteriores».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Recuperación semántica (RAG): </w:t>
      </w:r>
      <w:r>
        <w:rPr>
          <w:rFonts w:ascii="Calibri" w:cs="Calibri" w:eastAsia="Calibri" w:hAnsi="Calibri"/>
          <w:sz w:val="21"/>
          <w:szCs w:val="21"/>
        </w:rPr>
        <w:t xml:space="preserve">reutiliza los 140 fragmentos por artículo de la Ley 21.719 producidos en la Evaluación Parcial 1, reindexados con gemini-embedding-001 y búsqueda por similitud coseno. Sin conexión, cae a coincidencia de palabras ponderada por IDF.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anti-alucinación: </w:t>
      </w:r>
      <w:r>
        <w:rPr>
          <w:rFonts w:ascii="Calibri" w:cs="Calibri" w:eastAsia="Calibri" w:hAnsi="Calibri"/>
          <w:sz w:val="21"/>
          <w:szCs w:val="21"/>
        </w:rPr>
        <w:t xml:space="preserve">el código verifica que cada cita de la ficha provenga de la búsqueda y que no se mencionen análisis anteriores sin haber consultado la memoria; lo no verificado queda marcado en la ficha y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Consulta del agente (ejemplos reales)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Artículo recuperado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«requisitos para tratar datos de salud de pacientes»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Ley 19.628 art. 16 bis, datos sensibles de salud (texto según Ley 21.719)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«enviar datos personales a servidores en otro país»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Art. 27, transferencia internacional; art. 1 bis, ámbito territorial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«multas por filtración de datos»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Arts. 35 (sanciones), 37 (monto de las multas) y 34 (infracciones)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 Planificación y toma de decisiones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flujo de una ejecución combina planificación por agentes y secuenciación por reglas: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Asesor normativo</w:t>
      </w:r>
      <w:r>
        <w:rPr>
          <w:rFonts w:ascii="Calibri" w:cs="Calibri" w:eastAsia="Calibri" w:hAnsi="Calibri"/>
          <w:sz w:val="21"/>
          <w:szCs w:val="21"/>
        </w:rPr>
        <w:t xml:space="preserve"> (Crew secuencial de dos agentes): el Investigador decide si el proyecto trata datos personales y planifica sus consultas; el Redactor escribe la ficha con las notas (context=[tarea_anterior]).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Cuestionario</w:t>
      </w:r>
      <w:r>
        <w:rPr>
          <w:rFonts w:ascii="Calibri" w:cs="Calibri" w:eastAsia="Calibri" w:hAnsi="Calibri"/>
          <w:sz w:val="21"/>
          <w:szCs w:val="21"/>
        </w:rPr>
        <w:t xml:space="preserve">: el Moderador identifica 3 a 5 decisiones clave y 6 a 10 evaluaciones; el código lo acota y agrega siempre la pregunta de viabilidad global.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Rondas</w:t>
      </w:r>
      <w:r>
        <w:rPr>
          <w:rFonts w:ascii="Calibri" w:cs="Calibri" w:eastAsia="Calibri" w:hAnsi="Calibri"/>
          <w:sz w:val="21"/>
          <w:szCs w:val="21"/>
        </w:rPr>
        <w:t xml:space="preserve">: un Crew jerárquico por experto, en paralelo, con enunciado sellado (el Moderador no puede alterar lo que recibe ni lo que responde el experto).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Decisión de continuar</w:t>
      </w:r>
      <w:r>
        <w:rPr>
          <w:rFonts w:ascii="Calibri" w:cs="Calibri" w:eastAsia="Calibri" w:hAnsi="Calibri"/>
          <w:sz w:val="21"/>
          <w:szCs w:val="21"/>
        </w:rPr>
        <w:t xml:space="preserve">: el código aplica las reglas (consenso ≥ 80 % de ítems con IQR ≤ 1, estabilidad, mínimo 2 y máximo 3 rondas).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Cierre</w:t>
      </w:r>
      <w:r>
        <w:rPr>
          <w:rFonts w:ascii="Calibri" w:cs="Calibri" w:eastAsia="Calibri" w:hAnsi="Calibri"/>
          <w:sz w:val="21"/>
          <w:szCs w:val="21"/>
        </w:rPr>
        <w:t xml:space="preserve">: veredicto de viabilidad, clasificación de cada decisión, riesgos consolidados, ADR e indexación en la memoria.</w:t>
      </w:r>
    </w:p>
    <w:p>
      <w:pPr>
        <w:spacing w:after="80" w:before="6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comportamiento se adapta a condiciones cambiantes: el Asesor cambia su plan según el proyecto (datos de salud en clínicas; consentimiento y datos financieros en el marketplace), y ante límites de los proveedores el motor reintenta con espera (429, 500) o reasigna el experto a otro modelo respetando los roles afines (413, 404, respuestas inválidas), registrándolo como evento cambio_modelo.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 Pruebas y evidencia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repositorio incluye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171 pruebas automatizadas</w:t>
      </w:r>
      <w:r>
        <w:rPr>
          <w:rFonts w:ascii="Calibri" w:cs="Calibri" w:eastAsia="Calibri" w:hAnsi="Calibri"/>
          <w:sz w:val="21"/>
          <w:szCs w:val="21"/>
        </w:rPr>
        <w:t xml:space="preserve"> (pytest) que se ejecutan sin red ni keys: estadística y reglas, contratos, API, ModelPool, independencia de los expertos, herramientas, RAG, memoria, verificación anti-alucinación y frontend. Además se ejecutaron análisis con modelos reales: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438"/>
      </w:tblGrid>
      <w:tr>
        <w:trPr>
          <w:tblHeader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 de ejemplo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Consenso R1 → R2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de clínicas (viable)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100 % → 100 %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Monolito modular, PaaS gestionado y PWA: tres decisiones firmes.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Migración de ERP (polémico)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96 % → 96 %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Lift &amp; shift y mantener Oracle (firmes); dos decisiones condicionadas por empate; un ítem sin consenso.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Marketplace con IA (débil), con Asesor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84 % → 100 %</w:t>
            </w:r>
          </w:p>
        </w:tc>
        <w:tc>
          <w:tcPr>
            <w:tcW w:type="dxa" w:w="543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Veredicto: NO VIABLE tal como está planteado (mediana 2, IQR 0); recomienda recortar a un MVP. La verificación marcó 3 citas no recuperadas.</w:t>
            </w:r>
          </w:p>
        </w:tc>
      </w:tr>
    </w:tbl>
    <w:p>
      <w:pPr>
        <w:spacing w:after="80" w:before="6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ejecución deja trazabilidad en </w:t>
      </w:r>
      <w:r>
        <w:rPr>
          <w:rFonts w:ascii="Consolas" w:cs="Consolas" w:eastAsia="Consolas" w:hAnsi="Consolas"/>
          <w:sz w:val="19"/>
          <w:szCs w:val="19"/>
        </w:rPr>
        <w:t xml:space="preserve">outputs/runs/&lt;id&gt;/</w:t>
      </w:r>
      <w:r>
        <w:rPr>
          <w:rFonts w:ascii="Calibri" w:cs="Calibri" w:eastAsia="Calibri" w:hAnsi="Calibri"/>
          <w:sz w:val="21"/>
          <w:szCs w:val="21"/>
        </w:rPr>
        <w:t xml:space="preserve">: informe, ADR, eventos, rondas y ficha de contexto. Limitación conocida: con los planes gratuitos, gpt-oss-20b solo participa en la ronda 1 (supera el límite de tokens por minuto de Groq en la ronda 2) y su experto pasa automáticamente a otro modelo.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 Justificación de la orquestación y de los componentes</w:t>
      </w:r>
    </w:p>
    <w:p>
      <w:pPr>
        <w:shd w:fill="FFF2CC" w:color="auto" w:val="clear"/>
        <w:spacing w:after="40"/>
      </w:pPr>
      <w:r>
        <w:rPr>
          <w:rFonts w:ascii="Calibri" w:cs="Calibri" w:eastAsia="Calibri" w:hAnsi="Calibri"/>
          <w:b/>
          <w:bCs/>
          <w:color w:val="7F6000"/>
          <w:sz w:val="21"/>
          <w:szCs w:val="21"/>
        </w:rPr>
        <w:t xml:space="preserve">✍ Redactar el equipo (sin IA). Preguntas guía; la evidencia está en la Guía de estudio del README: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¿Por qué CrewAI y por qué proceso jerárquico en las rondas y secuencial en el Asesor?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¿Por qué un Crew por experto, enunciado sellado y salida tomada directo del experto?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¿Por qué modelos de familias distintas y por qué las reglas (veredicto, consenso) las aplica el código y no la IA?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¿Por qué reutilizar el RAG de la EP1 con embeddings y un índice local en lugar de pgvector?</w:t>
      </w:r>
    </w:p>
    <w:p>
      <w:pPr>
        <w:spacing w:after="60"/>
      </w:pP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 Conclusiones</w:t>
      </w:r>
    </w:p>
    <w:p>
      <w:pPr>
        <w:shd w:fill="FFF2CC" w:color="auto" w:val="clear"/>
        <w:spacing w:after="40"/>
      </w:pPr>
      <w:r>
        <w:rPr>
          <w:rFonts w:ascii="Calibri" w:cs="Calibri" w:eastAsia="Calibri" w:hAnsi="Calibri"/>
          <w:b/>
          <w:bCs/>
          <w:color w:val="7F6000"/>
          <w:sz w:val="21"/>
          <w:szCs w:val="21"/>
        </w:rPr>
        <w:t xml:space="preserve">✍ Redactar el equipo (sin IA):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¿Se cumplió el objetivo? ¿Qué aprendimos de los resultados de los tres proyectos y de las limitaciones?</w:t>
      </w:r>
    </w:p>
    <w:p>
      <w:pPr>
        <w:spacing w:after="60"/>
      </w:pP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 Reflexiones individuales</w:t>
      </w:r>
    </w:p>
    <w:p>
      <w:pPr>
        <w:shd w:fill="FFF2CC" w:color="auto" w:val="clear"/>
        <w:spacing w:after="40"/>
      </w:pPr>
      <w:r>
        <w:rPr>
          <w:rFonts w:ascii="Calibri" w:cs="Calibri" w:eastAsia="Calibri" w:hAnsi="Calibri"/>
          <w:b/>
          <w:bCs/>
          <w:color w:val="7F6000"/>
          <w:sz w:val="21"/>
          <w:szCs w:val="21"/>
        </w:rPr>
        <w:t xml:space="preserve">✍ Cada integrante, sin apoyo de IA (aprendizaje y contribución al proyecto):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Juan Andrés Salas: ...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Pamela Alvarez: ...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Jenaro Marín: ...</w:t>
      </w:r>
    </w:p>
    <w:p>
      <w:pPr>
        <w:spacing w:after="60"/>
      </w:pP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 Declaración de uso de inteligencia artificial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utilizó Claude Code (Anthropic, modelo Claude Opus 5.5) como apoyo para generar, revisar y depurar código, escribir pruebas, diagnosticar los límites de los proveedores con corridas reales y redactar la documentación técnica, los diagramas y este borrador. Los modelos que usa el sistema (gpt-oss, Gemini, Gemma y los embeddings de Google) son parte de la solución. </w:t>
      </w:r>
    </w:p>
    <w:p>
      <w:pPr>
        <w:shd w:fill="FFF2CC" w:color="auto" w:val="clear"/>
        <w:spacing w:after="40"/>
      </w:pPr>
      <w:r>
        <w:rPr>
          <w:rFonts w:ascii="Calibri" w:cs="Calibri" w:eastAsia="Calibri" w:hAnsi="Calibri"/>
          <w:b/>
          <w:bCs/>
          <w:color w:val="7F6000"/>
          <w:sz w:val="21"/>
          <w:szCs w:val="21"/>
        </w:rPr>
        <w:t xml:space="preserve">✍ Completar el equipo:</w:t>
      </w:r>
    </w:p>
    <w:p>
      <w:pPr>
        <w:shd w:fill="FFF2CC" w:color="auto" w:val="clear"/>
        <w:spacing w:after="20"/>
        <w:ind w:left="284"/>
      </w:pPr>
      <w:r>
        <w:rPr>
          <w:rFonts w:ascii="Calibri" w:cs="Calibri" w:eastAsia="Calibri" w:hAnsi="Calibri"/>
          <w:i/>
          <w:iCs/>
          <w:color w:val="7F6000"/>
          <w:sz w:val="19"/>
          <w:szCs w:val="19"/>
        </w:rPr>
        <w:t xml:space="preserve">• Cómo revisaron y validaron el contenido generado con IA, y qué decisiones tomaron ustedes.</w:t>
      </w:r>
    </w:p>
    <w:p>
      <w:pPr>
        <w:spacing w:after="60"/>
      </w:pP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 Referencias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Anthropic. (2026). Claude Code (Claude Opus 5.5) [Modelo de lenguaje de gran escala]. https://claude.com/claude-code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Biblioteca del Congreso Nacional de Chile. (2024). Ley N° 21.719: Regula la protección y el tratamiento de los datos personales y crea la Agencia de Protección de Datos Personales. https://www.bcn.cl/leychile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CrewAI. (2026). CrewAI documentation (versión 1.15). https://docs.crewai.com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Dalkey, N., &amp; Helmer, O. (1963). An experimental application of the Delphi method to the use of experts. Management Science, 9(3), 458–467. https://doi.org/10.1287/mnsc.9.3.458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Google. (2026). Gemini API: Embeddings. https://ai.google.dev/gemini-api/docs/embeddings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Lewis, P., Perez, E., Piktus, A., Petroni, F., Karpukhin, V., Goyal, N., Küttler, H., Lewis, M., Yih, W., Rocktäschel, T., Riedel, S., &amp; Kiela, D. (2020). Retrieval-augmented generation for knowledge-intensive NLP tasks. Advances in Neural Information Processing Systems, 33, 9459–9474.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Linstone, H. A., &amp; Turoff, M. (Eds.). (1975). The Delphi method: Techniques and applications. Addison-Wesley.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Nygard, M. (2011, 15 de noviembre). Documenting architecture decisions. Cognitect. https://cognitect.com/blog/2011/11/15/documenting-architecture-decisions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Ramírez, S. (2026). FastAPI [Software]. https://fastapi.tiangolo.com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Streamlit. (2026). Streamlit documentation. https://docs.streamlit.io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Yao, S., Zhao, J., Yu, D., Du, N., Shafran, I., Narasimhan, K., &amp; Cao, Y. (2023). ReAct: Synergizing reasoning and acting in language models. International Conference on Learning Representations (ICLR 2023).</w:t>
      </w:r>
    </w:p>
    <w:sectPr>
      <w:footerReference w:type="default" r:id="rId6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Panel Delphi multiagente · ISY0101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lj2ksyaa2uzldv6r0s2wz" Type="http://schemas.openxmlformats.org/officeDocument/2006/relationships/hyperlink" Target="https://github.com/jasalass/MultiAgente_Crew_AI" TargetMode="External"/><Relationship Id="rId9" Type="http://schemas.openxmlformats.org/officeDocument/2006/relationships/image" Target="media/26142501b66b9f596a854d8f515f1988e073e6e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EP2 · Panel Delphi multiagente</dc:title>
  <dc:creator>Equipo Panel Delphi</dc:creator>
  <cp:lastModifiedBy>Un-named</cp:lastModifiedBy>
  <cp:revision>1</cp:revision>
  <dcterms:created xsi:type="dcterms:W3CDTF">2026-10-23T21:13:31.045Z</dcterms:created>
  <dcterms:modified xsi:type="dcterms:W3CDTF">2026-10-23T21:13:31.046Z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