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SF Vendor Payments</w:t>
      </w:r>
    </w:p>
    <w:p>
      <w:pPr>
        <w:spacing w:after="4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Procurement Audit Analytics</w:t>
      </w:r>
    </w:p>
    <w:p>
      <w:pPr>
        <w:pBdr>
          <w:bottom w:val="single" w:color="2E75B6" w:sz="6" w:space="1"/>
        </w:pBdr>
        <w:spacing w:after="200"/>
      </w:pP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Data Source: </w:t>
      </w:r>
      <w:r>
        <w:rPr>
          <w:color w:val="666666"/>
          <w:sz w:val="20"/>
          <w:szCs w:val="20"/>
        </w:rPr>
        <w:t xml:space="preserve">SF Controller’s Office — Vendor Payments (Purchase Order Summary)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Period: </w:t>
      </w:r>
      <w:r>
        <w:rPr>
          <w:color w:val="666666"/>
          <w:sz w:val="20"/>
          <w:szCs w:val="20"/>
        </w:rPr>
        <w:t xml:space="preserve">FY2020 (July 2019 – June 2020)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Author: </w:t>
      </w:r>
      <w:r>
        <w:rPr>
          <w:color w:val="666666"/>
          <w:sz w:val="20"/>
          <w:szCs w:val="20"/>
        </w:rPr>
        <w:t xml:space="preserve">Osman Abdelmagid</w:t>
      </w:r>
    </w:p>
    <w:p>
      <w:pPr>
        <w:spacing w:after="400"/>
      </w:pPr>
      <w:r>
        <w:rPr>
          <w:b/>
          <w:bCs/>
          <w:color w:val="666666"/>
          <w:sz w:val="20"/>
          <w:szCs w:val="20"/>
        </w:rPr>
        <w:t xml:space="preserve">Date: </w:t>
      </w:r>
      <w:r>
        <w:rPr>
          <w:color w:val="666666"/>
          <w:sz w:val="20"/>
          <w:szCs w:val="20"/>
        </w:rPr>
        <w:t xml:space="preserve">March 2026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rPr>
          <w:sz w:val="22"/>
          <w:szCs w:val="22"/>
        </w:rPr>
        <w:t xml:space="preserve">This project applies data-driven audit procedures to $1.87 billion in real government vendor payments from the City &amp; County of San Francisco. Using Python and SQL, 9 automated audit tests — including Benford’s Law analysis — were performed across 139,664 purchase order records to identify fraud indicators, control weaknesses, and financial risk exposure. The analysis flagged 3,022 items across 1,307 vendors for further investigation.</w:t>
      </w:r>
    </w:p>
    <w:p>
      <w:pPr>
        <w:pStyle w:val="Heading1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B3A5C"/>
                <w:sz w:val="32"/>
                <w:szCs w:val="32"/>
              </w:rPr>
              <w:t xml:space="preserve">$1.87 Billion</w:t>
            </w:r>
          </w:p>
          <w:p>
            <w:r>
              <w:rPr>
                <w:color w:val="666666"/>
                <w:sz w:val="20"/>
                <w:szCs w:val="20"/>
              </w:rPr>
              <w:t xml:space="preserve">Total vendor payments analyzed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ED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B3A5C"/>
                <w:sz w:val="32"/>
                <w:szCs w:val="32"/>
              </w:rPr>
              <w:t xml:space="preserve">139,664</w:t>
            </w:r>
          </w:p>
          <w:p>
            <w:r>
              <w:rPr>
                <w:color w:val="666666"/>
                <w:sz w:val="20"/>
                <w:szCs w:val="20"/>
              </w:rPr>
              <w:t xml:space="preserve">Purchase order records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B3A5C"/>
                <w:sz w:val="32"/>
                <w:szCs w:val="32"/>
              </w:rPr>
              <w:t xml:space="preserve">5,474 Vendors</w:t>
            </w:r>
          </w:p>
          <w:p>
            <w:r>
              <w:rPr>
                <w:color w:val="666666"/>
                <w:sz w:val="20"/>
                <w:szCs w:val="20"/>
              </w:rPr>
              <w:t xml:space="preserve">Across 53 departments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1B3A5C"/>
                <w:sz w:val="32"/>
                <w:szCs w:val="32"/>
              </w:rPr>
              <w:t xml:space="preserve">3,022 Flags</w:t>
            </w:r>
          </w:p>
          <w:p>
            <w:r>
              <w:rPr>
                <w:color w:val="666666"/>
                <w:sz w:val="20"/>
                <w:szCs w:val="20"/>
              </w:rPr>
              <w:t xml:space="preserve">Items for investigation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Stale Encumbrances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1,776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$2.14B locked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Funds tied up in unused 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Number Amounts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$123.9M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$10K+ multiples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Potential Duplicates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$4.5M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vendor+amount, different POs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Statistical Outliers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6,434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$1.78B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 exceeding 3× IQR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Credits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-$11.6M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Reversals over $10K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Sole-Source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&gt;50% dept spend to one vendor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37.6% of spend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 vendors dominate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Benford Nonconforming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depts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 distribution anomalies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Methodology</w:t>
      </w:r>
    </w:p>
    <w:p>
      <w:pPr>
        <w:pStyle w:val="Heading2"/>
      </w:pPr>
      <w:r>
        <w:t xml:space="preserve">Data pipeline</w:t>
      </w:r>
    </w:p>
    <w:p>
      <w:pPr>
        <w:spacing w:after="160"/>
      </w:pPr>
      <w:r>
        <w:rPr>
          <w:sz w:val="22"/>
          <w:szCs w:val="22"/>
        </w:rPr>
        <w:t xml:space="preserve">The full dataset contains 1.57 million records spanning FY2007–2020. A Python extraction script filters to FY2020 using chunked reading to handle the 391 MB source file, producing 139,664 purchase order–level records with 26 fields.</w:t>
      </w:r>
    </w:p>
    <w:p>
      <w:pPr>
        <w:pStyle w:val="Heading2"/>
      </w:pPr>
      <w:r>
        <w:t xml:space="preserve">Audit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Vendor Concentration: </w:t>
      </w:r>
      <w:r>
        <w:rPr>
          <w:sz w:val="22"/>
          <w:szCs w:val="22"/>
        </w:rPr>
        <w:t xml:space="preserve">Top 10 vendors (0.2% of population) control 37.6% of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Duplicate Payments: </w:t>
      </w:r>
      <w:r>
        <w:rPr>
          <w:sz w:val="22"/>
          <w:szCs w:val="22"/>
        </w:rPr>
        <w:t xml:space="preserve">Cross-PO matching found 408 patterns at $4.5M exposure.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Round Numbers: </w:t>
      </w:r>
      <w:r>
        <w:rPr>
          <w:sz w:val="22"/>
          <w:szCs w:val="22"/>
        </w:rPr>
        <w:t xml:space="preserve">1.76% of payments are exact $1K multiples (expected &lt;0.1%).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Single-Source Risk: </w:t>
      </w:r>
      <w:r>
        <w:rPr>
          <w:sz w:val="22"/>
          <w:szCs w:val="22"/>
        </w:rPr>
        <w:t xml:space="preserve">Kaiser captures 96% of one department’s spend; Deloitte holds 59% of the Controller’s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Credit Memos: </w:t>
      </w:r>
      <w:r>
        <w:rPr>
          <w:sz w:val="22"/>
          <w:szCs w:val="22"/>
        </w:rPr>
        <w:t xml:space="preserve">255 credits totaling -$11.6M flagged for dispute/reversal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Outlier Detection: </w:t>
      </w:r>
      <w:r>
        <w:rPr>
          <w:sz w:val="22"/>
          <w:szCs w:val="22"/>
        </w:rPr>
        <w:t xml:space="preserve">IQR method (3×) flags 6,434 extreme payments above $16,608.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Encumbrance Utilization: </w:t>
      </w:r>
      <w:r>
        <w:rPr>
          <w:sz w:val="22"/>
          <w:szCs w:val="22"/>
        </w:rPr>
        <w:t xml:space="preserve">1,776 POs with &gt;$100K locked and &lt;20% utilized ($2.14B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Spend Categories: </w:t>
      </w:r>
      <w:r>
        <w:rPr>
          <w:sz w:val="22"/>
          <w:szCs w:val="22"/>
        </w:rPr>
        <w:t xml:space="preserve">Capital Outlay ($226M) and Grants ($218M) examined for compliance.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Benford’s Law: </w:t>
      </w:r>
      <w:r>
        <w:rPr>
          <w:sz w:val="22"/>
          <w:szCs w:val="22"/>
        </w:rPr>
        <w:t xml:space="preserve">First-digit, second-digit, and first-two-digit conformity at overall, department, and vendor levels. 8 of 15 departments nonconforming (Library MAD=0.035, Fire MAD=0.023).</w:t>
      </w:r>
    </w:p>
    <w:p>
      <w:pPr>
        <w:pStyle w:val="Heading1"/>
      </w:pPr>
      <w:r>
        <w:t xml:space="preserve">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(Pandas, NumPy, SciPy)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extraction, statistical analysis, Benford’s Law, anomaly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queries portable across SQLite, PostgreSQL, SQL Server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How to Reproduce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Download from </w:t>
      </w:r>
      <w:r>
        <w:rPr>
          <w:b/>
          <w:bCs/>
          <w:sz w:val="22"/>
          <w:szCs w:val="22"/>
        </w:rPr>
        <w:t xml:space="preserve">data.sfgov.org</w:t>
      </w:r>
      <w:r>
        <w:rPr>
          <w:sz w:val="22"/>
          <w:szCs w:val="22"/>
        </w:rPr>
        <w:t xml:space="preserve"> (Vendor Payments — Purchase Order Summary) or Kaggle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scripts/setup_and_slice.py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scripts/02_audit_analysis.py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scripts/04_benford_analysis.py</w:t>
      </w:r>
    </w:p>
    <w:p>
      <w:pPr>
        <w:pStyle w:val="Heading1"/>
      </w:pPr>
      <w:r>
        <w:t xml:space="preserve">Skills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Audit methodology: </w:t>
      </w:r>
      <w:r>
        <w:rPr>
          <w:sz w:val="22"/>
          <w:szCs w:val="22"/>
        </w:rPr>
        <w:t xml:space="preserve">Risk-based test design aligned with ISA/PCAOB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 analytics: </w:t>
      </w:r>
      <w:r>
        <w:rPr>
          <w:sz w:val="22"/>
          <w:szCs w:val="22"/>
        </w:rPr>
        <w:t xml:space="preserve">Benford’s Law, IQR outlier detection, pattern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Python: </w:t>
      </w:r>
      <w:r>
        <w:rPr>
          <w:sz w:val="22"/>
          <w:szCs w:val="22"/>
        </w:rPr>
        <w:t xml:space="preserve">Pandas for large-scale data manipulation, SciPy for statistical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SQL: </w:t>
      </w:r>
      <w:r>
        <w:rPr>
          <w:sz w:val="22"/>
          <w:szCs w:val="22"/>
        </w:rPr>
        <w:t xml:space="preserve">CTEs, window functions, self-joins for audit queries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Communication: </w:t>
      </w:r>
      <w:r>
        <w:rPr>
          <w:sz w:val="22"/>
          <w:szCs w:val="22"/>
        </w:rPr>
        <w:t xml:space="preserve">Translating technical findings into actionable audit observations with quantified exposure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2026-04-04T08:58:57.589Z</dcterms:created>
  <dcterms:modified xsi:type="dcterms:W3CDTF">2026-04-04T08:58:57.591Z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