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Invoice Review Application Analysis</w:t>
      </w:r>
    </w:p>
    <w:p>
      <w:pPr>
        <w:pStyle w:val="Subtitle"/>
      </w:pPr>
      <w:r>
        <w:rPr>
          <w:b w:val="0"/>
        </w:rPr>
        <w:t>Assessment of the submitted prompts and the running local application</w:t>
      </w:r>
    </w:p>
    <w:p>
      <w:r>
        <w:rPr>
          <w:b w:val="0"/>
        </w:rPr>
        <w:t>Prepared for the Stratum evaluation  |  21 September 2026</w:t>
      </w:r>
    </w:p>
    <w:p>
      <w:r>
        <w:rPr>
          <w:b/>
        </w:rPr>
        <w:t>The app did not deliver the full specification. Stage 1 is partially functional; Stage 2 should not be accepted for use by separate companies. The screens are convincing, but company isolation, membership enforcement and several invoice controls are missing or incorrect.</w:t>
      </w:r>
    </w:p>
    <w:p>
      <w:r>
        <w:rPr>
          <w:b w:val="0"/>
        </w:rPr>
        <w:t>This review combines browser use, controlled requests to the local server, inspection of stored records, and source review of the app and its installed ObjectStack 17.4.0 packages. It assesses this installation, not every ObjectStack deployment or the general capability of Sol light.</w:t>
      </w:r>
    </w:p>
    <w:p>
      <w:pPr>
        <w:pStyle w:val="Heading2"/>
      </w:pPr>
      <w:r>
        <w:t>The findings that matter most</w:t>
      </w:r>
    </w:p>
    <w:tbl>
      <w:tblPr>
        <w:tblW w:type="auto" w:w="0"/>
        <w:jc w:val="center"/>
        <w:tblLayout w:type="fixed"/>
        <w:tblLook w:firstColumn="1" w:firstRow="1" w:lastColumn="0" w:lastRow="0" w:noHBand="0" w:noVBand="1" w:val="04A0"/>
      </w:tblPr>
      <w:tblGrid>
        <w:gridCol w:w="3096"/>
        <w:gridCol w:w="4680"/>
        <w:gridCol w:w="2448"/>
      </w:tblGrid>
      <w:tr>
        <w:trPr>
          <w:tblHeader/>
          <w:cantSplit/>
        </w:trPr>
        <w:tc>
          <w:tcPr>
            <w:tcW w:type="dxa" w:w="30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Finding</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Consequence</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Evidence</w:t>
            </w:r>
          </w:p>
        </w:tc>
      </w:tr>
      <w:tr>
        <w:trPr>
          <w:cantSplit/>
        </w:trPr>
        <w:tc>
          <w:tcPr>
            <w:tcW w:type="dxa" w:w="30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Company isolation fails</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A Northstar-only demo Auditor and Analyst read Evergreen invoices.</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Browser and non-admin API checks</w:t>
            </w:r>
          </w:p>
        </w:tc>
      </w:tr>
      <w:tr>
        <w:trPr>
          <w:cantSplit/>
        </w:trPr>
        <w:tc>
          <w:tcPr>
            <w:tcW w:type="dxa" w:w="30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 failed save can change financial data</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 Paid invoice line was changed despite an HTTP 500; its parent total stayed stale.</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Repeated as admin and Analyst</w:t>
            </w:r>
          </w:p>
        </w:tc>
      </w:tr>
      <w:tr>
        <w:trPr>
          <w:cantSplit/>
        </w:trPr>
        <w:tc>
          <w:tcPr>
            <w:tcW w:type="dxa" w:w="30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Company assignments do not control access</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Changing or deactivating a company membership leaves access intact.</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Same-session API tests</w:t>
            </w:r>
          </w:p>
        </w:tc>
      </w:tr>
      <w:tr>
        <w:trPr>
          <w:cantSplit/>
        </w:trPr>
        <w:tc>
          <w:tcPr>
            <w:tcW w:type="dxa" w:w="30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Invoice rules are incomplete</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Submitters can mark invoices Paid or Cancelled; Paid invoices can reopen; used POs and Open invoices can be deleted.</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Controlled fictional fixtures</w:t>
            </w:r>
          </w:p>
        </w:tc>
      </w:tr>
      <w:tr>
        <w:trPr>
          <w:cantSplit/>
        </w:trPr>
        <w:tc>
          <w:tcPr>
            <w:tcW w:type="dxa" w:w="30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Displayed money is unreliable</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Seeded line values are missing; the entry form shows ¥ and sums unit prices in its footer.</w:t>
            </w:r>
          </w:p>
        </w:tc>
        <w:tc>
          <w:tcPr>
            <w:tcW w:type="dxa" w:w="244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Browser, database and source</w:t>
            </w:r>
          </w:p>
        </w:tc>
      </w:tr>
    </w:tbl>
    <w:p>
      <w:r>
        <w:rPr>
          <w:b w:val="0"/>
        </w:rPr>
      </w:r>
    </w:p>
    <w:p>
      <w:pPr>
        <w:pStyle w:val="Heading2"/>
      </w:pPr>
      <w:r>
        <w:t>What already works</w:t>
      </w:r>
    </w:p>
    <w:p>
      <w:r>
        <w:rPr>
          <w:b w:val="0"/>
        </w:rPr>
        <w:t>The app provides supplier, PO and invoice screens; searchable supplier records; the requested invoice views; and five live dashboard widgets. For newly created records, the server correctly calculates $150.60, updates the total after a line edit, and recalculates after line removal. Date and quantity rules, supplier-code uniqueness, confidential-field access and several ownership restrictions are enforced.</w:t>
      </w:r>
    </w:p>
    <w:p>
      <w:r>
        <w:rPr>
          <w:b w:val="0"/>
        </w:rPr>
        <w:t>Recommendation: keep this as a learning prototype. Repair and retest the financial and access foundations before adding approvals, document reading or AI. A better-looking interface or a larger model alone would not resolve the observed failures.</w:t>
      </w:r>
    </w:p>
    <w:p>
      <w:r>
        <w:br w:type="page"/>
      </w:r>
    </w:p>
    <w:p>
      <w:pPr>
        <w:pStyle w:val="Heading1"/>
      </w:pPr>
      <w:r>
        <w:t>Company workspaces and access</w:t>
      </w:r>
    </w:p>
    <w:p>
      <w:pPr>
        <w:pStyle w:val="Heading2"/>
      </w:pPr>
      <w:r>
        <w:t>F1 The company selector is not a security boundary</w:t>
      </w:r>
    </w:p>
    <w:p>
      <w:r>
        <w:rPr>
          <w:b w:val="0"/>
        </w:rPr>
        <w:t>Selecting Northstar Services left Evergreen invoices visible. The dashboard stayed at 16 invoices, $43.00 of Open value and six overdue invoices before audit fixtures were added. A Northstar-only demo Auditor subsequently saw both companies in the browser and through ordinary data requests. This confirms a non-admin isolation failure, rather than merely an administrator’s broad view. [B1, A2]</w:t>
      </w:r>
    </w:p>
    <w:p>
      <w:r>
        <w:rPr>
          <w:b w:val="0"/>
        </w:rPr>
        <w:t>The app stores companies in billing_app_company and business records carry a text company_id. All original invoices nevertheless belong to one native Default Organization. The server reports tenancyPosture = single and multiOrgEnabled = false. The company dropdown supplies a value, but the app does not bind that value to its list navigation or enforce it through a company membership policy. The write hook substitutes northstar_services when company_id is missing; it does not select the signed-in user’s active company. [S1, S2, D1]</w:t>
      </w:r>
    </w:p>
    <w:p>
      <w:pPr>
        <w:pStyle w:val="Heading2"/>
      </w:pPr>
      <w:r>
        <w:t>F2 Company Users is a form without access enforcement</w:t>
      </w:r>
    </w:p>
    <w:p>
      <w:r>
        <w:rPr>
          <w:b w:val="0"/>
        </w:rPr>
        <w:t>A Company Users page and assignment form now exist. They were empty at the start of the audit. Adding a demo user there alone left invoice access denied. To exercise the declared roles, the audit separately assigned the app’s existing permission sets through the platform’s native permission-assignment mechanism. No permission definitions were changed. [B2, A2]</w:t>
      </w:r>
    </w:p>
    <w:p>
      <w:r>
        <w:rPr>
          <w:b w:val="0"/>
        </w:rPr>
        <w:t>With those native grants in place, changing an Analyst’s Company Users row to Auditor did not stop editing. Setting that membership inactive did not stop reading. The same signed-in session was used. As a control, expiring the native permission grant immediately produced HTTP 403 in that session. Native revocation works in this tested path; the custom company-membership record is disconnected from it. [A2, A4]</w:t>
      </w:r>
    </w:p>
    <w:p>
      <w:pPr>
        <w:pStyle w:val="Heading2"/>
      </w:pPr>
      <w:r>
        <w:t>Why the organization screen shows only Default Organization</w:t>
      </w:r>
    </w:p>
    <w:p>
      <w:r>
        <w:rPr>
          <w:b w:val="0"/>
        </w:rPr>
        <w:t>The two app companies were never created as native organizations. Current official documentation describes single as one logical tenant and says the group and isolated modes require the enterprise organizations runtime. The local data skill describes the walled modes as open core, so there is also a documentation inconsistency to resolve for the chosen version and commercial arrangement. Adding two ordinary records cannot activate organization isolation. [S7]</w:t>
      </w:r>
    </w:p>
    <w:p>
      <w:hyperlink r:id="rId11">
        <w:r>
          <w:rPr>
            <w:color w:val="185A8D"/>
          </w:rPr>
          <w:t>Official ObjectStack tenancy and membership documentation</w:t>
        </w:r>
      </w:hyperlink>
    </w:p>
    <w:p>
      <w:pPr>
        <w:pStyle w:val="Heading2"/>
      </w:pPr>
      <w:r>
        <w:t>Required correction</w:t>
      </w:r>
    </w:p>
    <w:p>
      <w:r>
        <w:rPr>
          <w:b w:val="0"/>
        </w:rPr>
        <w:t>Choose one supported, enforceable tenancy model first. If these are independent customers, prove isolation using the native isolated mode with the required runtime and entitlement, or use a separately deployed instance per customer as an interim design. If Stratum owns company-level isolation itself, treat that as a security subsystem covering every access path, not as a dropdown enhancement.</w:t>
      </w:r>
    </w:p>
    <w:p>
      <w:r>
        <w:rPr>
          <w:b w:val="0"/>
        </w:rPr>
        <w:t>Bind company selection, membership, role assignment, data creation and revocation to that same authority. Keep the user-facing language “Company”; the implementation must map it to an actual enforced boundary.</w:t>
      </w:r>
    </w:p>
    <w:p>
      <w:r>
        <w:br w:type="page"/>
      </w:r>
    </w:p>
    <w:p>
      <w:pPr>
        <w:pStyle w:val="Heading1"/>
      </w:pPr>
      <w:r>
        <w:t>Financial integrity and calculations</w:t>
      </w:r>
    </w:p>
    <w:p>
      <w:pPr>
        <w:pStyle w:val="Heading2"/>
      </w:pPr>
      <w:r>
        <w:t>F3 A rejected line edit can still be saved</w:t>
      </w:r>
    </w:p>
    <w:p>
      <w:r>
        <w:rPr>
          <w:b w:val="0"/>
        </w:rPr>
        <w:t>On the audit invoice, the starting lines were 1 × $100.10 and 2 × $25.25, with a total of $150.60. After marking it Paid, changing the second quantity to 3 returned HTTP 500 “Internal server error”. Reading the records immediately afterwards showed that the line had changed but the parent total had not. The same result occurred under an ordinary Finance Analyst. [A3, A4]</w:t>
      </w:r>
    </w:p>
    <w:tbl>
      <w:tblPr>
        <w:tblW w:type="auto" w:w="0"/>
        <w:jc w:val="center"/>
        <w:tblLayout w:type="fixed"/>
        <w:tblLook w:firstColumn="1" w:firstRow="1" w:lastColumn="0" w:lastRow="0" w:noHBand="0" w:noVBand="1" w:val="04A0"/>
      </w:tblPr>
      <w:tblGrid>
        <w:gridCol w:w="4464"/>
        <w:gridCol w:w="2880"/>
        <w:gridCol w:w="2880"/>
      </w:tblGrid>
      <w:tr>
        <w:trPr>
          <w:tblHeader/>
          <w:cantSplit/>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Value</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Before request</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After HTTP 500</w:t>
            </w:r>
          </w:p>
        </w:tc>
      </w:tr>
      <w:tr>
        <w:trPr>
          <w:cantSplit/>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Invoice status</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Paid</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Paid</w:t>
            </w:r>
          </w:p>
        </w:tc>
      </w:tr>
      <w:tr>
        <w:trPr>
          <w:cantSplit/>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Second line quantity</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2</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3</w:t>
            </w:r>
          </w:p>
        </w:tc>
      </w:tr>
      <w:tr>
        <w:trPr>
          <w:cantSplit/>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Second line amount</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$50.50</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$75.75</w:t>
            </w:r>
          </w:p>
        </w:tc>
      </w:tr>
      <w:tr>
        <w:trPr>
          <w:cantSplit/>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Sum of both lines</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$150.60</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$175.85</w:t>
            </w:r>
          </w:p>
        </w:tc>
      </w:tr>
      <w:tr>
        <w:trPr>
          <w:cantSplit/>
        </w:trPr>
        <w:tc>
          <w:tcPr>
            <w:tcW w:type="dxa" w:w="44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Stored invoice total</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$150.60</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$150.60</w:t>
            </w:r>
          </w:p>
        </w:tc>
      </w:tr>
    </w:tbl>
    <w:p>
      <w:r>
        <w:rPr>
          <w:b w:val="0"/>
        </w:rPr>
      </w:r>
    </w:p>
    <w:p>
      <w:r>
        <w:rPr>
          <w:b w:val="0"/>
        </w:rPr>
        <w:t>This is the most serious reliability finding. A person sees a failed save and may retry or assume nothing changed, while the financial record has already changed. The app’s parent-only validation fails to block the line before the write. The installed runtime writes the child, tries the parent summary update, and then throws a summary-recompute error after that update is refused. Both application guarding and runtime failure semantics need attention. [S4, S6]</w:t>
      </w:r>
    </w:p>
    <w:p>
      <w:r>
        <w:rPr>
          <w:b w:val="0"/>
        </w:rPr>
        <w:t>Required correction: reject all line mutations against a Paid or Cancelled parent before writing. Also prove that child changes and parent totals remain consistent if a later step fails. Reproduce the latter in a clean installation of the pinned release and driver before deciding whether to upgrade, patch or replace that write path.</w:t>
      </w:r>
    </w:p>
    <w:p>
      <w:pPr>
        <w:pStyle w:val="Heading2"/>
      </w:pPr>
      <w:r>
        <w:t>F4 The sample financial data is not coherent</w:t>
      </w:r>
    </w:p>
    <w:p>
      <w:r>
        <w:rPr>
          <w:b w:val="0"/>
        </w:rPr>
        <w:t>Ten seeded Northstar lines have quantity and unit price but NULL stored amounts. Their invoices consequently display zero totals. At the start, the dashboard’s $43.00 Open value matched stored invoice totals, but the quantities and prices on the seven Northstar Open invoices implied $13,258.75. The missing $13,215.75 comes from the seeded lines. Evergreen has no seeded invoice lines, so its PO values cannot be used as invoice totals. [D1, S5]</w:t>
      </w:r>
    </w:p>
    <w:p>
      <w:r>
        <w:rPr>
          <w:b w:val="0"/>
        </w:rPr>
        <w:t>The current line calculation hook works on new writes. The historical reason these seed amounts were not populated cannot be established without the earlier build history. The installed seed loader says lifecycle hooks should run, so it would be wrong to explain this as a universal “seeds bypass hooks” behavior. Repair existing amounts, recompute totals and verify a fresh installation separately.</w:t>
      </w:r>
    </w:p>
    <w:p>
      <w:pPr>
        <w:pStyle w:val="Heading2"/>
      </w:pPr>
      <w:r>
        <w:t>F5 The entry form presents the wrong money</w:t>
      </w:r>
    </w:p>
    <w:p>
      <w:r>
        <w:rPr>
          <w:b w:val="0"/>
        </w:rPr>
        <w:t>The browser form showed ¥ beside unit prices and a footer of 125.35 for the requested 100.10 + 2 × 25.25 example. That footer is the sum of unit prices, not line amounts; the invoice total above it remained blank before saving. The installed line editor has a yen fallback and a generic column-summing footer. The app’s money metadata specifies USD. The saved server result was correctly 150.60. [B3, A1, S6]</w:t>
      </w:r>
    </w:p>
    <w:p>
      <w:r>
        <w:br w:type="page"/>
      </w:r>
    </w:p>
    <w:p>
      <w:pPr>
        <w:pStyle w:val="Heading1"/>
      </w:pPr>
      <w:r>
        <w:t>Invoice rules and everyday usability</w:t>
      </w:r>
    </w:p>
    <w:p>
      <w:pPr>
        <w:pStyle w:val="Heading2"/>
      </w:pPr>
      <w:r>
        <w:t>F6 Paid and Cancelled are not reliably final</w:t>
      </w:r>
    </w:p>
    <w:p>
      <w:r>
        <w:rPr>
          <w:b w:val="0"/>
        </w:rPr>
        <w:t>Editing ordinary notes on a Paid invoice was correctly rejected. However, changing Paid back to Draft succeeded. The rule only rejects updates when the previous status is Paid or Cancelled AND the new status is unchanged. Changing the status escapes the condition. Line-level protection is also absent, causing the partial-save failure on the previous page. [A1, S4]</w:t>
      </w:r>
    </w:p>
    <w:p>
      <w:r>
        <w:rPr>
          <w:b w:val="0"/>
        </w:rPr>
        <w:t>Submitters could set their own test invoice to Paid and Cancelled through ordinary update requests. Their permission set allows invoice editing and no separate status rule prohibits those changes. Correct the transition rules on the server, then hide or disable unavailable actions in the interface. A hidden button alone would leave the tested request path open.</w:t>
      </w:r>
    </w:p>
    <w:p>
      <w:pPr>
        <w:pStyle w:val="Heading2"/>
      </w:pPr>
      <w:r>
        <w:t>F7 Several relationship and deletion rules are missing</w:t>
      </w:r>
    </w:p>
    <w:p>
      <w:r>
        <w:rPr>
          <w:b w:val="0"/>
        </w:rPr>
        <w:t>The server accepted an invoice for Northstar Office Supply linked to Blue Heron Logistics’ PO. It also accepted an Evergreen supplier on a Northstar invoice. The dependent PO picker is not a substitute for checking the chosen relationship at save time. [A1]</w:t>
      </w:r>
    </w:p>
    <w:p>
      <w:r>
        <w:rPr>
          <w:b w:val="0"/>
        </w:rPr>
        <w:t>Deleting a PO referenced by the disposable audit invoice succeeded and cleared the invoice’s PO reference. Deleting that Open invoice also succeeded. Both violate explicit submitted rules. In contrast, deleting its referenced supplier was correctly blocked with HTTP 409 because the supplier relationship is required. Supplier protection is therefore a verified success, not a missing feature. [A3]</w:t>
      </w:r>
    </w:p>
    <w:p>
      <w:pPr>
        <w:pStyle w:val="Heading2"/>
      </w:pPr>
      <w:r>
        <w:t>F8 Submitters cannot create an ordinary invoice</w:t>
      </w:r>
    </w:p>
    <w:p>
      <w:r>
        <w:rPr>
          <w:b w:val="0"/>
        </w:rPr>
        <w:t>A newly assigned Submitter received HTTP 403 when creating a valid Draft invoice. Supplying that same caller’s creator ID in the request made creation succeed. The authored policy checks created_by during insertion, while the security middleware evaluates the submitted data before the final audit-field stamping. This is a policy/runtime ordering mismatch. The interface should never need a user to supply a creator ID. [A2, A3, S3, S6]</w:t>
      </w:r>
    </w:p>
    <w:p>
      <w:r>
        <w:rPr>
          <w:b w:val="0"/>
        </w:rPr>
        <w:t>The separate ownership read and update checks work: the Submitter’s dashboard showed one owned invoice, another creator’s invoice was not returned, and an attempted edit to it received 403. Preserve those controls while repairing creation.</w:t>
      </w:r>
    </w:p>
    <w:p>
      <w:pPr>
        <w:pStyle w:val="Heading2"/>
      </w:pPr>
      <w:r>
        <w:t>F9 The role experience is only partially complete</w:t>
      </w:r>
    </w:p>
    <w:p>
      <w:r>
        <w:rPr>
          <w:b w:val="0"/>
        </w:rPr>
        <w:t>Auditors correctly lost New, Import and Edit controls on invoices, and their record screen omitted Internal finance notes. But Company Users remained in their navigation and opened an access-denied page. Submitters had an empty Company dropdown because their permission set grants no read access to the company object. A Northstar-only Auditor was offered Evergreen. [B4, S3]</w:t>
      </w:r>
    </w:p>
    <w:p>
      <w:r>
        <w:rPr>
          <w:b w:val="0"/>
        </w:rPr>
        <w:t>Other polish gaps matter to an FDE: invoice links are attached to company-code cells rather than invoice numbers; totals lack consistent USD formatting; and the generic date renderer labels a past-due Draft invoice “Overdue” even though the Overdue view correctly requires Open status. These are secondary to the data and access failures.</w:t>
      </w:r>
    </w:p>
    <w:p>
      <w:r>
        <w:br w:type="page"/>
      </w:r>
    </w:p>
    <w:p>
      <w:pPr>
        <w:pStyle w:val="Heading1"/>
      </w:pPr>
      <w:r>
        <w:t>Requirement coverage for records and calculations</w:t>
      </w:r>
    </w:p>
    <w:p>
      <w:r>
        <w:rPr>
          <w:b w:val="0"/>
        </w:rPr>
        <w:t>Verified means the stated behavior passed the indicated check. Partial means some required paths work. Failed means a concrete contradiction was observed. Not assessed means the available evidence cannot establish completion. The rows group related clauses from the pasted prompts; this is not a percentage score.</w:t>
      </w:r>
    </w:p>
    <w:tbl>
      <w:tblPr>
        <w:tblW w:type="auto" w:w="0"/>
        <w:jc w:val="center"/>
        <w:tblLayout w:type="fixed"/>
        <w:tblLook w:firstColumn="1" w:firstRow="1" w:lastColumn="0" w:lastRow="0" w:noHBand="0" w:noVBand="1" w:val="04A0"/>
      </w:tblPr>
      <w:tblGrid>
        <w:gridCol w:w="3240"/>
        <w:gridCol w:w="1224"/>
        <w:gridCol w:w="5760"/>
      </w:tblGrid>
      <w:tr>
        <w:trPr>
          <w:tblHeade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Submitted requirement</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jc w:val="center"/>
            </w:pPr>
            <w:r>
              <w:rPr>
                <w:b/>
                <w:sz w:val="20"/>
              </w:rPr>
              <w:t>Result</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What was delivered or missed</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Supplier fields and add or edit form</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Requested fields and forms exist. Required fields are declared. Search was exercised in the browser. [B1, S4]</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Unique supplier code</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 duplicate NOS-001 was rejected with HTTP 409. [A4]</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Five fictional suppliers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The original five are declared and present. Extra user and Evergreen suppliers also exist. [D1, S5]</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PO fields and three statuses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Number, supplier, date, expected total and Draft/Open/Closed are implemented. [S4, D1]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Invoice fields and optional PO</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Requested fields and four statuses exist. An invoice without a PO was saved. [B3, A1]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Multiple editable line items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Line entry and server editing work; calculated line amounts are not shown in the creation grid. [B3, A1]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Automatic amounts and total</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New-write and delete recalculation pass. Seeded amounts, entry footer and failed-write consistency do not. [A1, A3, D1]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USD everywhere</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Failed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USD metadata and dashboard exist, but line inputs display ¥ and several totals are plain numbers. [B3, S4, S6]</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Positive whole quantities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Zero and 1.5 were rejected by the server. [A1]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Nonnegative prices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 price of −1 was rejected by the server. [A1]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Due date not before invoice date</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Rejected in the form and through a direct server update. [B3, A1]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PO must belong to invoice supplier</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Failed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 mismatched supplier/PO combination was accepted. [A1]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Six POs and twelve varied invoices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Original fixtures exist, plus Evergreen records. Statuses, overdue cases and missing POs are represented. [D1, S5]</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Show the $150.60 example</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Server and saved record show 150.60; the unsaved form footer shows 125.35. [B3, A1]</w:t>
            </w:r>
          </w:p>
        </w:tc>
      </w:tr>
    </w:tbl>
    <w:p>
      <w:r>
        <w:rPr>
          <w:b w:val="0"/>
        </w:rPr>
      </w:r>
    </w:p>
    <w:p>
      <w:r>
        <w:rPr>
          <w:b w:val="0"/>
        </w:rPr>
        <w:t>The original “creating invoice gives internal server error” complaint is not reproduced by a valid administrator API create. A separate, reproducible 500 occurs on edits to lines of Paid invoices. The earlier creation error’s historical cause is unknown.</w:t>
      </w:r>
    </w:p>
    <w:p>
      <w:r>
        <w:br w:type="page"/>
      </w:r>
    </w:p>
    <w:p>
      <w:pPr>
        <w:pStyle w:val="Heading1"/>
      </w:pPr>
      <w:r>
        <w:t>Requirement coverage for the workspace</w:t>
      </w:r>
    </w:p>
    <w:tbl>
      <w:tblPr>
        <w:tblW w:type="auto" w:w="0"/>
        <w:jc w:val="center"/>
        <w:tblLayout w:type="fixed"/>
        <w:tblLook w:firstColumn="1" w:firstRow="1" w:lastColumn="0" w:lastRow="0" w:noHBand="0" w:noVBand="1" w:val="04A0"/>
      </w:tblPr>
      <w:tblGrid>
        <w:gridCol w:w="3240"/>
        <w:gridCol w:w="1224"/>
        <w:gridCol w:w="5760"/>
      </w:tblGrid>
      <w:tr>
        <w:trPr>
          <w:tblHeade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Submitted requirement</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jc w:val="center"/>
            </w:pPr>
            <w:r>
              <w:rPr>
                <w:b/>
                <w:sz w:val="20"/>
              </w:rPr>
              <w:t>Result</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What was delivered or missed</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Dashboard and three business areas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Dashboard, Invoices, Purchase Orders and Suppliers are in navigation. [B1]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All Open Overdue and Paid views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All four views exist. Overdue returned six Open invoices with elapsed due dates. [B1, D1]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List columns and record relationships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Requested invoice columns and related records exist. Currency presentation and record-opening links need improvement. [B1, B3]</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Search and filtering</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Supplier search returned the matching record; filter controls exist. Exhaustive filters and every search path were not tested. [B1]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Total invoice count widget</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16 before fixtures, then reflected audit additions on navigation or refresh. [B1, B4]</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Open value and value by supplier</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Widgets use actual records, but those records contain incorrect zero totals and are not company-scoped. [B1, D1]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Overdue count and status count</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Baseline global counts agree with records; company scoping fails. Submitter ownership scoping works. [B1, B4]</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Dashboard agrees with invoice lists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Counts and stored sums agree globally. Agreement conceals missing line values, and does not satisfy workspace separation. [D1]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Changes remain saved on reopening</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Saved records persisted in SQLite and were visible in a later browser view. A server restart and full clean-install replay were not tested.</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Two companies and separate sample data</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Company records and company tags exist. Native organizations and enforced access boundaries do not. [D1, S1]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Display and deliberately switch company</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Failed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Dropdown works for admin and Auditor but does not scope data; Submitter has no options. [B1, B4]</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Assign users to a company</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Company Users form exists. It does not grant or revoke the platform permissions needed to make the assignment effective. [B2, A2]</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Preserve prior screens and records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Prior screens and samples remain. Original sample totals are incorrect; the prior state is unavailable for a regression comparison.</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Walkthroughs practice changes and missing-feature disclosure</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Not assessed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The attachment contains prompts, not the builder’s replies. Their delivery cannot be judged from app state.</w:t>
            </w:r>
          </w:p>
        </w:tc>
      </w:tr>
    </w:tbl>
    <w:p>
      <w:r>
        <w:rPr>
          <w:b w:val="0"/>
        </w:rPr>
      </w:r>
    </w:p>
    <w:p>
      <w:r>
        <w:rPr>
          <w:b w:val="0"/>
        </w:rPr>
        <w:t>The instruction to postpone approval processes, document reading and AI is respected in the inspected app source. Their absence is not a failure of this stage.</w:t>
      </w:r>
    </w:p>
    <w:p>
      <w:r>
        <w:br w:type="page"/>
      </w:r>
    </w:p>
    <w:p>
      <w:pPr>
        <w:pStyle w:val="Heading1"/>
      </w:pPr>
      <w:r>
        <w:t>Requirement coverage for access and controls</w:t>
      </w:r>
    </w:p>
    <w:tbl>
      <w:tblPr>
        <w:tblW w:type="auto" w:w="0"/>
        <w:jc w:val="center"/>
        <w:tblLayout w:type="fixed"/>
        <w:tblLook w:firstColumn="1" w:firstRow="1" w:lastColumn="0" w:lastRow="0" w:noHBand="0" w:noVBand="1" w:val="04A0"/>
      </w:tblPr>
      <w:tblGrid>
        <w:gridCol w:w="3240"/>
        <w:gridCol w:w="1224"/>
        <w:gridCol w:w="5760"/>
      </w:tblGrid>
      <w:tr>
        <w:trPr>
          <w:tblHeade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Submitted requirement</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jc w:val="center"/>
            </w:pPr>
            <w:r>
              <w:rPr>
                <w:b/>
                <w:sz w:val="20"/>
              </w:rPr>
              <w:t>Result</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What was delivered or missed</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One company cannot see another</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Failed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Northstar-only demo Auditor and Analyst read Evergreen invoices; Submitter sees both companies’ suppliers. [A2, B4]</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Record invoice creator</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New saved invoices have the actual creator. Seeded invoices have NULL creators and are unsuitable for ownership demonstrations. [D1, A1]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Submitter cannot edit others’ invoices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Update denied with 403; another creator’s invoice was not returned. [A2, A3]</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Submitter cannot mark Paid or Cancelled</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Failed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Both status changes succeeded on the Submitter’s owned fixture. [A3]</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Analyst and Company Admin maintain status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Declared edit grants; Analyst status updates work. Status transitions remain too permissive. [A4, S3]</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Paid and Cancelled read-only for everyone</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Failed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Paid and Cancelled can reopen as Draft. A Paid line edit saves despite an error. [A1, A3]</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Delete Draft only and only allowed actors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Failed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Deleting an Open audit invoice succeeded. Role grants alone do not enforce Draft-only deletion. [A3]</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Block deletion of referenced supplier or PO</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Supplier deletion was blocked; PO deletion succeeded and cleared its reference. [A3]</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Block cross-company invoice relationships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Failed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An Evergreen supplier was accepted on a Northstar invoice. [A1]</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Confidential notes have role-based read and edit</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Auditor and Submitter do not receive the field. Analyst, Approver and Company Admin read it; Analyst edits; Approver and Auditor cannot. [A2, A3, B4]</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Notes never leak through any channel</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Record/API reads and Auditor screen pass. Tested exports return 403, not a usable sanitized export. Shared links and all search channels remain unverified.</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Only permitted records and actions shown</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Partial</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Auditor edit actions are hidden, but Company Users remains visible and company data boundaries fail. [B4]</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Submitter dashboard summarizes own invoices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After an owned fixture was created, browser dashboard showed one invoice and excluded other creators. [B4]</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Clear safe access-denied experience</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jc w:val="center"/>
            </w:pPr>
            <w:r>
              <w:rPr>
                <w:b w:val="0"/>
                <w:sz w:val="20"/>
              </w:rPr>
              <w:t>Verified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Auditor Company Users page shows a clear denial without records. Other-owner Submitter requests return 404 or 403. [B4, A2, A3]</w:t>
            </w:r>
          </w:p>
        </w:tc>
      </w:tr>
      <w:tr>
        <w:trPr>
          <w:cantSplit/>
        </w:trPr>
        <w:tc>
          <w:tcPr>
            <w:tcW w:type="dxa" w:w="32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Role changes and removal affect active users</w:t>
            </w:r>
          </w:p>
        </w:tc>
        <w:tc>
          <w:tcPr>
            <w:tcW w:type="dxa" w:w="12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jc w:val="center"/>
            </w:pPr>
            <w:r>
              <w:rPr>
                <w:b w:val="0"/>
                <w:sz w:val="20"/>
              </w:rPr>
              <w:t>Failed</w:t>
            </w:r>
          </w:p>
        </w:tc>
        <w:tc>
          <w:tcPr>
            <w:tcW w:type="dxa" w:w="576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Custom role downgrade and membership deactivation leave access intact. Native grant expiry works as a control. [A2, A4]</w:t>
            </w:r>
          </w:p>
        </w:tc>
      </w:tr>
    </w:tbl>
    <w:p>
      <w:r>
        <w:rPr>
          <w:b w:val="0"/>
        </w:rPr>
      </w:r>
    </w:p>
    <w:p>
      <w:r>
        <w:rPr>
          <w:b w:val="0"/>
        </w:rPr>
        <w:t>Specification gap: “Support these roles within each company:” has no role definitions beneath it in the supplied text. Explicit rules elsewhere still name roles and were assessed. A full role-by-action matrix must be agreed before acceptance; missing text does not excuse the explicit isolation or status-rule failures.</w:t>
      </w:r>
    </w:p>
    <w:p>
      <w:r>
        <w:br w:type="page"/>
      </w:r>
    </w:p>
    <w:p>
      <w:pPr>
        <w:pStyle w:val="Heading1"/>
      </w:pPr>
      <w:r>
        <w:t>What this shows about ObjectStack</w:t>
      </w:r>
    </w:p>
    <w:p>
      <w:r>
        <w:rPr>
          <w:b w:val="0"/>
        </w:rPr>
        <w:t>This result contains application omissions, platform behavior and delivery-process gaps. They need different remedies. It would be inaccurate to blame every defect on ObjectStack, or to assume the framework is sound because the metadata validates.</w:t>
      </w:r>
    </w:p>
    <w:tbl>
      <w:tblPr>
        <w:tblW w:type="auto" w:w="0"/>
        <w:jc w:val="center"/>
        <w:tblLayout w:type="fixed"/>
        <w:tblLook w:firstColumn="1" w:firstRow="1" w:lastColumn="0" w:lastRow="0" w:noHBand="0" w:noVBand="1" w:val="04A0"/>
      </w:tblPr>
      <w:tblGrid>
        <w:gridCol w:w="2088"/>
        <w:gridCol w:w="5112"/>
        <w:gridCol w:w="3024"/>
      </w:tblGrid>
      <w:tr>
        <w:trPr>
          <w:tblHeader/>
          <w:cantSplit/>
        </w:trPr>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Area</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Evidence-based attribution</w:t>
            </w:r>
          </w:p>
        </w:tc>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Who should own the correction</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Company boundary and membership</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The app models companies separately from native organizations and omits an enforcement link. Native grant revocation passes.</w:t>
            </w:r>
          </w:p>
        </w:tc>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Stratum architecture and application implementation</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Status and relationship rules</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Incorrect terminal predicate; missing role/status and supplier/company checks; optional PO deletion defaults conflict with requirements.</w:t>
            </w:r>
          </w:p>
        </w:tc>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Application rules using tested platform facilities</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Paid line partial save</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The app lacks a child guard; installed engine persists the child before a failed parent roll-up surfaces as HTTP 500.</w:t>
            </w:r>
          </w:p>
        </w:tc>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App guard plus runtime transaction/recovery investigation</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Currency and form footer</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USD exists in metadata, but the installed line editor falls back to ¥ and sums a column.</w:t>
            </w:r>
          </w:p>
        </w:tc>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ObjectStack console/ObjectUI integration and explicit form configuration</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Submitter creation</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Creator-based insertion check runs against incomplete incoming data; supplying caller ID changes the outcome.</w:t>
            </w:r>
          </w:p>
        </w:tc>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App policy design and runtime audit-stamping contract</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Seed totals</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Stored amounts are absent although current new-write calculation works. Historical cause is not established.</w:t>
            </w:r>
          </w:p>
        </w:tc>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Seed generation, migration and reconciliation process</w:t>
            </w:r>
          </w:p>
        </w:tc>
      </w:tr>
    </w:tbl>
    <w:p>
      <w:r>
        <w:rPr>
          <w:b w:val="0"/>
        </w:rPr>
      </w:r>
    </w:p>
    <w:p>
      <w:pPr>
        <w:pStyle w:val="Heading2"/>
      </w:pPr>
      <w:r>
        <w:t>What is reasonable to implement ourselves</w:t>
      </w:r>
    </w:p>
    <w:p>
      <w:r>
        <w:rPr>
          <w:b w:val="0"/>
        </w:rPr>
        <w:t>Finance-specific invoice states, allowed transitions, ownership rules, document requirements, matching rules and working screens are appropriate Stratum-owned product logic. Build them once as reusable, versioned finance primitives with verified server behavior. App-specific labels, list layouts and dashboard definitions are routine configuration.</w:t>
      </w:r>
    </w:p>
    <w:p>
      <w:pPr>
        <w:pStyle w:val="Heading2"/>
      </w:pPr>
      <w:r>
        <w:t>What should not become a casual enhancement</w:t>
      </w:r>
    </w:p>
    <w:p>
      <w:r>
        <w:rPr>
          <w:b w:val="0"/>
        </w:rPr>
        <w:t>A complete tenant-isolation system, identity and revocation authority, field protection across every delivery channel, and consistent multi-record financial writes are foundational infrastructure. Owning those is a deliberate engineering commitment with ongoing upgrades and regression testing. “We will implement the missing part” is credible only with a defined owner, supported extension point, failure semantics and repeatable tests.</w:t>
      </w:r>
    </w:p>
    <w:p>
      <w:r>
        <w:rPr>
          <w:b w:val="0"/>
        </w:rPr>
        <w:t>For the Blueprint vision, a Stratum Invoice primitive should include lifecycle rules, company scope, line invariants and acceptance cases—not only object fields. A CompanyWorkspace primitive should select a supported tenant boundary and refuse an unsupported deployment. These should generate and test the runtime implementation; a knowledge or RAG layer can explain policy, but cannot enforce these writes by itself.</w:t>
      </w:r>
    </w:p>
    <w:p>
      <w:r>
        <w:br w:type="page"/>
      </w:r>
    </w:p>
    <w:p>
      <w:pPr>
        <w:pStyle w:val="Heading1"/>
      </w:pPr>
      <w:r>
        <w:t>How to improve the build process</w:t>
      </w:r>
    </w:p>
    <w:p>
      <w:pPr>
        <w:pStyle w:val="Heading2"/>
      </w:pPr>
      <w:r>
        <w:t>Keep the FDE request in business language</w:t>
      </w:r>
    </w:p>
    <w:p>
      <w:r>
        <w:rPr>
          <w:b w:val="0"/>
        </w:rPr>
        <w:t>The original prompts are mostly clear about observable outcomes. They do not need database terminology. The builder should translate them into a reviewable checklist and identify missing decisions before implementation: the blank role definitions, whether companies are customers or internal entities, who may invite users, and which records an Approver or Auditor should see.</w:t>
      </w:r>
    </w:p>
    <w:p>
      <w:pPr>
        <w:pStyle w:val="Heading2"/>
      </w:pPr>
      <w:r>
        <w:t>Require proof at each stage</w:t>
      </w:r>
    </w:p>
    <w:p>
      <w:r>
        <w:rPr>
          <w:b w:val="0"/>
        </w:rPr>
        <w:t>The submitted prompts explicitly prohibited browser verification twice. That helps explain why interface defects survived, but it does not excuse incorrect server rules. Replace that instruction with: “Verify the delivered behavior in the app and through the server, including actions that should be refused. Tell me which checks passed, failed or could not be completed.”</w:t>
      </w:r>
    </w:p>
    <w:p>
      <w:r>
        <w:rPr>
          <w:b w:val="0"/>
        </w:rPr>
        <w:t>In this audit, metadata validation and TypeScript checking both passed. Those checks are useful but cannot establish financial correctness, isolation or the completeness of a business specification. Require the concrete acceptance scenarios on the next page as well.</w:t>
      </w:r>
    </w:p>
    <w:p>
      <w:pPr>
        <w:pStyle w:val="Heading2"/>
      </w:pPr>
      <w:r>
        <w:t>Use a controlled comparison before blaming the model</w:t>
      </w:r>
    </w:p>
    <w:p>
      <w:r>
        <w:rPr>
          <w:b w:val="0"/>
        </w:rPr>
        <w:t>One evolving app does not establish that Sol light caused these failures. The final artifact shows shallow or incomplete implementation in several places, but the model’s replies and full tool history are unavailable. A stronger reasoning configuration is worth testing for architecture and security review; it should still have to pass the same acceptance checks.</w:t>
      </w:r>
    </w:p>
    <w:p>
      <w:r>
        <w:rPr>
          <w:b w:val="0"/>
        </w:rPr>
        <w:t>For a fair comparison, use the same complete specification, pinned packages, fresh database, relevant project skills and acceptance suite. Compare completion, number of repair cycles, serious defects and review effort. Merely rerunning the last prompt on top of this state would confound model quality with inherited errors.</w:t>
      </w:r>
    </w:p>
    <w:p>
      <w:pPr>
        <w:pStyle w:val="Heading2"/>
      </w:pPr>
      <w:r>
        <w:t>Suggested repair order</w:t>
      </w:r>
    </w:p>
    <w:tbl>
      <w:tblPr>
        <w:tblW w:type="auto" w:w="0"/>
        <w:jc w:val="center"/>
        <w:tblLayout w:type="fixed"/>
        <w:tblLook w:firstColumn="1" w:firstRow="1" w:lastColumn="0" w:lastRow="0" w:noHBand="0" w:noVBand="1" w:val="04A0"/>
      </w:tblPr>
      <w:tblGrid>
        <w:gridCol w:w="864"/>
        <w:gridCol w:w="3816"/>
        <w:gridCol w:w="5544"/>
      </w:tblGrid>
      <w:tr>
        <w:trPr>
          <w:tblHeade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Priority</w:t>
            </w:r>
          </w:p>
        </w:tc>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Work</w:t>
            </w:r>
          </w:p>
        </w:tc>
        <w:tc>
          <w:tcPr>
            <w:tcW w:type="dxa" w:w="554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Completion evidence</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1</w:t>
            </w:r>
          </w:p>
        </w:tc>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Establish company tenancy and native access assignment.</w:t>
            </w:r>
          </w:p>
        </w:tc>
        <w:tc>
          <w:tcPr>
            <w:tcW w:type="dxa" w:w="554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Northstar and Evergreen users cannot cross the boundary in lists, URLs, requests, lookups or dashboards; revocation works in an open session.</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2</w:t>
            </w:r>
          </w:p>
        </w:tc>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Fix terminal-state guards and the partial-save path.</w:t>
            </w:r>
          </w:p>
        </w:tc>
        <w:tc>
          <w:tcPr>
            <w:tcW w:type="dxa" w:w="554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 rejected child write leaves both lines and invoice total unchanged, including under simulated summary failure.</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3</w:t>
            </w:r>
          </w:p>
        </w:tc>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Complete status, relationship and deletion rules.</w:t>
            </w:r>
          </w:p>
        </w:tc>
        <w:tc>
          <w:tcPr>
            <w:tcW w:type="dxa" w:w="554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Submitter status changes, mismatched POs, cross-company links and forbidden deletes are rejected by the server.</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4</w:t>
            </w:r>
          </w:p>
        </w:tc>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Reconcile samples and repair the invoice-entry UI.</w:t>
            </w:r>
          </w:p>
        </w:tc>
        <w:tc>
          <w:tcPr>
            <w:tcW w:type="dxa" w:w="554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Fresh and existing data agree; amounts, currency and totals are correct before and after saving.</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5</w:t>
            </w:r>
          </w:p>
        </w:tc>
        <w:tc>
          <w:tcPr>
            <w:tcW w:type="dxa" w:w="381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Finish role UX and repeat the business walkthrough.</w:t>
            </w:r>
          </w:p>
        </w:tc>
        <w:tc>
          <w:tcPr>
            <w:tcW w:type="dxa" w:w="554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A nontechnical FDE can create, find and review an invoice as each allowed role without workarounds.</w:t>
            </w:r>
          </w:p>
        </w:tc>
      </w:tr>
    </w:tbl>
    <w:p>
      <w:r>
        <w:rPr>
          <w:b w:val="0"/>
        </w:rPr>
      </w:r>
    </w:p>
    <w:p>
      <w:r>
        <w:br w:type="page"/>
      </w:r>
    </w:p>
    <w:p>
      <w:pPr>
        <w:pStyle w:val="Heading1"/>
      </w:pPr>
      <w:r>
        <w:t>Acceptance tests before the next stage</w:t>
      </w:r>
    </w:p>
    <w:p>
      <w:r>
        <w:rPr>
          <w:b w:val="0"/>
        </w:rPr>
        <w:t>Run these against a fresh install and the repaired existing database. Use ordinary role accounts as well as an administrator. Exercise both the interface and direct server requests so that hiding a control cannot create a false pass.</w:t>
      </w:r>
    </w:p>
    <w:tbl>
      <w:tblPr>
        <w:tblW w:type="auto" w:w="0"/>
        <w:jc w:val="center"/>
        <w:tblLayout w:type="fixed"/>
        <w:tblLook w:firstColumn="1" w:firstRow="1" w:lastColumn="0" w:lastRow="0" w:noHBand="0" w:noVBand="1" w:val="04A0"/>
      </w:tblPr>
      <w:tblGrid>
        <w:gridCol w:w="3168"/>
        <w:gridCol w:w="7056"/>
      </w:tblGrid>
      <w:tr>
        <w:trPr>
          <w:tblHeade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Scenario</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Required result</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Create the requested two-line invoice</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1 × 100.10 + 2 × 25.25 = USD 150.60 in the entry form, saved invoice, list and relevant dashboard.</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Edit remove and retry lines</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Quantity 3 produces 175.85; removing that line leaves 100.10; failed saves leave a consistent record; retries do not create duplicate lines.</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Freeze Paid and Cancelled invoices</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Header edits, status reopening, child create/update/delete and bulk/import paths are all refused before any data changes.</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Submitter creates and maintains own work</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 normal form submission works without a creator-ID workaround. Another creator’s records remain inaccessible. Paid/Cancelled changes are refused.</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Use an invoice and PO from different suppliers</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Save is refused with a useful message, even when the request bypasses the picker.</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Attempt cross-company relationships</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Foreign supplier, PO and invoice-line parent IDs are rejected, including in requests and imports.</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Try prohibited deletion</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Open/Paid/Cancelled invoices and suppliers/POs used by invoices cannot be deleted. An allowed Draft delete recalculates related state correctly.</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Change company and follow a copied URL</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Lists, search, lookups and dashboards use the allowed company; a copied foreign record URL returns no restricted data.</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Change role or remove membership</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Already-open sessions lose the old access. Test reads, writes and long-lived delivery channels, with a stated revocation bound.</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Read confidential notes through every route</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Only allowed roles receive notes in detail, list, search, export, shared links and any enabled agent tools. Test a nonempty sentinel.</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Reconcile dashboard independently</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Counts and sums agree with both invoices and line arithmetic. Wrongly missing amounts must not quietly count as zero.</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Restart and reinstall</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User edits survive restart; seeds do not erase edits; a new database starts with coherent demo records and usable role accounts.</w:t>
            </w:r>
          </w:p>
        </w:tc>
      </w:tr>
    </w:tbl>
    <w:p>
      <w:r>
        <w:rPr>
          <w:b w:val="0"/>
        </w:rPr>
      </w:r>
    </w:p>
    <w:p>
      <w:r>
        <w:rPr>
          <w:b w:val="0"/>
        </w:rPr>
        <w:t>Do not add approval or AI features until the first shared-company workflow passes. Otherwise the next layer will inherit inconsistent amounts and unenforced permissions, and a successful demonstration will still be weak evidence of a safe application.</w:t>
      </w:r>
    </w:p>
    <w:p>
      <w:r>
        <w:br w:type="page"/>
      </w:r>
    </w:p>
    <w:p>
      <w:pPr>
        <w:pStyle w:val="Heading1"/>
      </w:pPr>
      <w:r>
        <w:t>Evidence and review limits</w:t>
      </w:r>
    </w:p>
    <w:p>
      <w:pPr>
        <w:pStyle w:val="Heading2"/>
      </w:pPr>
      <w:r>
        <w:t>Reproduce the highest-impact failure</w:t>
      </w:r>
    </w:p>
    <w:p>
      <w:r>
        <w:rPr>
          <w:b w:val="0"/>
        </w:rPr>
        <w:t>On a disposable $150.60 invoice: mark it Paid, then change the second line quantity from 2 to 3 through the normal endpoint. After HTTP 500, read both records: the child is quantity 3 and amount 75.75, while the parent total remains 150.60. Reproduced as admin and Analyst; fixtures were restored afterwards. [A3, A4]</w:t>
      </w:r>
    </w:p>
    <w:p>
      <w:pPr>
        <w:pStyle w:val="Heading2"/>
      </w:pPr>
      <w:r>
        <w:t>Evidence register</w:t>
      </w:r>
    </w:p>
    <w:p>
      <w:r>
        <w:rPr>
          <w:b w:val="0"/>
        </w:rPr>
        <w:t>Application root: /Users/codecaffiene/Desktop/jas-proj/billing-app. Evidence folder: /Users/codecaffiene/Documents/Codex/2026-09-17/i-w/work/invoice-review-audit. Browser target: http://localhost:3000/. Installed spec, runtime, ObjectQL and CLI versions inspected: 17.4.0.</w:t>
      </w:r>
    </w:p>
    <w:tbl>
      <w:tblPr>
        <w:tblW w:type="auto" w:w="0"/>
        <w:jc w:val="center"/>
        <w:tblLayout w:type="fixed"/>
        <w:tblLook w:firstColumn="1" w:firstRow="1" w:lastColumn="0" w:lastRow="0" w:noHBand="0" w:noVBand="1" w:val="04A0"/>
      </w:tblPr>
      <w:tblGrid>
        <w:gridCol w:w="936"/>
        <w:gridCol w:w="9288"/>
      </w:tblGrid>
      <w:tr>
        <w:trPr>
          <w:tblHeader/>
          <w:cantSplit/>
        </w:trPr>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ID</w:t>
            </w:r>
          </w:p>
        </w:tc>
        <w:tc>
          <w:tcPr>
            <w:tcW w:type="dxa" w:w="9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8EEF3"/>
          </w:tcPr>
          <w:p>
            <w:pPr>
              <w:spacing w:after="40" w:line="245" w:lineRule="auto"/>
            </w:pPr>
            <w:r>
              <w:rPr>
                <w:b/>
                <w:sz w:val="20"/>
              </w:rPr>
              <w:t>Evidence and exact location</w:t>
            </w:r>
          </w:p>
        </w:tc>
      </w:tr>
      <w:tr>
        <w:trPr>
          <w:cantSplit/>
        </w:trPr>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B1–B4</w:t>
            </w:r>
          </w:p>
        </w:tc>
        <w:tc>
          <w:tcPr>
            <w:tcW w:type="dxa" w:w="9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Browser observations: admin lists/dashboard and supplier search; Company Users form; invoice creation form and saved record; Auditor and Submitter screens. Reproduction journeys are described in the findings.</w:t>
            </w:r>
          </w:p>
        </w:tc>
      </w:tr>
      <w:tr>
        <w:trPr>
          <w:cantSplit/>
        </w:trPr>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A1</w:t>
            </w:r>
          </w:p>
        </w:tc>
        <w:tc>
          <w:tcPr>
            <w:tcW w:type="dxa" w:w="9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api-results.json — calculations, validation, mismatched relationships and terminal-state requests.</w:t>
            </w:r>
          </w:p>
        </w:tc>
      </w:tr>
      <w:tr>
        <w:trPr>
          <w:cantSplit/>
        </w:trPr>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A2</w:t>
            </w:r>
          </w:p>
        </w:tc>
        <w:tc>
          <w:tcPr>
            <w:tcW w:type="dxa" w:w="9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role-results.json — five declared roles, custom membership assignments, ownership, note access and revocation.</w:t>
            </w:r>
          </w:p>
        </w:tc>
      </w:tr>
      <w:tr>
        <w:trPr>
          <w:cantSplit/>
        </w:trPr>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A3–A4</w:t>
            </w:r>
          </w:p>
        </w:tc>
        <w:tc>
          <w:tcPr>
            <w:tcW w:type="dxa" w:w="9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edge-results.json and final-results.json — partial writes, status bypass, deletions, notes, uniqueness and native revocation control.</w:t>
            </w:r>
          </w:p>
        </w:tc>
      </w:tr>
      <w:tr>
        <w:trPr>
          <w:cantSplit/>
        </w:trPr>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D1</w:t>
            </w:r>
          </w:p>
        </w:tc>
        <w:tc>
          <w:tcPr>
            <w:tcW w:type="dxa" w:w="9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Read-only inspection of .objectstack/data/objectstack.db: initial counts, line amounts, company tags, organization, memberships and native grants.</w:t>
            </w:r>
          </w:p>
        </w:tc>
      </w:tr>
      <w:tr>
        <w:trPr>
          <w:cantSplit/>
        </w:trPr>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S1–S2</w:t>
            </w:r>
          </w:p>
        </w:tc>
        <w:tc>
          <w:tcPr>
            <w:tcW w:type="dxa" w:w="9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src/apps/invoice-review.app.ts:7; src/apis/company.api.ts:4; src/handlers/company-scope.handler.ts:5; src/objects/company-user.object.ts:5.</w:t>
            </w:r>
          </w:p>
        </w:tc>
      </w:tr>
      <w:tr>
        <w:trPr>
          <w:cantSplit/>
        </w:trPr>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S3–S5</w:t>
            </w:r>
          </w:p>
        </w:tc>
        <w:tc>
          <w:tcPr>
            <w:tcW w:type="dxa" w:w="9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src/security/invoice-review.security.ts:10; src/objects/invoice.object.ts:17 and :37; src/objects/invoice-line.object.ts:14; src/data/invoice-line.seed.ts:4; src/handlers/invoice-line.handler.ts:3.</w:t>
            </w:r>
          </w:p>
        </w:tc>
      </w:tr>
      <w:tr>
        <w:trPr>
          <w:cantSplit/>
        </w:trPr>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S6</w:t>
            </w:r>
          </w:p>
        </w:tc>
        <w:tc>
          <w:tcPr>
            <w:tcW w:type="dxa" w:w="9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8FAFB"/>
          </w:tcPr>
          <w:p>
            <w:pPr>
              <w:spacing w:after="40" w:line="245" w:lineRule="auto"/>
            </w:pPr>
            <w:r>
              <w:rPr>
                <w:b w:val="0"/>
                <w:sz w:val="20"/>
              </w:rPr>
              <w:t>Installed node_modules: @objectstack/objectql/dist/core.mjs:13136 and :13161; @objectstack/plugin-security/dist/index.mjs:11592; console/dist/assets/ui-components-CMHDBJEm.js (yen fallback and column-sum footer).</w:t>
            </w:r>
          </w:p>
        </w:tc>
      </w:tr>
      <w:tr>
        <w:trPr>
          <w:cantSplit/>
        </w:trPr>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S7</w:t>
            </w:r>
          </w:p>
        </w:tc>
        <w:tc>
          <w:tcPr>
            <w:tcW w:type="dxa" w:w="92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FFFFF"/>
          </w:tcPr>
          <w:p>
            <w:pPr>
              <w:spacing w:after="40" w:line="245" w:lineRule="auto"/>
            </w:pPr>
            <w:r>
              <w:rPr>
                <w:b w:val="0"/>
                <w:sz w:val="20"/>
              </w:rPr>
              <w:t>GET /api/v1/auth/config; CLI serve.js around line 3455; bundled data skill rules/security.md; official tenancy documentation linked on page 2. Public documentation consulted 21 September 2026.</w:t>
            </w:r>
          </w:p>
        </w:tc>
      </w:tr>
    </w:tbl>
    <w:p>
      <w:r>
        <w:rPr>
          <w:b w:val="0"/>
        </w:rPr>
      </w:r>
    </w:p>
    <w:p>
      <w:pPr>
        <w:pStyle w:val="Heading2"/>
      </w:pPr>
      <w:r>
        <w:t>Limits and retained test records</w:t>
      </w:r>
    </w:p>
    <w:p>
      <w:r>
        <w:rPr>
          <w:b w:val="0"/>
        </w:rPr>
        <w:t>No application source or package was changed. Five labelled Audit role accounts and two Draft invoices remain for review: AUDIT-20260921-15060 and AUDIT-SUBMITTER-20260921. The first has two lines totaling $150.60; confidential notes contain only fictional sentinels. Temporary deletion fixtures were removed. Credentials are stored locally in demo-accounts.json with owner-only file permissions; they are not included in this report.</w:t>
      </w:r>
    </w:p>
    <w:p>
      <w:r>
        <w:rPr>
          <w:b w:val="0"/>
        </w:rPr>
        <w:t>A native date-picker crash interrupted browser creation; it is not attributed to ObjectStack. Server creation and subsequent browser viewing were verified. Restart, concurrency, full bulk/import behavior and shared links were not tested. This is not an exhaustive security assessment. Earlier builder replies and historical error logs were unavailable.</w:t>
      </w:r>
    </w:p>
    <w:sectPr w:rsidR="00FC693F" w:rsidRPr="0006063C" w:rsidSect="00034616">
      <w:headerReference w:type="default" r:id="rId9"/>
      <w:footerReference w:type="default" r:id="rId10"/>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21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STRATUM  |  INVOICE REVIEW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bjectstack.ai/docs/deployment/tenancy-m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