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5E32" w:rsidRDefault="00AD219C" w:rsidP="00AD219C">
      <w:pPr>
        <w:pStyle w:val="Title"/>
        <w:bidi w:val="0"/>
        <w:jc w:val="right"/>
      </w:pPr>
      <w:bookmarkStart w:id="0" w:name="_GoBack"/>
      <w:bookmarkEnd w:id="0"/>
      <w:r>
        <w:t>جاسم أحمد اليونس</w:t>
      </w:r>
    </w:p>
    <w:p w:rsidR="00B05E32" w:rsidRDefault="00AD219C" w:rsidP="00AD219C">
      <w:pPr>
        <w:bidi w:val="0"/>
        <w:jc w:val="right"/>
      </w:pPr>
      <w:r>
        <w:t>بيروت، لبنان</w:t>
      </w:r>
      <w:r>
        <w:rPr>
          <w:rtl w:val="0"/>
        </w:rPr>
        <w:t xml:space="preserve">  |  +1 (931) 623-7215  |  jasemalyounes@gmail.com</w:t>
      </w:r>
    </w:p>
    <w:p w:rsidR="00B05E32" w:rsidRDefault="00AD219C" w:rsidP="00AD219C">
      <w:pPr>
        <w:pStyle w:val="Heading1"/>
        <w:bidi w:val="0"/>
        <w:jc w:val="right"/>
      </w:pPr>
      <w:r>
        <w:t>الملخص المهني</w:t>
      </w:r>
    </w:p>
    <w:p w:rsidR="00B05E32" w:rsidRDefault="00AD219C" w:rsidP="00AD219C">
      <w:pPr>
        <w:bidi w:val="0"/>
        <w:jc w:val="right"/>
      </w:pPr>
      <w:r>
        <w:t xml:space="preserve">مهندس برمجيات حاصل على ماجستير في علوم الويب وبكالوريوس في هندسة البرمجيات، مع أكثر من خمس سنوات من الخبرة في بناء تطبيقات متكاملة قابلة للتوسّع وإدارة دورة حياة المشاريع التقنية لدى </w:t>
      </w:r>
      <w:r>
        <w:rPr>
          <w:rtl w:val="0"/>
        </w:rPr>
        <w:t>Lazer Net ISP</w:t>
      </w:r>
      <w:r>
        <w:t>. متخصص في ربط بيانات المؤسسات المعقّدة (</w:t>
      </w:r>
      <w:r>
        <w:rPr>
          <w:rtl w:val="0"/>
        </w:rPr>
        <w:t>Oracle</w:t>
      </w:r>
      <w:r>
        <w:t>) بمعماريات ا</w:t>
      </w:r>
      <w:r>
        <w:t xml:space="preserve">لويب الحديثة، وخبير في تطوير </w:t>
      </w:r>
      <w:r>
        <w:rPr>
          <w:rtl w:val="0"/>
        </w:rPr>
        <w:t>Odoo 19</w:t>
      </w:r>
      <w:r>
        <w:t xml:space="preserve"> وإدارة الأنظمة والدعم التقني وممارسات </w:t>
      </w:r>
      <w:r>
        <w:rPr>
          <w:rtl w:val="0"/>
        </w:rPr>
        <w:t>DevOps</w:t>
      </w:r>
      <w:r>
        <w:t>.</w:t>
      </w:r>
    </w:p>
    <w:p w:rsidR="00B05E32" w:rsidRDefault="00AD219C" w:rsidP="00AD219C">
      <w:pPr>
        <w:pStyle w:val="Heading1"/>
        <w:bidi w:val="0"/>
        <w:jc w:val="right"/>
      </w:pPr>
      <w:r>
        <w:t>الخبرات العملية</w:t>
      </w:r>
    </w:p>
    <w:p w:rsidR="00B05E32" w:rsidRDefault="00AD219C" w:rsidP="00AD219C">
      <w:pPr>
        <w:pStyle w:val="Heading3"/>
        <w:bidi w:val="0"/>
        <w:jc w:val="right"/>
      </w:pPr>
      <w:r>
        <w:t>أيلول 2024 – حتّى الآن</w:t>
      </w:r>
    </w:p>
    <w:p w:rsidR="00B05E32" w:rsidRDefault="00AD219C" w:rsidP="00AD219C">
      <w:pPr>
        <w:pStyle w:val="Heading2"/>
        <w:bidi w:val="0"/>
        <w:jc w:val="right"/>
      </w:pPr>
      <w:r>
        <w:t>مطوّر أنظمة ERP مستقل</w:t>
      </w:r>
    </w:p>
    <w:p w:rsidR="00B05E32" w:rsidRDefault="00AD219C" w:rsidP="00AD219C">
      <w:pPr>
        <w:bidi w:val="0"/>
        <w:jc w:val="right"/>
      </w:pPr>
      <w:r>
        <w:rPr>
          <w:b/>
          <w:bCs/>
        </w:rPr>
        <w:t xml:space="preserve">تطوير أنظمة ERP: </w:t>
      </w:r>
      <w:r>
        <w:t xml:space="preserve">تصميم وبناء حل مخصّص لإدارة المهام على </w:t>
      </w:r>
      <w:r>
        <w:rPr>
          <w:rtl w:val="0"/>
        </w:rPr>
        <w:t>Odoo 19</w:t>
      </w:r>
      <w:r>
        <w:t xml:space="preserve"> يتضمّن تفويض المدراء وتتبّع أعمال البحث والتطوير</w:t>
      </w:r>
      <w:r>
        <w:t>.</w:t>
      </w:r>
    </w:p>
    <w:p w:rsidR="00B05E32" w:rsidRDefault="00AD219C" w:rsidP="00AD219C">
      <w:pPr>
        <w:bidi w:val="0"/>
        <w:jc w:val="right"/>
      </w:pPr>
      <w:r>
        <w:rPr>
          <w:b/>
          <w:bCs/>
        </w:rPr>
        <w:t xml:space="preserve">الواجهات الخلفية والأمامية: </w:t>
      </w:r>
      <w:r>
        <w:t xml:space="preserve">تصميم واجهات </w:t>
      </w:r>
      <w:r>
        <w:rPr>
          <w:rtl w:val="0"/>
        </w:rPr>
        <w:t>XML</w:t>
      </w:r>
      <w:r>
        <w:t xml:space="preserve"> موروثة معقّدة وإجراءات مخصّصة لعروض القوائم، واستخدام </w:t>
      </w:r>
      <w:r>
        <w:rPr>
          <w:rtl w:val="0"/>
        </w:rPr>
        <w:t>Python</w:t>
      </w:r>
      <w:r>
        <w:t xml:space="preserve"> و</w:t>
      </w:r>
      <w:r>
        <w:rPr>
          <w:rtl w:val="0"/>
        </w:rPr>
        <w:t>PostgreSQL</w:t>
      </w:r>
      <w:r>
        <w:t xml:space="preserve"> لبناء منطق خلفي قابل للتوسّع.</w:t>
      </w:r>
    </w:p>
    <w:p w:rsidR="00B05E32" w:rsidRDefault="00AD219C" w:rsidP="00AD219C">
      <w:pPr>
        <w:bidi w:val="0"/>
        <w:jc w:val="right"/>
      </w:pPr>
      <w:r>
        <w:rPr>
          <w:b/>
          <w:bCs/>
        </w:rPr>
        <w:t xml:space="preserve">إدارة الأنظمة: </w:t>
      </w:r>
      <w:r>
        <w:t xml:space="preserve">إدارة خوادم </w:t>
      </w:r>
      <w:r>
        <w:rPr>
          <w:rtl w:val="0"/>
        </w:rPr>
        <w:t>Linux VPS</w:t>
      </w:r>
      <w:r>
        <w:t xml:space="preserve">، بما في ذلك إعداد </w:t>
      </w:r>
      <w:r>
        <w:rPr>
          <w:rtl w:val="0"/>
        </w:rPr>
        <w:t>Nginx</w:t>
      </w:r>
      <w:r>
        <w:t xml:space="preserve"> كوكيل عكسي ونشر شهادات </w:t>
      </w:r>
      <w:r>
        <w:rPr>
          <w:rtl w:val="0"/>
        </w:rPr>
        <w:t>SSL/HTTPS</w:t>
      </w:r>
      <w:r>
        <w:t>.</w:t>
      </w:r>
    </w:p>
    <w:p w:rsidR="00B05E32" w:rsidRDefault="00AD219C" w:rsidP="00AD219C">
      <w:pPr>
        <w:bidi w:val="0"/>
        <w:jc w:val="right"/>
      </w:pPr>
      <w:r>
        <w:rPr>
          <w:b/>
          <w:bCs/>
        </w:rPr>
        <w:t xml:space="preserve">الأتمتة: </w:t>
      </w:r>
      <w:r>
        <w:t>إن</w:t>
      </w:r>
      <w:r>
        <w:t xml:space="preserve">شاء خدمات </w:t>
      </w:r>
      <w:r>
        <w:rPr>
          <w:rtl w:val="0"/>
        </w:rPr>
        <w:t>systemd</w:t>
      </w:r>
      <w:r>
        <w:t xml:space="preserve"> مؤتمتة لضمان التوافر العالي واستمرارية أداء التطبيقات.</w:t>
      </w:r>
    </w:p>
    <w:p w:rsidR="00B05E32" w:rsidRDefault="00AD219C" w:rsidP="00AD219C">
      <w:pPr>
        <w:pStyle w:val="Heading3"/>
        <w:bidi w:val="0"/>
        <w:jc w:val="right"/>
      </w:pPr>
      <w:r>
        <w:t>دمشق، سوريا — كانون الثاني 2019 – أيلول 2024</w:t>
      </w:r>
    </w:p>
    <w:p w:rsidR="00B05E32" w:rsidRDefault="00AD219C" w:rsidP="00AD219C">
      <w:pPr>
        <w:pStyle w:val="Heading2"/>
        <w:bidi w:val="0"/>
        <w:jc w:val="right"/>
      </w:pPr>
      <w:r>
        <w:t>مطوّر برمجيات / قائد فريق تقني، Lazer Net ISP</w:t>
      </w:r>
    </w:p>
    <w:p w:rsidR="00B05E32" w:rsidRDefault="00AD219C" w:rsidP="00AD219C">
      <w:pPr>
        <w:bidi w:val="0"/>
        <w:jc w:val="right"/>
      </w:pPr>
      <w:r>
        <w:rPr>
          <w:b/>
          <w:bCs/>
        </w:rPr>
        <w:t xml:space="preserve">قيادة المشاريع: </w:t>
      </w:r>
      <w:r>
        <w:t>إدارة دورة حياة المشاريع التقنية كاملةً من تحليل المتطلبات حتّى النشر النهائ</w:t>
      </w:r>
      <w:r>
        <w:t>ي.</w:t>
      </w:r>
    </w:p>
    <w:p w:rsidR="00B05E32" w:rsidRDefault="00AD219C" w:rsidP="00AD219C">
      <w:pPr>
        <w:bidi w:val="0"/>
        <w:jc w:val="right"/>
      </w:pPr>
      <w:r>
        <w:rPr>
          <w:b/>
          <w:bCs/>
        </w:rPr>
        <w:t xml:space="preserve">إدارة قواعد البيانات: </w:t>
      </w:r>
      <w:r>
        <w:t>تصميم وصيانة قواعد بيانات علائقية معقّدة (</w:t>
      </w:r>
      <w:r>
        <w:rPr>
          <w:rtl w:val="0"/>
        </w:rPr>
        <w:t>Oracle/SQL</w:t>
      </w:r>
      <w:r>
        <w:t>) مع ضمان سلامة البيانات وكفاءة الاسترجاع.</w:t>
      </w:r>
    </w:p>
    <w:p w:rsidR="00B05E32" w:rsidRDefault="00AD219C" w:rsidP="00AD219C">
      <w:pPr>
        <w:bidi w:val="0"/>
        <w:jc w:val="right"/>
      </w:pPr>
      <w:r>
        <w:rPr>
          <w:b/>
          <w:bCs/>
        </w:rPr>
        <w:t xml:space="preserve">التقارير الإدارية: </w:t>
      </w:r>
      <w:r>
        <w:t>إعداد تقارير تقنية دورية للإدارة العليا توثّق الإنجازات واستراتيجيات معالجة المخاطر.</w:t>
      </w:r>
    </w:p>
    <w:p w:rsidR="00B05E32" w:rsidRDefault="00AD219C" w:rsidP="00AD219C">
      <w:pPr>
        <w:bidi w:val="0"/>
        <w:jc w:val="right"/>
      </w:pPr>
      <w:r>
        <w:rPr>
          <w:b/>
          <w:bCs/>
        </w:rPr>
        <w:t xml:space="preserve">تقييم المخاطر: </w:t>
      </w:r>
      <w:r>
        <w:t>تحديد المخاطر الت</w:t>
      </w:r>
      <w:r>
        <w:t>قنية المحتملة واقتراح استراتيجيات لضمان توافق المشاريع مع معايير الجودة.</w:t>
      </w:r>
    </w:p>
    <w:p w:rsidR="00B05E32" w:rsidRDefault="00AD219C" w:rsidP="00AD219C">
      <w:pPr>
        <w:bidi w:val="0"/>
        <w:jc w:val="right"/>
      </w:pPr>
      <w:r>
        <w:rPr>
          <w:b/>
          <w:bCs/>
        </w:rPr>
        <w:t xml:space="preserve">البنية التحتية والدعم: </w:t>
      </w:r>
      <w:r>
        <w:t>إدارة البنية التحتية للشبكات ومعالجة أعطال الأجهزة والبرمجيات وتقديم الدعم التقني.</w:t>
      </w:r>
    </w:p>
    <w:p w:rsidR="00B05E32" w:rsidRDefault="00AD219C" w:rsidP="00AD219C">
      <w:pPr>
        <w:pStyle w:val="Heading1"/>
        <w:bidi w:val="0"/>
        <w:jc w:val="right"/>
      </w:pPr>
      <w:r>
        <w:t>التعليم</w:t>
      </w:r>
    </w:p>
    <w:p w:rsidR="00B05E32" w:rsidRDefault="00AD219C" w:rsidP="00AD219C">
      <w:pPr>
        <w:pStyle w:val="Heading3"/>
        <w:bidi w:val="0"/>
        <w:jc w:val="right"/>
      </w:pPr>
      <w:r>
        <w:t>حزيران 2024</w:t>
      </w:r>
    </w:p>
    <w:p w:rsidR="00B05E32" w:rsidRDefault="00AD219C" w:rsidP="00AD219C">
      <w:pPr>
        <w:pStyle w:val="Heading2"/>
        <w:bidi w:val="0"/>
        <w:jc w:val="right"/>
      </w:pPr>
      <w:r>
        <w:t>ماجستير في علوم الويب، الجامعة الافتراضية السورية</w:t>
      </w:r>
    </w:p>
    <w:p w:rsidR="00B05E32" w:rsidRDefault="00AD219C" w:rsidP="00AD219C">
      <w:pPr>
        <w:pStyle w:val="Heading3"/>
        <w:bidi w:val="0"/>
        <w:jc w:val="right"/>
      </w:pPr>
      <w:r>
        <w:t xml:space="preserve">تشرين </w:t>
      </w:r>
      <w:r>
        <w:t>الأول 2012</w:t>
      </w:r>
    </w:p>
    <w:p w:rsidR="00B05E32" w:rsidRDefault="00AD219C" w:rsidP="00AD219C">
      <w:pPr>
        <w:pStyle w:val="Heading2"/>
        <w:bidi w:val="0"/>
        <w:jc w:val="right"/>
      </w:pPr>
      <w:r>
        <w:t>بكالوريوس في هندسة البرمجيات، جامعة حلب</w:t>
      </w:r>
    </w:p>
    <w:p w:rsidR="00B05E32" w:rsidRDefault="00AD219C" w:rsidP="00AD219C">
      <w:pPr>
        <w:pStyle w:val="Heading1"/>
        <w:bidi w:val="0"/>
        <w:jc w:val="right"/>
      </w:pPr>
      <w:r>
        <w:t>المهارات التقنية والإدارية</w:t>
      </w:r>
    </w:p>
    <w:p w:rsidR="00B05E32" w:rsidRDefault="00AD219C" w:rsidP="00AD219C">
      <w:pPr>
        <w:pStyle w:val="ListBullet"/>
        <w:bidi w:val="0"/>
        <w:jc w:val="right"/>
      </w:pPr>
      <w:r>
        <w:rPr>
          <w:b/>
          <w:bCs/>
        </w:rPr>
        <w:t xml:space="preserve">تطوير البرمجيات: </w:t>
      </w:r>
      <w:r>
        <w:rPr>
          <w:rtl w:val="0"/>
        </w:rPr>
        <w:t>Python, Java, Spring Boot, C#, JavaScript, XML, PHP, Laravel, RESTful APIs</w:t>
      </w:r>
      <w:r>
        <w:t>.</w:t>
      </w:r>
    </w:p>
    <w:p w:rsidR="00B05E32" w:rsidRDefault="00AD219C" w:rsidP="00AD219C">
      <w:pPr>
        <w:pStyle w:val="ListBullet"/>
        <w:bidi w:val="0"/>
        <w:jc w:val="right"/>
      </w:pPr>
      <w:r>
        <w:rPr>
          <w:b/>
          <w:bCs/>
        </w:rPr>
        <w:t>إدارة الأنظمة و</w:t>
      </w:r>
      <w:r>
        <w:rPr>
          <w:rtl w:val="0"/>
        </w:rPr>
        <w:t>DevOps</w:t>
      </w:r>
      <w:r>
        <w:rPr>
          <w:b/>
          <w:bCs/>
        </w:rPr>
        <w:t xml:space="preserve">: </w:t>
      </w:r>
      <w:r>
        <w:rPr>
          <w:rtl w:val="0"/>
        </w:rPr>
        <w:t>Linux VPS, Nginx, SSH Security, SSL/HTTPS, Systemd</w:t>
      </w:r>
      <w:r>
        <w:t>.</w:t>
      </w:r>
    </w:p>
    <w:p w:rsidR="00B05E32" w:rsidRDefault="00AD219C" w:rsidP="00AD219C">
      <w:pPr>
        <w:pStyle w:val="ListBullet"/>
        <w:bidi w:val="0"/>
        <w:jc w:val="right"/>
      </w:pPr>
      <w:r>
        <w:rPr>
          <w:b/>
          <w:bCs/>
        </w:rPr>
        <w:t xml:space="preserve">قواعد البيانات: </w:t>
      </w:r>
      <w:r>
        <w:rPr>
          <w:rtl w:val="0"/>
        </w:rPr>
        <w:t>Oracle Database, PostgreSQL, SQL Server</w:t>
      </w:r>
      <w:r>
        <w:t xml:space="preserve"> — الإدارة والتصميم والتحليل.</w:t>
      </w:r>
    </w:p>
    <w:p w:rsidR="00B05E32" w:rsidRDefault="00AD219C" w:rsidP="00AD219C">
      <w:pPr>
        <w:pStyle w:val="ListBullet"/>
        <w:bidi w:val="0"/>
        <w:jc w:val="right"/>
      </w:pPr>
      <w:r>
        <w:rPr>
          <w:b/>
          <w:bCs/>
        </w:rPr>
        <w:t xml:space="preserve">البنية التحتية والدعم: </w:t>
      </w:r>
      <w:r>
        <w:t xml:space="preserve">شهادة </w:t>
      </w:r>
      <w:r>
        <w:rPr>
          <w:rtl w:val="0"/>
        </w:rPr>
        <w:t>CCNA</w:t>
      </w:r>
      <w:r>
        <w:t>، وخبرة قوية في بنية الشبكات ومعالجة أعطال الأجهزة والبرمجيات والدعم التقني.</w:t>
      </w:r>
    </w:p>
    <w:p w:rsidR="00B05E32" w:rsidRDefault="00AD219C" w:rsidP="00AD219C">
      <w:pPr>
        <w:pStyle w:val="ListBullet"/>
        <w:bidi w:val="0"/>
        <w:jc w:val="right"/>
      </w:pPr>
      <w:r>
        <w:rPr>
          <w:b/>
          <w:bCs/>
        </w:rPr>
        <w:t xml:space="preserve">إدارة المشاريع: </w:t>
      </w:r>
      <w:r>
        <w:t>جمع المتطلبات، وتحديد المخاطر، وتنسيق أصحاب ا</w:t>
      </w:r>
      <w:r>
        <w:t>لمصلحة، وإعداد التوثيق التقني.</w:t>
      </w:r>
    </w:p>
    <w:p w:rsidR="00B05E32" w:rsidRDefault="00AD219C" w:rsidP="00AD219C">
      <w:pPr>
        <w:pStyle w:val="ListBullet"/>
        <w:bidi w:val="0"/>
        <w:jc w:val="right"/>
      </w:pPr>
      <w:r>
        <w:rPr>
          <w:b/>
          <w:bCs/>
        </w:rPr>
        <w:t xml:space="preserve">أدوات المكتب: </w:t>
      </w:r>
      <w:r>
        <w:t xml:space="preserve">إتقان متقدّم لبرامج </w:t>
      </w:r>
      <w:r>
        <w:rPr>
          <w:rtl w:val="0"/>
        </w:rPr>
        <w:t>Word, Excel</w:t>
      </w:r>
      <w:r>
        <w:t xml:space="preserve"> (إعداد التقارير) و</w:t>
      </w:r>
      <w:r>
        <w:rPr>
          <w:rtl w:val="0"/>
        </w:rPr>
        <w:t>PowerPoint</w:t>
      </w:r>
      <w:r>
        <w:t>.</w:t>
      </w:r>
    </w:p>
    <w:p w:rsidR="00B05E32" w:rsidRDefault="00AD219C" w:rsidP="00AD219C">
      <w:pPr>
        <w:pStyle w:val="Heading1"/>
        <w:bidi w:val="0"/>
        <w:jc w:val="right"/>
      </w:pPr>
      <w:r>
        <w:lastRenderedPageBreak/>
        <w:t>مشاريع مختارة</w:t>
      </w:r>
    </w:p>
    <w:p w:rsidR="00B05E32" w:rsidRDefault="00AD219C" w:rsidP="00AD219C">
      <w:pPr>
        <w:pStyle w:val="ListBullet"/>
        <w:bidi w:val="0"/>
        <w:jc w:val="right"/>
      </w:pPr>
      <w:r>
        <w:rPr>
          <w:rtl w:val="0"/>
        </w:rPr>
        <w:t>Harmonia</w:t>
      </w:r>
      <w:r>
        <w:rPr>
          <w:b/>
          <w:bCs/>
        </w:rPr>
        <w:t xml:space="preserve"> — </w:t>
      </w:r>
      <w:r>
        <w:t>تطبيق لسلامة العائلة ومشاركة الموقع يوفّر التتبّع المباشر وتنبيهات الاستغاثة والمناطق الجغرافية وأدوار الأوصياء، مع بديل يعم</w:t>
      </w:r>
      <w:r>
        <w:t xml:space="preserve">ل عبر الرسائل القصيرة دون إنترنت؛ تولّيت بناء التطبيق والواجهة الخلفية والبنية التحتية بالكامل. </w:t>
      </w:r>
      <w:r>
        <w:rPr>
          <w:b/>
          <w:bCs/>
        </w:rPr>
        <w:t xml:space="preserve">التقنيات: </w:t>
      </w:r>
      <w:r>
        <w:rPr>
          <w:rtl w:val="0"/>
        </w:rPr>
        <w:t>React Native (Expo), TypeScript, Fastify, PostgreSQL</w:t>
      </w:r>
      <w:r>
        <w:t xml:space="preserve">. </w:t>
      </w:r>
      <w:hyperlink r:id="rId7">
        <w:r>
          <w:rPr>
            <w:rStyle w:val="Hyperlink"/>
            <w:rtl w:val="0"/>
          </w:rPr>
          <w:t>harmonia-safety.vercel.app</w:t>
        </w:r>
      </w:hyperlink>
    </w:p>
    <w:p w:rsidR="00B05E32" w:rsidRDefault="00AD219C" w:rsidP="00AD219C">
      <w:pPr>
        <w:pStyle w:val="ListBullet"/>
        <w:bidi w:val="0"/>
        <w:jc w:val="right"/>
      </w:pPr>
      <w:r>
        <w:rPr>
          <w:rtl w:val="0"/>
        </w:rPr>
        <w:t>Smart Task Pla</w:t>
      </w:r>
      <w:r>
        <w:rPr>
          <w:rtl w:val="0"/>
        </w:rPr>
        <w:t>nner</w:t>
      </w:r>
      <w:r>
        <w:rPr>
          <w:b/>
          <w:bCs/>
        </w:rPr>
        <w:t xml:space="preserve"> — </w:t>
      </w:r>
      <w:r>
        <w:t xml:space="preserve">تطبيق مستقل لإدارة المشاريع على </w:t>
      </w:r>
      <w:r>
        <w:rPr>
          <w:rtl w:val="0"/>
        </w:rPr>
        <w:t>Odoo 19</w:t>
      </w:r>
      <w:r>
        <w:t xml:space="preserve"> منشور على متجر تطبيقات </w:t>
      </w:r>
      <w:r>
        <w:rPr>
          <w:rtl w:val="0"/>
        </w:rPr>
        <w:t>Odoo</w:t>
      </w:r>
      <w:r>
        <w:t xml:space="preserve">، يتضمّن مخطط </w:t>
      </w:r>
      <w:r>
        <w:rPr>
          <w:rtl w:val="0"/>
        </w:rPr>
        <w:t>Gantt</w:t>
      </w:r>
      <w:r>
        <w:t xml:space="preserve"> تفاعلي مع إعادة الجدولة بالسحب والإفلات والاعتماديات، ولوحة كانبان بسبع مراحل، وجداول زمنية ولوحات تحكّم تنفيذية، دون الاعتماد على النسخة المؤسسية. </w:t>
      </w:r>
      <w:r>
        <w:rPr>
          <w:b/>
          <w:bCs/>
        </w:rPr>
        <w:t xml:space="preserve">التقنيات: </w:t>
      </w:r>
      <w:r>
        <w:rPr>
          <w:rtl w:val="0"/>
        </w:rPr>
        <w:t>Odoo</w:t>
      </w:r>
      <w:r>
        <w:rPr>
          <w:rtl w:val="0"/>
        </w:rPr>
        <w:t xml:space="preserve"> 19, Python, PostgreSQL, OWL, XML</w:t>
      </w:r>
      <w:r>
        <w:t xml:space="preserve">. </w:t>
      </w:r>
      <w:hyperlink r:id="rId8">
        <w:r>
          <w:rPr>
            <w:rStyle w:val="Hyperlink"/>
            <w:rtl w:val="0"/>
          </w:rPr>
          <w:t>apps.odoo.com</w:t>
        </w:r>
      </w:hyperlink>
    </w:p>
    <w:p w:rsidR="00B05E32" w:rsidRDefault="00AD219C" w:rsidP="00AD219C">
      <w:pPr>
        <w:pStyle w:val="ListBullet"/>
        <w:bidi w:val="0"/>
        <w:jc w:val="right"/>
      </w:pPr>
      <w:r>
        <w:rPr>
          <w:rtl w:val="0"/>
        </w:rPr>
        <w:t>Super Proxy Store</w:t>
      </w:r>
      <w:r>
        <w:rPr>
          <w:b/>
          <w:bCs/>
        </w:rPr>
        <w:t xml:space="preserve"> — </w:t>
      </w:r>
      <w:r>
        <w:t xml:space="preserve">بوت تيليجرام لبيع خدمات البروكسي، يدمج </w:t>
      </w:r>
      <w:r>
        <w:rPr>
          <w:rtl w:val="0"/>
        </w:rPr>
        <w:t>Cryptomus</w:t>
      </w:r>
      <w:r>
        <w:t xml:space="preserve"> لشحن المحفظة بالعملات الرقمية إضافةً إلى مسار تأكيد يدوي لخد</w:t>
      </w:r>
      <w:r>
        <w:t xml:space="preserve">مات </w:t>
      </w:r>
      <w:r>
        <w:rPr>
          <w:rtl w:val="0"/>
        </w:rPr>
        <w:t>OMT</w:t>
      </w:r>
      <w:r>
        <w:t xml:space="preserve"> و</w:t>
      </w:r>
      <w:r>
        <w:rPr>
          <w:rtl w:val="0"/>
        </w:rPr>
        <w:t>Whish</w:t>
      </w:r>
      <w:r>
        <w:t xml:space="preserve"> وسيريتل كاش — وهي قنوات دفع إقليمية بلا واجهات برمجية عامة — عبر مُهيّئات موردين قابلة للتبديل. </w:t>
      </w:r>
      <w:r>
        <w:rPr>
          <w:b/>
          <w:bCs/>
        </w:rPr>
        <w:t xml:space="preserve">التقنيات: </w:t>
      </w:r>
      <w:r>
        <w:rPr>
          <w:rtl w:val="0"/>
        </w:rPr>
        <w:t>Node.js, Telegraf, Fastify, PostgreSQL</w:t>
      </w:r>
      <w:r>
        <w:t xml:space="preserve">. </w:t>
      </w:r>
      <w:hyperlink r:id="rId9">
        <w:r>
          <w:rPr>
            <w:rStyle w:val="Hyperlink"/>
            <w:rtl w:val="0"/>
          </w:rPr>
          <w:t>t.me/myproxystore_bot</w:t>
        </w:r>
      </w:hyperlink>
    </w:p>
    <w:p w:rsidR="00B05E32" w:rsidRDefault="00AD219C" w:rsidP="00AD219C">
      <w:pPr>
        <w:pStyle w:val="ListBullet"/>
        <w:bidi w:val="0"/>
        <w:jc w:val="right"/>
      </w:pPr>
      <w:r>
        <w:rPr>
          <w:rtl w:val="0"/>
        </w:rPr>
        <w:t>Legends Match</w:t>
      </w:r>
      <w:r>
        <w:rPr>
          <w:b/>
          <w:bCs/>
        </w:rPr>
        <w:t xml:space="preserve"> — </w:t>
      </w:r>
      <w:r>
        <w:t>لعبة ذاك</w:t>
      </w:r>
      <w:r>
        <w:t xml:space="preserve">رة للهواتف المحمولة تتضمّن تسجيل الدخول عبر </w:t>
      </w:r>
      <w:r>
        <w:rPr>
          <w:rtl w:val="0"/>
        </w:rPr>
        <w:t>Google</w:t>
      </w:r>
      <w:r>
        <w:t xml:space="preserve"> وتحقيق الدخل بواسطة </w:t>
      </w:r>
      <w:r>
        <w:rPr>
          <w:rtl w:val="0"/>
        </w:rPr>
        <w:t>AdMob</w:t>
      </w:r>
      <w:r>
        <w:t xml:space="preserve"> واقتصاد عملات داخل اللعبة ونظام إحالة وصرف مدعوم بلوحة تحكّم إدارية. </w:t>
      </w:r>
      <w:r>
        <w:rPr>
          <w:b/>
          <w:bCs/>
        </w:rPr>
        <w:t xml:space="preserve">التقنيات: </w:t>
      </w:r>
      <w:r>
        <w:rPr>
          <w:rtl w:val="0"/>
        </w:rPr>
        <w:t>React Native (Expo), Fastify, PostgreSQL, AdMob</w:t>
      </w:r>
      <w:r>
        <w:t>.</w:t>
      </w:r>
    </w:p>
    <w:p w:rsidR="00B05E32" w:rsidRDefault="00AD219C" w:rsidP="00AD219C">
      <w:pPr>
        <w:pStyle w:val="Heading1"/>
        <w:bidi w:val="0"/>
        <w:jc w:val="right"/>
      </w:pPr>
      <w:r>
        <w:t>اللغات</w:t>
      </w:r>
    </w:p>
    <w:p w:rsidR="00B05E32" w:rsidRDefault="00AD219C" w:rsidP="00AD219C">
      <w:pPr>
        <w:bidi w:val="0"/>
        <w:jc w:val="right"/>
      </w:pPr>
      <w:r>
        <w:rPr>
          <w:b/>
          <w:bCs/>
        </w:rPr>
        <w:t xml:space="preserve">العربية: </w:t>
      </w:r>
      <w:r>
        <w:t>اللغة الأم</w:t>
      </w:r>
    </w:p>
    <w:p w:rsidR="00B05E32" w:rsidRDefault="00AD219C" w:rsidP="00AD219C">
      <w:pPr>
        <w:bidi w:val="0"/>
        <w:jc w:val="right"/>
      </w:pPr>
      <w:r>
        <w:rPr>
          <w:b/>
          <w:bCs/>
        </w:rPr>
        <w:t xml:space="preserve">الإنجليزية: </w:t>
      </w:r>
      <w:r>
        <w:t>إتقان تام (ق</w:t>
      </w:r>
      <w:r>
        <w:t>راءةً وكتابةً ومحادثةً)</w:t>
      </w:r>
    </w:p>
    <w:sectPr w:rsidR="00B05E32">
      <w:pgSz w:w="12240" w:h="15840"/>
      <w:pgMar w:top="1440" w:right="1440" w:bottom="1440" w:left="1440" w:header="720" w:footer="720" w:gutter="0"/>
      <w:cols w:space="720"/>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2909" w:rsidRDefault="006E2909" w:rsidP="0068194B">
      <w:r>
        <w:separator/>
      </w:r>
    </w:p>
    <w:p w:rsidR="006E2909" w:rsidRDefault="006E2909"/>
    <w:p w:rsidR="006E2909" w:rsidRDefault="006E2909"/>
  </w:endnote>
  <w:endnote w:type="continuationSeparator" w:id="0">
    <w:p w:rsidR="006E2909" w:rsidRDefault="006E2909" w:rsidP="0068194B">
      <w:r>
        <w:continuationSeparator/>
      </w:r>
    </w:p>
    <w:p w:rsidR="006E2909" w:rsidRDefault="006E2909"/>
    <w:p w:rsidR="006E2909" w:rsidRDefault="006E29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2909" w:rsidRDefault="006E2909" w:rsidP="0068194B">
      <w:r>
        <w:separator/>
      </w:r>
    </w:p>
    <w:p w:rsidR="006E2909" w:rsidRDefault="006E2909"/>
    <w:p w:rsidR="006E2909" w:rsidRDefault="006E2909"/>
  </w:footnote>
  <w:footnote w:type="continuationSeparator" w:id="0">
    <w:p w:rsidR="006E2909" w:rsidRDefault="006E2909" w:rsidP="0068194B">
      <w:r>
        <w:continuationSeparator/>
      </w:r>
    </w:p>
    <w:p w:rsidR="006E2909" w:rsidRDefault="006E2909"/>
    <w:p w:rsidR="006E2909" w:rsidRDefault="006E290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8"/>
  </w:num>
  <w:num w:numId="3">
    <w:abstractNumId w:val="7"/>
  </w:num>
  <w:num w:numId="4">
    <w:abstractNumId w:val="6"/>
  </w:num>
  <w:num w:numId="5">
    <w:abstractNumId w:val="10"/>
  </w:num>
  <w:num w:numId="6">
    <w:abstractNumId w:val="3"/>
  </w:num>
  <w:num w:numId="7">
    <w:abstractNumId w:val="11"/>
  </w:num>
  <w:num w:numId="8">
    <w:abstractNumId w:val="2"/>
  </w:num>
  <w:num w:numId="9">
    <w:abstractNumId w:val="12"/>
  </w:num>
  <w:num w:numId="10">
    <w:abstractNumId w:val="5"/>
  </w:num>
  <w:num w:numId="11">
    <w:abstractNumId w:val="4"/>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798"/>
    <w:rsid w:val="000001EF"/>
    <w:rsid w:val="00007322"/>
    <w:rsid w:val="00007728"/>
    <w:rsid w:val="00024584"/>
    <w:rsid w:val="00024730"/>
    <w:rsid w:val="00055E95"/>
    <w:rsid w:val="0007021F"/>
    <w:rsid w:val="000B2BA5"/>
    <w:rsid w:val="000F2F8C"/>
    <w:rsid w:val="0010006E"/>
    <w:rsid w:val="001045A8"/>
    <w:rsid w:val="00114A91"/>
    <w:rsid w:val="001427E1"/>
    <w:rsid w:val="00163668"/>
    <w:rsid w:val="00171566"/>
    <w:rsid w:val="00174676"/>
    <w:rsid w:val="001755A8"/>
    <w:rsid w:val="00184014"/>
    <w:rsid w:val="00192008"/>
    <w:rsid w:val="001C0E68"/>
    <w:rsid w:val="001C3A14"/>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3699"/>
    <w:rsid w:val="004B6AD0"/>
    <w:rsid w:val="004C2D5D"/>
    <w:rsid w:val="004C33E1"/>
    <w:rsid w:val="004E01EB"/>
    <w:rsid w:val="004E2794"/>
    <w:rsid w:val="00510392"/>
    <w:rsid w:val="00513E2A"/>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311E1"/>
    <w:rsid w:val="00647159"/>
    <w:rsid w:val="006618E9"/>
    <w:rsid w:val="0068194B"/>
    <w:rsid w:val="00692703"/>
    <w:rsid w:val="006A1962"/>
    <w:rsid w:val="006B5D48"/>
    <w:rsid w:val="006B7D7B"/>
    <w:rsid w:val="006C1A5E"/>
    <w:rsid w:val="006E1507"/>
    <w:rsid w:val="006E2909"/>
    <w:rsid w:val="00712D8B"/>
    <w:rsid w:val="007273B7"/>
    <w:rsid w:val="00733E0A"/>
    <w:rsid w:val="0074403D"/>
    <w:rsid w:val="00746D44"/>
    <w:rsid w:val="007538DC"/>
    <w:rsid w:val="00757803"/>
    <w:rsid w:val="0079206B"/>
    <w:rsid w:val="00796076"/>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219C"/>
    <w:rsid w:val="00AD360E"/>
    <w:rsid w:val="00AD40FB"/>
    <w:rsid w:val="00AD782D"/>
    <w:rsid w:val="00AE7650"/>
    <w:rsid w:val="00B05E32"/>
    <w:rsid w:val="00B10EBE"/>
    <w:rsid w:val="00B236F1"/>
    <w:rsid w:val="00B50F99"/>
    <w:rsid w:val="00B51D1B"/>
    <w:rsid w:val="00B540F4"/>
    <w:rsid w:val="00B60FD0"/>
    <w:rsid w:val="00B622DF"/>
    <w:rsid w:val="00B6332A"/>
    <w:rsid w:val="00B81760"/>
    <w:rsid w:val="00B8494C"/>
    <w:rsid w:val="00BA1546"/>
    <w:rsid w:val="00BB4E51"/>
    <w:rsid w:val="00BD431F"/>
    <w:rsid w:val="00BE423E"/>
    <w:rsid w:val="00BF61AC"/>
    <w:rsid w:val="00C47FA6"/>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66A52"/>
    <w:rsid w:val="00D66EFA"/>
    <w:rsid w:val="00D72A2D"/>
    <w:rsid w:val="00D76798"/>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466C0"/>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9D87F84D-F5F9-45AD-8406-9572AB7F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rtl/>
        <w:lang w:val="en-US" w:eastAsia="en-US" w:bidi="ar-SA"/>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tblInd w:w="0" w:type="dxa"/>
      <w:tblCellMar>
        <w:top w:w="0" w:type="dxa"/>
        <w:left w:w="108" w:type="dxa"/>
        <w:bottom w:w="0" w:type="dxa"/>
        <w:right w:w="108" w:type="dxa"/>
      </w:tblCellMa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Ind w:w="0" w:type="dxa"/>
      <w:tblCellMar>
        <w:top w:w="0" w:type="dxa"/>
        <w:left w:w="108" w:type="dxa"/>
        <w:bottom w:w="0" w:type="dxa"/>
        <w:right w:w="108" w:type="dxa"/>
      </w:tblCellMar>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Ind w:w="0" w:type="dxa"/>
      <w:tblCellMar>
        <w:top w:w="0" w:type="dxa"/>
        <w:left w:w="108" w:type="dxa"/>
        <w:bottom w:w="0" w:type="dxa"/>
        <w:right w:w="108" w:type="dxa"/>
      </w:tblCellMar>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Ind w:w="0" w:type="dxa"/>
      <w:tblCellMar>
        <w:top w:w="0" w:type="dxa"/>
        <w:left w:w="108" w:type="dxa"/>
        <w:bottom w:w="0" w:type="dxa"/>
        <w:right w:w="108" w:type="dxa"/>
      </w:tblCellMar>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Ind w:w="0" w:type="dxa"/>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Ind w:w="0" w:type="dxa"/>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Ind w:w="0" w:type="dxa"/>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Ind w:w="0" w:type="dxa"/>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Ind w:w="0" w:type="dxa"/>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Ind w:w="0" w:type="dxa"/>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Ind w:w="0" w:type="dxa"/>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Ind w:w="0" w:type="dxa"/>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CellMar>
        <w:top w:w="0" w:type="dxa"/>
        <w:left w:w="108" w:type="dxa"/>
        <w:bottom w:w="0" w:type="dxa"/>
        <w:right w:w="108" w:type="dxa"/>
      </w:tblCellMar>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Ind w:w="0" w:type="dxa"/>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CellMar>
        <w:top w:w="0" w:type="dxa"/>
        <w:left w:w="108" w:type="dxa"/>
        <w:bottom w:w="0" w:type="dxa"/>
        <w:right w:w="108" w:type="dxa"/>
      </w:tblCellMar>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Ind w:w="0" w:type="dxa"/>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CellMar>
        <w:top w:w="0" w:type="dxa"/>
        <w:left w:w="108" w:type="dxa"/>
        <w:bottom w:w="0" w:type="dxa"/>
        <w:right w:w="108" w:type="dxa"/>
      </w:tblCellMar>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Ind w:w="0" w:type="dxa"/>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CellMar>
        <w:top w:w="0" w:type="dxa"/>
        <w:left w:w="108" w:type="dxa"/>
        <w:bottom w:w="0" w:type="dxa"/>
        <w:right w:w="108" w:type="dxa"/>
      </w:tblCellMar>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Ind w:w="0" w:type="dxa"/>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CellMar>
        <w:top w:w="0" w:type="dxa"/>
        <w:left w:w="108" w:type="dxa"/>
        <w:bottom w:w="0" w:type="dxa"/>
        <w:right w:w="108" w:type="dxa"/>
      </w:tblCellMar>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Ind w:w="0" w:type="dxa"/>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CellMar>
        <w:top w:w="0" w:type="dxa"/>
        <w:left w:w="108" w:type="dxa"/>
        <w:bottom w:w="0" w:type="dxa"/>
        <w:right w:w="108" w:type="dxa"/>
      </w:tblCellMar>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Ind w:w="0" w:type="dxa"/>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CellMar>
        <w:top w:w="0" w:type="dxa"/>
        <w:left w:w="108" w:type="dxa"/>
        <w:bottom w:w="0" w:type="dxa"/>
        <w:right w:w="108" w:type="dxa"/>
      </w:tblCellMar>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Ind w:w="0" w:type="dxa"/>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CellMar>
        <w:top w:w="0" w:type="dxa"/>
        <w:left w:w="108" w:type="dxa"/>
        <w:bottom w:w="0" w:type="dxa"/>
        <w:right w:w="108" w:type="dxa"/>
      </w:tblCellMar>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Ind w:w="0" w:type="dxa"/>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CellMar>
        <w:top w:w="0" w:type="dxa"/>
        <w:left w:w="108" w:type="dxa"/>
        <w:bottom w:w="0" w:type="dxa"/>
        <w:right w:w="108" w:type="dxa"/>
      </w:tblCellMar>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Ind w:w="0" w:type="dxa"/>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CellMar>
        <w:top w:w="0" w:type="dxa"/>
        <w:left w:w="108" w:type="dxa"/>
        <w:bottom w:w="0" w:type="dxa"/>
        <w:right w:w="108" w:type="dxa"/>
      </w:tblCellMar>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Ind w:w="0" w:type="dxa"/>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CellMar>
        <w:top w:w="0" w:type="dxa"/>
        <w:left w:w="108" w:type="dxa"/>
        <w:bottom w:w="0" w:type="dxa"/>
        <w:right w:w="108" w:type="dxa"/>
      </w:tblCellMar>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Ind w:w="0" w:type="dxa"/>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CellMar>
        <w:top w:w="0" w:type="dxa"/>
        <w:left w:w="108" w:type="dxa"/>
        <w:bottom w:w="0" w:type="dxa"/>
        <w:right w:w="108" w:type="dxa"/>
      </w:tblCellMar>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Ind w:w="0" w:type="dxa"/>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Ind w:w="0" w:type="dxa"/>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Ind w:w="0" w:type="dxa"/>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Ind w:w="0" w:type="dxa"/>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Ind w:w="0" w:type="dxa"/>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Ind w:w="0" w:type="dxa"/>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Ind w:w="0" w:type="dxa"/>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Ind w:w="0" w:type="dxa"/>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Ind w:w="0" w:type="dxa"/>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Ind w:w="0" w:type="dxa"/>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Ind w:w="0" w:type="dxa"/>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CellMar>
        <w:top w:w="0" w:type="dxa"/>
        <w:left w:w="108" w:type="dxa"/>
        <w:bottom w:w="0" w:type="dxa"/>
        <w:right w:w="108" w:type="dxa"/>
      </w:tblCellMar>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Ind w:w="0" w:type="dxa"/>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CellMar>
        <w:top w:w="0" w:type="dxa"/>
        <w:left w:w="108" w:type="dxa"/>
        <w:bottom w:w="0" w:type="dxa"/>
        <w:right w:w="108" w:type="dxa"/>
      </w:tblCellMar>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Ind w:w="0" w:type="dxa"/>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CellMar>
        <w:top w:w="0" w:type="dxa"/>
        <w:left w:w="108" w:type="dxa"/>
        <w:bottom w:w="0" w:type="dxa"/>
        <w:right w:w="108" w:type="dxa"/>
      </w:tblCellMar>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Ind w:w="0" w:type="dxa"/>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CellMar>
        <w:top w:w="0" w:type="dxa"/>
        <w:left w:w="108" w:type="dxa"/>
        <w:bottom w:w="0" w:type="dxa"/>
        <w:right w:w="108" w:type="dxa"/>
      </w:tblCellMar>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Ind w:w="0" w:type="dxa"/>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CellMar>
        <w:top w:w="0" w:type="dxa"/>
        <w:left w:w="108" w:type="dxa"/>
        <w:bottom w:w="0" w:type="dxa"/>
        <w:right w:w="108" w:type="dxa"/>
      </w:tblCellMar>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Ind w:w="0" w:type="dxa"/>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Ind w:w="0" w:type="dxa"/>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Ind w:w="0" w:type="dxa"/>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Ind w:w="0" w:type="dxa"/>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Ind w:w="0" w:type="dxa"/>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bidi/>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bidi/>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bidi/>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Ind w:w="0" w:type="dxa"/>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CellMar>
        <w:top w:w="0" w:type="dxa"/>
        <w:left w:w="108" w:type="dxa"/>
        <w:bottom w:w="0" w:type="dxa"/>
        <w:right w:w="108" w:type="dxa"/>
      </w:tblCellMar>
    </w:tblPr>
    <w:tblStylePr w:type="firstRow">
      <w:pPr>
        <w:bidi/>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bidi/>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Ind w:w="0" w:type="dxa"/>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CellMar>
        <w:top w:w="0" w:type="dxa"/>
        <w:left w:w="108" w:type="dxa"/>
        <w:bottom w:w="0" w:type="dxa"/>
        <w:right w:w="108" w:type="dxa"/>
      </w:tblCellMar>
    </w:tblPr>
    <w:tblStylePr w:type="firstRow">
      <w:pPr>
        <w:bidi/>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bidi/>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Ind w:w="0" w:type="dxa"/>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CellMar>
        <w:top w:w="0" w:type="dxa"/>
        <w:left w:w="108" w:type="dxa"/>
        <w:bottom w:w="0" w:type="dxa"/>
        <w:right w:w="108" w:type="dxa"/>
      </w:tblCellMar>
    </w:tblPr>
    <w:tblStylePr w:type="firstRow">
      <w:pPr>
        <w:bidi/>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bidi/>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Ind w:w="0" w:type="dxa"/>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CellMar>
        <w:top w:w="0" w:type="dxa"/>
        <w:left w:w="108" w:type="dxa"/>
        <w:bottom w:w="0" w:type="dxa"/>
        <w:right w:w="108" w:type="dxa"/>
      </w:tblCellMar>
    </w:tblPr>
    <w:tblStylePr w:type="firstRow">
      <w:pPr>
        <w:bidi/>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bidi/>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CellMar>
        <w:top w:w="0" w:type="dxa"/>
        <w:left w:w="108" w:type="dxa"/>
        <w:bottom w:w="0" w:type="dxa"/>
        <w:right w:w="108" w:type="dxa"/>
      </w:tblCellMar>
    </w:tblPr>
    <w:tblStylePr w:type="firstRow">
      <w:pPr>
        <w:bidi/>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bidi/>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Ind w:w="0" w:type="dxa"/>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CellMar>
        <w:top w:w="0" w:type="dxa"/>
        <w:left w:w="108" w:type="dxa"/>
        <w:bottom w:w="0" w:type="dxa"/>
        <w:right w:w="108" w:type="dxa"/>
      </w:tblCellMar>
    </w:tblPr>
    <w:tblStylePr w:type="firstRow">
      <w:pPr>
        <w:bidi/>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bidi/>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shd w:val="clear" w:color="auto" w:fill="000000" w:themeFill="text1"/>
      </w:tcPr>
    </w:tblStylePr>
    <w:tblStylePr w:type="lastRow">
      <w:pPr>
        <w:bidi/>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Ind w:w="0" w:type="dxa"/>
      <w:tblBorders>
        <w:top w:val="single" w:sz="8" w:space="0" w:color="1D824C" w:themeColor="accent1"/>
        <w:left w:val="single" w:sz="8" w:space="0" w:color="1D824C" w:themeColor="accent1"/>
        <w:bottom w:val="single" w:sz="8" w:space="0" w:color="1D824C" w:themeColor="accent1"/>
        <w:right w:val="single" w:sz="8" w:space="0" w:color="1D824C" w:themeColor="accent1"/>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shd w:val="clear" w:color="auto" w:fill="1D824C" w:themeFill="accent1"/>
      </w:tcPr>
    </w:tblStylePr>
    <w:tblStylePr w:type="lastRow">
      <w:pPr>
        <w:bidi/>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Ind w:w="0" w:type="dxa"/>
      <w:tblBorders>
        <w:top w:val="single" w:sz="8" w:space="0" w:color="005556" w:themeColor="accent2"/>
        <w:left w:val="single" w:sz="8" w:space="0" w:color="005556" w:themeColor="accent2"/>
        <w:bottom w:val="single" w:sz="8" w:space="0" w:color="005556" w:themeColor="accent2"/>
        <w:right w:val="single" w:sz="8" w:space="0" w:color="005556" w:themeColor="accent2"/>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shd w:val="clear" w:color="auto" w:fill="005556" w:themeFill="accent2"/>
      </w:tcPr>
    </w:tblStylePr>
    <w:tblStylePr w:type="lastRow">
      <w:pPr>
        <w:bidi/>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Ind w:w="0" w:type="dxa"/>
      <w:tblBorders>
        <w:top w:val="single" w:sz="8" w:space="0" w:color="B11F35" w:themeColor="accent3"/>
        <w:left w:val="single" w:sz="8" w:space="0" w:color="B11F35" w:themeColor="accent3"/>
        <w:bottom w:val="single" w:sz="8" w:space="0" w:color="B11F35" w:themeColor="accent3"/>
        <w:right w:val="single" w:sz="8" w:space="0" w:color="B11F35" w:themeColor="accent3"/>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shd w:val="clear" w:color="auto" w:fill="B11F35" w:themeFill="accent3"/>
      </w:tcPr>
    </w:tblStylePr>
    <w:tblStylePr w:type="lastRow">
      <w:pPr>
        <w:bidi/>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Ind w:w="0" w:type="dxa"/>
      <w:tblBorders>
        <w:top w:val="single" w:sz="8" w:space="0" w:color="856628" w:themeColor="accent4"/>
        <w:left w:val="single" w:sz="8" w:space="0" w:color="856628" w:themeColor="accent4"/>
        <w:bottom w:val="single" w:sz="8" w:space="0" w:color="856628" w:themeColor="accent4"/>
        <w:right w:val="single" w:sz="8" w:space="0" w:color="856628" w:themeColor="accent4"/>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shd w:val="clear" w:color="auto" w:fill="856628" w:themeFill="accent4"/>
      </w:tcPr>
    </w:tblStylePr>
    <w:tblStylePr w:type="lastRow">
      <w:pPr>
        <w:bidi/>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shd w:val="clear" w:color="auto" w:fill="7E314C" w:themeFill="accent5"/>
      </w:tcPr>
    </w:tblStylePr>
    <w:tblStylePr w:type="lastRow">
      <w:pPr>
        <w:bidi/>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Ind w:w="0" w:type="dxa"/>
      <w:tblBorders>
        <w:top w:val="single" w:sz="8" w:space="0" w:color="4B6A88" w:themeColor="accent6"/>
        <w:left w:val="single" w:sz="8" w:space="0" w:color="4B6A88" w:themeColor="accent6"/>
        <w:bottom w:val="single" w:sz="8" w:space="0" w:color="4B6A88" w:themeColor="accent6"/>
        <w:right w:val="single" w:sz="8" w:space="0" w:color="4B6A88" w:themeColor="accent6"/>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shd w:val="clear" w:color="auto" w:fill="4B6A88" w:themeFill="accent6"/>
      </w:tcPr>
    </w:tblStylePr>
    <w:tblStylePr w:type="lastRow">
      <w:pPr>
        <w:bidi/>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bidi/>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bidi/>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Ind w:w="0" w:type="dxa"/>
      <w:tblBorders>
        <w:top w:val="single" w:sz="8" w:space="0" w:color="1D824C" w:themeColor="accent1"/>
        <w:bottom w:val="single" w:sz="8" w:space="0" w:color="1D824C" w:themeColor="accent1"/>
      </w:tblBorders>
      <w:tblCellMar>
        <w:top w:w="0" w:type="dxa"/>
        <w:left w:w="108" w:type="dxa"/>
        <w:bottom w:w="0" w:type="dxa"/>
        <w:right w:w="108" w:type="dxa"/>
      </w:tblCellMar>
    </w:tblPr>
    <w:tblStylePr w:type="firstRow">
      <w:pPr>
        <w:bidi/>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bidi/>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Ind w:w="0" w:type="dxa"/>
      <w:tblBorders>
        <w:top w:val="single" w:sz="8" w:space="0" w:color="005556" w:themeColor="accent2"/>
        <w:bottom w:val="single" w:sz="8" w:space="0" w:color="005556" w:themeColor="accent2"/>
      </w:tblBorders>
      <w:tblCellMar>
        <w:top w:w="0" w:type="dxa"/>
        <w:left w:w="108" w:type="dxa"/>
        <w:bottom w:w="0" w:type="dxa"/>
        <w:right w:w="108" w:type="dxa"/>
      </w:tblCellMar>
    </w:tblPr>
    <w:tblStylePr w:type="firstRow">
      <w:pPr>
        <w:bidi/>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bidi/>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Ind w:w="0" w:type="dxa"/>
      <w:tblBorders>
        <w:top w:val="single" w:sz="8" w:space="0" w:color="B11F35" w:themeColor="accent3"/>
        <w:bottom w:val="single" w:sz="8" w:space="0" w:color="B11F35" w:themeColor="accent3"/>
      </w:tblBorders>
      <w:tblCellMar>
        <w:top w:w="0" w:type="dxa"/>
        <w:left w:w="108" w:type="dxa"/>
        <w:bottom w:w="0" w:type="dxa"/>
        <w:right w:w="108" w:type="dxa"/>
      </w:tblCellMar>
    </w:tblPr>
    <w:tblStylePr w:type="firstRow">
      <w:pPr>
        <w:bidi/>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bidi/>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Ind w:w="0" w:type="dxa"/>
      <w:tblBorders>
        <w:top w:val="single" w:sz="8" w:space="0" w:color="856628" w:themeColor="accent4"/>
        <w:bottom w:val="single" w:sz="8" w:space="0" w:color="856628" w:themeColor="accent4"/>
      </w:tblBorders>
      <w:tblCellMar>
        <w:top w:w="0" w:type="dxa"/>
        <w:left w:w="108" w:type="dxa"/>
        <w:bottom w:w="0" w:type="dxa"/>
        <w:right w:w="108" w:type="dxa"/>
      </w:tblCellMar>
    </w:tblPr>
    <w:tblStylePr w:type="firstRow">
      <w:pPr>
        <w:bidi/>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bidi/>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Ind w:w="0" w:type="dxa"/>
      <w:tblBorders>
        <w:top w:val="single" w:sz="8" w:space="0" w:color="7E314C" w:themeColor="accent5"/>
        <w:bottom w:val="single" w:sz="8" w:space="0" w:color="7E314C" w:themeColor="accent5"/>
      </w:tblBorders>
      <w:tblCellMar>
        <w:top w:w="0" w:type="dxa"/>
        <w:left w:w="108" w:type="dxa"/>
        <w:bottom w:w="0" w:type="dxa"/>
        <w:right w:w="108" w:type="dxa"/>
      </w:tblCellMar>
    </w:tblPr>
    <w:tblStylePr w:type="firstRow">
      <w:pPr>
        <w:bidi/>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bidi/>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Ind w:w="0" w:type="dxa"/>
      <w:tblBorders>
        <w:top w:val="single" w:sz="8" w:space="0" w:color="4B6A88" w:themeColor="accent6"/>
        <w:bottom w:val="single" w:sz="8" w:space="0" w:color="4B6A88" w:themeColor="accent6"/>
      </w:tblBorders>
      <w:tblCellMar>
        <w:top w:w="0" w:type="dxa"/>
        <w:left w:w="108" w:type="dxa"/>
        <w:bottom w:w="0" w:type="dxa"/>
        <w:right w:w="108" w:type="dxa"/>
      </w:tblCellMar>
    </w:tblPr>
    <w:tblStylePr w:type="firstRow">
      <w:pPr>
        <w:bidi/>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bidi/>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Ind w:w="0" w:type="dxa"/>
      <w:tblBorders>
        <w:top w:val="single" w:sz="4" w:space="0" w:color="52D890" w:themeColor="accent1" w:themeTint="99"/>
        <w:bottom w:val="single" w:sz="4" w:space="0" w:color="52D890" w:themeColor="accent1" w:themeTint="99"/>
        <w:insideH w:val="single" w:sz="4" w:space="0" w:color="52D890"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Ind w:w="0" w:type="dxa"/>
      <w:tblBorders>
        <w:top w:val="single" w:sz="4" w:space="0" w:color="00FCFF" w:themeColor="accent2" w:themeTint="99"/>
        <w:bottom w:val="single" w:sz="4" w:space="0" w:color="00FCFF" w:themeColor="accent2" w:themeTint="99"/>
        <w:insideH w:val="single" w:sz="4" w:space="0" w:color="00FCFF"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Ind w:w="0" w:type="dxa"/>
      <w:tblBorders>
        <w:top w:val="single" w:sz="4" w:space="0" w:color="E46477" w:themeColor="accent3" w:themeTint="99"/>
        <w:bottom w:val="single" w:sz="4" w:space="0" w:color="E46477" w:themeColor="accent3" w:themeTint="99"/>
        <w:insideH w:val="single" w:sz="4" w:space="0" w:color="E46477"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Ind w:w="0" w:type="dxa"/>
      <w:tblBorders>
        <w:top w:val="single" w:sz="4" w:space="0" w:color="D0AC63" w:themeColor="accent4" w:themeTint="99"/>
        <w:bottom w:val="single" w:sz="4" w:space="0" w:color="D0AC63" w:themeColor="accent4" w:themeTint="99"/>
        <w:insideH w:val="single" w:sz="4" w:space="0" w:color="D0AC63"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Ind w:w="0" w:type="dxa"/>
      <w:tblBorders>
        <w:top w:val="single" w:sz="4" w:space="0" w:color="C66E8D" w:themeColor="accent5" w:themeTint="99"/>
        <w:bottom w:val="single" w:sz="4" w:space="0" w:color="C66E8D" w:themeColor="accent5" w:themeTint="99"/>
        <w:insideH w:val="single" w:sz="4" w:space="0" w:color="C66E8D"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Ind w:w="0" w:type="dxa"/>
      <w:tblBorders>
        <w:top w:val="single" w:sz="4" w:space="0" w:color="8BA5BF" w:themeColor="accent6" w:themeTint="99"/>
        <w:bottom w:val="single" w:sz="4" w:space="0" w:color="8BA5BF" w:themeColor="accent6" w:themeTint="99"/>
        <w:insideH w:val="single" w:sz="4" w:space="0" w:color="8BA5BF"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Ind w:w="0" w:type="dxa"/>
      <w:tblBorders>
        <w:top w:val="single" w:sz="4" w:space="0" w:color="1D824C" w:themeColor="accent1"/>
        <w:left w:val="single" w:sz="4" w:space="0" w:color="1D824C" w:themeColor="accent1"/>
        <w:bottom w:val="single" w:sz="4" w:space="0" w:color="1D824C" w:themeColor="accent1"/>
        <w:right w:val="single" w:sz="4" w:space="0" w:color="1D824C" w:themeColor="accent1"/>
      </w:tblBorders>
      <w:tblCellMar>
        <w:top w:w="0" w:type="dxa"/>
        <w:left w:w="108" w:type="dxa"/>
        <w:bottom w:w="0" w:type="dxa"/>
        <w:right w:w="108" w:type="dxa"/>
      </w:tblCellMar>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Ind w:w="0" w:type="dxa"/>
      <w:tblBorders>
        <w:top w:val="single" w:sz="4" w:space="0" w:color="005556" w:themeColor="accent2"/>
        <w:left w:val="single" w:sz="4" w:space="0" w:color="005556" w:themeColor="accent2"/>
        <w:bottom w:val="single" w:sz="4" w:space="0" w:color="005556" w:themeColor="accent2"/>
        <w:right w:val="single" w:sz="4" w:space="0" w:color="005556" w:themeColor="accent2"/>
      </w:tblBorders>
      <w:tblCellMar>
        <w:top w:w="0" w:type="dxa"/>
        <w:left w:w="108" w:type="dxa"/>
        <w:bottom w:w="0" w:type="dxa"/>
        <w:right w:w="108" w:type="dxa"/>
      </w:tblCellMar>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Ind w:w="0" w:type="dxa"/>
      <w:tblBorders>
        <w:top w:val="single" w:sz="4" w:space="0" w:color="B11F35" w:themeColor="accent3"/>
        <w:left w:val="single" w:sz="4" w:space="0" w:color="B11F35" w:themeColor="accent3"/>
        <w:bottom w:val="single" w:sz="4" w:space="0" w:color="B11F35" w:themeColor="accent3"/>
        <w:right w:val="single" w:sz="4" w:space="0" w:color="B11F35" w:themeColor="accent3"/>
      </w:tblBorders>
      <w:tblCellMar>
        <w:top w:w="0" w:type="dxa"/>
        <w:left w:w="108" w:type="dxa"/>
        <w:bottom w:w="0" w:type="dxa"/>
        <w:right w:w="108" w:type="dxa"/>
      </w:tblCellMar>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Ind w:w="0" w:type="dxa"/>
      <w:tblBorders>
        <w:top w:val="single" w:sz="4" w:space="0" w:color="856628" w:themeColor="accent4"/>
        <w:left w:val="single" w:sz="4" w:space="0" w:color="856628" w:themeColor="accent4"/>
        <w:bottom w:val="single" w:sz="4" w:space="0" w:color="856628" w:themeColor="accent4"/>
        <w:right w:val="single" w:sz="4" w:space="0" w:color="856628" w:themeColor="accent4"/>
      </w:tblBorders>
      <w:tblCellMar>
        <w:top w:w="0" w:type="dxa"/>
        <w:left w:w="108" w:type="dxa"/>
        <w:bottom w:w="0" w:type="dxa"/>
        <w:right w:w="108" w:type="dxa"/>
      </w:tblCellMar>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Ind w:w="0" w:type="dxa"/>
      <w:tblBorders>
        <w:top w:val="single" w:sz="4" w:space="0" w:color="7E314C" w:themeColor="accent5"/>
        <w:left w:val="single" w:sz="4" w:space="0" w:color="7E314C" w:themeColor="accent5"/>
        <w:bottom w:val="single" w:sz="4" w:space="0" w:color="7E314C" w:themeColor="accent5"/>
        <w:right w:val="single" w:sz="4" w:space="0" w:color="7E314C" w:themeColor="accent5"/>
      </w:tblBorders>
      <w:tblCellMar>
        <w:top w:w="0" w:type="dxa"/>
        <w:left w:w="108" w:type="dxa"/>
        <w:bottom w:w="0" w:type="dxa"/>
        <w:right w:w="108" w:type="dxa"/>
      </w:tblCellMar>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Ind w:w="0" w:type="dxa"/>
      <w:tblBorders>
        <w:top w:val="single" w:sz="4" w:space="0" w:color="4B6A88" w:themeColor="accent6"/>
        <w:left w:val="single" w:sz="4" w:space="0" w:color="4B6A88" w:themeColor="accent6"/>
        <w:bottom w:val="single" w:sz="4" w:space="0" w:color="4B6A88" w:themeColor="accent6"/>
        <w:right w:val="single" w:sz="4" w:space="0" w:color="4B6A88" w:themeColor="accent6"/>
      </w:tblBorders>
      <w:tblCellMar>
        <w:top w:w="0" w:type="dxa"/>
        <w:left w:w="108" w:type="dxa"/>
        <w:bottom w:w="0" w:type="dxa"/>
        <w:right w:w="108" w:type="dxa"/>
      </w:tblCellMar>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Ind w:w="0" w:type="dxa"/>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Ind w:w="0" w:type="dxa"/>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Ind w:w="0" w:type="dxa"/>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Ind w:w="0" w:type="dxa"/>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Ind w:w="0" w:type="dxa"/>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Ind w:w="0" w:type="dxa"/>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CellMar>
        <w:top w:w="0" w:type="dxa"/>
        <w:left w:w="108" w:type="dxa"/>
        <w:bottom w:w="0" w:type="dxa"/>
        <w:right w:w="108" w:type="dxa"/>
      </w:tblCellMar>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Ind w:w="0" w:type="dxa"/>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CellMar>
        <w:top w:w="0" w:type="dxa"/>
        <w:left w:w="108" w:type="dxa"/>
        <w:bottom w:w="0" w:type="dxa"/>
        <w:right w:w="108" w:type="dxa"/>
      </w:tblCellMar>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Ind w:w="0" w:type="dxa"/>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CellMar>
        <w:top w:w="0" w:type="dxa"/>
        <w:left w:w="108" w:type="dxa"/>
        <w:bottom w:w="0" w:type="dxa"/>
        <w:right w:w="108" w:type="dxa"/>
      </w:tblCellMar>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Ind w:w="0" w:type="dxa"/>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CellMar>
        <w:top w:w="0" w:type="dxa"/>
        <w:left w:w="108" w:type="dxa"/>
        <w:bottom w:w="0" w:type="dxa"/>
        <w:right w:w="108" w:type="dxa"/>
      </w:tblCellMar>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Ind w:w="0" w:type="dxa"/>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CellMar>
        <w:top w:w="0" w:type="dxa"/>
        <w:left w:w="108" w:type="dxa"/>
        <w:bottom w:w="0" w:type="dxa"/>
        <w:right w:w="108" w:type="dxa"/>
      </w:tblCellMar>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Ind w:w="0" w:type="dxa"/>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CellMar>
        <w:top w:w="0" w:type="dxa"/>
        <w:left w:w="108" w:type="dxa"/>
        <w:bottom w:w="0" w:type="dxa"/>
        <w:right w:w="108" w:type="dxa"/>
      </w:tblCellMar>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Ind w:w="0" w:type="dxa"/>
      <w:tblBorders>
        <w:top w:val="single" w:sz="4" w:space="0" w:color="1D824C" w:themeColor="accent1"/>
        <w:bottom w:val="single" w:sz="4" w:space="0" w:color="1D824C" w:themeColor="accent1"/>
      </w:tblBorders>
      <w:tblCellMar>
        <w:top w:w="0" w:type="dxa"/>
        <w:left w:w="108" w:type="dxa"/>
        <w:bottom w:w="0" w:type="dxa"/>
        <w:right w:w="108" w:type="dxa"/>
      </w:tblCellMar>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Ind w:w="0" w:type="dxa"/>
      <w:tblBorders>
        <w:top w:val="single" w:sz="4" w:space="0" w:color="005556" w:themeColor="accent2"/>
        <w:bottom w:val="single" w:sz="4" w:space="0" w:color="005556" w:themeColor="accent2"/>
      </w:tblBorders>
      <w:tblCellMar>
        <w:top w:w="0" w:type="dxa"/>
        <w:left w:w="108" w:type="dxa"/>
        <w:bottom w:w="0" w:type="dxa"/>
        <w:right w:w="108" w:type="dxa"/>
      </w:tblCellMar>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Ind w:w="0" w:type="dxa"/>
      <w:tblBorders>
        <w:top w:val="single" w:sz="4" w:space="0" w:color="B11F35" w:themeColor="accent3"/>
        <w:bottom w:val="single" w:sz="4" w:space="0" w:color="B11F35" w:themeColor="accent3"/>
      </w:tblBorders>
      <w:tblCellMar>
        <w:top w:w="0" w:type="dxa"/>
        <w:left w:w="108" w:type="dxa"/>
        <w:bottom w:w="0" w:type="dxa"/>
        <w:right w:w="108" w:type="dxa"/>
      </w:tblCellMar>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Ind w:w="0" w:type="dxa"/>
      <w:tblBorders>
        <w:top w:val="single" w:sz="4" w:space="0" w:color="856628" w:themeColor="accent4"/>
        <w:bottom w:val="single" w:sz="4" w:space="0" w:color="856628" w:themeColor="accent4"/>
      </w:tblBorders>
      <w:tblCellMar>
        <w:top w:w="0" w:type="dxa"/>
        <w:left w:w="108" w:type="dxa"/>
        <w:bottom w:w="0" w:type="dxa"/>
        <w:right w:w="108" w:type="dxa"/>
      </w:tblCellMar>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Ind w:w="0" w:type="dxa"/>
      <w:tblBorders>
        <w:top w:val="single" w:sz="4" w:space="0" w:color="7E314C" w:themeColor="accent5"/>
        <w:bottom w:val="single" w:sz="4" w:space="0" w:color="7E314C" w:themeColor="accent5"/>
      </w:tblBorders>
      <w:tblCellMar>
        <w:top w:w="0" w:type="dxa"/>
        <w:left w:w="108" w:type="dxa"/>
        <w:bottom w:w="0" w:type="dxa"/>
        <w:right w:w="108" w:type="dxa"/>
      </w:tblCellMar>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Ind w:w="0" w:type="dxa"/>
      <w:tblBorders>
        <w:top w:val="single" w:sz="4" w:space="0" w:color="4B6A88" w:themeColor="accent6"/>
        <w:bottom w:val="single" w:sz="4" w:space="0" w:color="4B6A88" w:themeColor="accent6"/>
      </w:tblBorders>
      <w:tblCellMar>
        <w:top w:w="0" w:type="dxa"/>
        <w:left w:w="108" w:type="dxa"/>
        <w:bottom w:w="0" w:type="dxa"/>
        <w:right w:w="108" w:type="dxa"/>
      </w:tblCellMar>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Ind w:w="0" w:type="dxa"/>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CellMar>
        <w:top w:w="0" w:type="dxa"/>
        <w:left w:w="108" w:type="dxa"/>
        <w:bottom w:w="0" w:type="dxa"/>
        <w:right w:w="108" w:type="dxa"/>
      </w:tblCellMar>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Ind w:w="0" w:type="dxa"/>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CellMar>
        <w:top w:w="0" w:type="dxa"/>
        <w:left w:w="108" w:type="dxa"/>
        <w:bottom w:w="0" w:type="dxa"/>
        <w:right w:w="108" w:type="dxa"/>
      </w:tblCellMar>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Ind w:w="0" w:type="dxa"/>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CellMar>
        <w:top w:w="0" w:type="dxa"/>
        <w:left w:w="108" w:type="dxa"/>
        <w:bottom w:w="0" w:type="dxa"/>
        <w:right w:w="108" w:type="dxa"/>
      </w:tblCellMar>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Ind w:w="0" w:type="dxa"/>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CellMar>
        <w:top w:w="0" w:type="dxa"/>
        <w:left w:w="108" w:type="dxa"/>
        <w:bottom w:w="0" w:type="dxa"/>
        <w:right w:w="108" w:type="dxa"/>
      </w:tblCellMar>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Ind w:w="0" w:type="dxa"/>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CellMar>
        <w:top w:w="0" w:type="dxa"/>
        <w:left w:w="108" w:type="dxa"/>
        <w:bottom w:w="0" w:type="dxa"/>
        <w:right w:w="108" w:type="dxa"/>
      </w:tblCellMar>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Ind w:w="0" w:type="dxa"/>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CellMar>
        <w:top w:w="0" w:type="dxa"/>
        <w:left w:w="108" w:type="dxa"/>
        <w:bottom w:w="0" w:type="dxa"/>
        <w:right w:w="108" w:type="dxa"/>
      </w:tblCellMar>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CellMar>
        <w:top w:w="0" w:type="dxa"/>
        <w:left w:w="108" w:type="dxa"/>
        <w:bottom w:w="0" w:type="dxa"/>
        <w:right w:w="108" w:type="dxa"/>
      </w:tblCellMar>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CellMar>
        <w:top w:w="0" w:type="dxa"/>
        <w:left w:w="108" w:type="dxa"/>
        <w:bottom w:w="0" w:type="dxa"/>
        <w:right w:w="108" w:type="dxa"/>
      </w:tblCellMar>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CellMar>
        <w:top w:w="0" w:type="dxa"/>
        <w:left w:w="108" w:type="dxa"/>
        <w:bottom w:w="0" w:type="dxa"/>
        <w:right w:w="108" w:type="dxa"/>
      </w:tblCellMar>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CellMar>
        <w:top w:w="0" w:type="dxa"/>
        <w:left w:w="108" w:type="dxa"/>
        <w:bottom w:w="0" w:type="dxa"/>
        <w:right w:w="108" w:type="dxa"/>
      </w:tblCellMar>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CellMar>
        <w:top w:w="0" w:type="dxa"/>
        <w:left w:w="108" w:type="dxa"/>
        <w:bottom w:w="0" w:type="dxa"/>
        <w:right w:w="108" w:type="dxa"/>
      </w:tblCellMar>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CellMar>
        <w:top w:w="0" w:type="dxa"/>
        <w:left w:w="108" w:type="dxa"/>
        <w:bottom w:w="0" w:type="dxa"/>
        <w:right w:w="108" w:type="dxa"/>
      </w:tblCellMar>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Ind w:w="0" w:type="dxa"/>
      <w:tblBorders>
        <w:top w:val="single" w:sz="8" w:space="0" w:color="1D824C" w:themeColor="accent1"/>
        <w:bottom w:val="single" w:sz="8" w:space="0" w:color="1D824C"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Ind w:w="0" w:type="dxa"/>
      <w:tblBorders>
        <w:top w:val="single" w:sz="8" w:space="0" w:color="005556" w:themeColor="accent2"/>
        <w:bottom w:val="single" w:sz="8" w:space="0" w:color="005556"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Ind w:w="0" w:type="dxa"/>
      <w:tblBorders>
        <w:top w:val="single" w:sz="8" w:space="0" w:color="B11F35" w:themeColor="accent3"/>
        <w:bottom w:val="single" w:sz="8" w:space="0" w:color="B11F3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Ind w:w="0" w:type="dxa"/>
      <w:tblBorders>
        <w:top w:val="single" w:sz="8" w:space="0" w:color="856628" w:themeColor="accent4"/>
        <w:bottom w:val="single" w:sz="8" w:space="0" w:color="856628"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Ind w:w="0" w:type="dxa"/>
      <w:tblBorders>
        <w:top w:val="single" w:sz="8" w:space="0" w:color="7E314C" w:themeColor="accent5"/>
        <w:bottom w:val="single" w:sz="8" w:space="0" w:color="7E314C"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Ind w:w="0" w:type="dxa"/>
      <w:tblBorders>
        <w:top w:val="single" w:sz="8" w:space="0" w:color="4B6A88" w:themeColor="accent6"/>
        <w:bottom w:val="single" w:sz="8" w:space="0" w:color="4B6A88"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1D824C" w:themeColor="accent1"/>
        <w:left w:val="single" w:sz="8" w:space="0" w:color="1D824C" w:themeColor="accent1"/>
        <w:bottom w:val="single" w:sz="8" w:space="0" w:color="1D824C" w:themeColor="accent1"/>
        <w:right w:val="single" w:sz="8" w:space="0" w:color="1D824C"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005556" w:themeColor="accent2"/>
        <w:left w:val="single" w:sz="8" w:space="0" w:color="005556" w:themeColor="accent2"/>
        <w:bottom w:val="single" w:sz="8" w:space="0" w:color="005556" w:themeColor="accent2"/>
        <w:right w:val="single" w:sz="8" w:space="0" w:color="005556"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B11F35" w:themeColor="accent3"/>
        <w:left w:val="single" w:sz="8" w:space="0" w:color="B11F35" w:themeColor="accent3"/>
        <w:bottom w:val="single" w:sz="8" w:space="0" w:color="B11F35" w:themeColor="accent3"/>
        <w:right w:val="single" w:sz="8" w:space="0" w:color="B11F3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856628" w:themeColor="accent4"/>
        <w:left w:val="single" w:sz="8" w:space="0" w:color="856628" w:themeColor="accent4"/>
        <w:bottom w:val="single" w:sz="8" w:space="0" w:color="856628" w:themeColor="accent4"/>
        <w:right w:val="single" w:sz="8" w:space="0" w:color="856628"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Ind w:w="0" w:type="dxa"/>
      <w:tblBorders>
        <w:top w:val="single" w:sz="8" w:space="0" w:color="4B6A88" w:themeColor="accent6"/>
        <w:left w:val="single" w:sz="8" w:space="0" w:color="4B6A88" w:themeColor="accent6"/>
        <w:bottom w:val="single" w:sz="8" w:space="0" w:color="4B6A88" w:themeColor="accent6"/>
        <w:right w:val="single" w:sz="8" w:space="0" w:color="4B6A88"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bidi/>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Ind w:w="0" w:type="dxa"/>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bidi/>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Ind w:w="0" w:type="dxa"/>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bidi/>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Ind w:w="0" w:type="dxa"/>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bidi/>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Ind w:w="0" w:type="dxa"/>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bidi/>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Ind w:w="0" w:type="dxa"/>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bidi/>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Ind w:w="0" w:type="dxa"/>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bidi/>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bidi/>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bidi/>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bidi/>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bidi/>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bidi/>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bidi/>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bidi/>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bidi/>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bidi/>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2647D3"/>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2647D3"/>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135886">
      <w:bodyDiv w:val="1"/>
      <w:marLeft w:val="0"/>
      <w:marRight w:val="0"/>
      <w:marTop w:val="0"/>
      <w:marBottom w:val="0"/>
      <w:divBdr>
        <w:top w:val="none" w:sz="0" w:space="0" w:color="auto"/>
        <w:left w:val="none" w:sz="0" w:space="0" w:color="auto"/>
        <w:bottom w:val="none" w:sz="0" w:space="0" w:color="auto"/>
        <w:right w:val="none" w:sz="0" w:space="0" w:color="auto"/>
      </w:divBdr>
    </w:div>
    <w:div w:id="205569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odoo.com/apps/modules/19.0/smart_task_planner" TargetMode="External"/><Relationship Id="rId3" Type="http://schemas.openxmlformats.org/officeDocument/2006/relationships/settings" Target="settings.xml"/><Relationship Id="rId7" Type="http://schemas.openxmlformats.org/officeDocument/2006/relationships/hyperlink" Target="https://harmonia-safety.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me/myproxystore_bo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j\AppData\Roaming\Microsoft\Templates\Modern%20chronological%20resume(2).dotx"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resume(2).dotx</Template>
  <TotalTime>16</TotalTime>
  <Pages>2</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dc:creator>
  <cp:keywords/>
  <dc:description/>
  <cp:lastModifiedBy>jj</cp:lastModifiedBy>
  <cp:revision>5</cp:revision>
  <dcterms:created xsi:type="dcterms:W3CDTF">2026-05-14T00:25:00Z</dcterms:created>
  <dcterms:modified xsi:type="dcterms:W3CDTF">2026-08-22T21:36:00Z</dcterms:modified>
  <cp:category/>
</cp:coreProperties>
</file>