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Document.xml" ContentType="application/vnd.openxmlformats-officedocument.wordprocessingml.people+xml"/>
  <Override PartName="/word/commentsDocument.xml" ContentType="application/vnd.openxmlformats-officedocument.wordprocessingml.comments+xml"/>
  <Override PartName="/word/commentsExtendedDocument.xml" ContentType="application/vnd.openxmlformats-officedocument.wordprocessingml.commentsExtended+xml"/>
  <Override PartName="/word/commentsExtensibleDocument.xml" ContentType="application/vnd.openxmlformats-officedocument.wordprocessingml.commentsExtensible+xml"/>
  <Override PartName="/word/commentsIdsDocument.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2C08"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Title: Proximity to Pesticide-Intensive Floriculture Spray Sites and Neurobehavioral Performance: A Longitudinal Analysis from Childhood to Adolescence in Ecuador </w:t>
      </w:r>
    </w:p>
    <w:p w14:paraId="64A9F79F"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678D869C"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3B71E9C9" w14:textId="77777777" w:rsidR="0054280C" w:rsidRDefault="00B71134">
      <w:pPr>
        <w:jc w:val="both"/>
        <w:rPr>
          <w:color w:val="000000"/>
          <w:sz w:val="22"/>
          <w:szCs w:val="22"/>
          <w:vertAlign w:val="superscript"/>
        </w:rPr>
      </w:pPr>
      <w:r>
        <w:rPr>
          <w:b/>
          <w:color w:val="000000"/>
          <w:sz w:val="22"/>
          <w:szCs w:val="22"/>
        </w:rPr>
        <w:t xml:space="preserve">Authors: Kayser, </w:t>
      </w:r>
      <w:proofErr w:type="spellStart"/>
      <w:r>
        <w:rPr>
          <w:b/>
          <w:color w:val="000000"/>
          <w:sz w:val="22"/>
          <w:szCs w:val="22"/>
        </w:rPr>
        <w:t>G.L.</w:t>
      </w:r>
      <w:r>
        <w:rPr>
          <w:b/>
          <w:color w:val="000000"/>
          <w:sz w:val="22"/>
          <w:szCs w:val="22"/>
          <w:vertAlign w:val="superscript"/>
        </w:rPr>
        <w:t>a</w:t>
      </w:r>
      <w:proofErr w:type="spellEnd"/>
      <w:r>
        <w:rPr>
          <w:b/>
          <w:color w:val="000000"/>
          <w:sz w:val="22"/>
          <w:szCs w:val="22"/>
        </w:rPr>
        <w:t xml:space="preserve">, Zhang, </w:t>
      </w:r>
      <w:proofErr w:type="spellStart"/>
      <w:r>
        <w:rPr>
          <w:b/>
          <w:color w:val="000000"/>
          <w:sz w:val="22"/>
          <w:szCs w:val="22"/>
        </w:rPr>
        <w:t>J.</w:t>
      </w:r>
      <w:r>
        <w:rPr>
          <w:b/>
          <w:color w:val="000000"/>
          <w:sz w:val="22"/>
          <w:szCs w:val="22"/>
          <w:vertAlign w:val="superscript"/>
        </w:rPr>
        <w:t>a</w:t>
      </w:r>
      <w:proofErr w:type="spellEnd"/>
      <w:r>
        <w:rPr>
          <w:b/>
          <w:color w:val="000000"/>
          <w:sz w:val="22"/>
          <w:szCs w:val="22"/>
        </w:rPr>
        <w:t xml:space="preserve">, Calderón-Villarreal </w:t>
      </w:r>
      <w:proofErr w:type="spellStart"/>
      <w:r>
        <w:rPr>
          <w:b/>
          <w:color w:val="000000"/>
          <w:sz w:val="22"/>
          <w:szCs w:val="22"/>
        </w:rPr>
        <w:t>A.</w:t>
      </w:r>
      <w:r>
        <w:rPr>
          <w:b/>
          <w:color w:val="000000"/>
          <w:sz w:val="22"/>
          <w:szCs w:val="22"/>
          <w:vertAlign w:val="superscript"/>
        </w:rPr>
        <w:t>a</w:t>
      </w:r>
      <w:proofErr w:type="spellEnd"/>
      <w:r>
        <w:rPr>
          <w:b/>
          <w:color w:val="000000"/>
          <w:sz w:val="22"/>
          <w:szCs w:val="22"/>
        </w:rPr>
        <w:t xml:space="preserve">, Wei, </w:t>
      </w:r>
      <w:proofErr w:type="spellStart"/>
      <w:r>
        <w:rPr>
          <w:b/>
          <w:color w:val="000000"/>
          <w:sz w:val="22"/>
          <w:szCs w:val="22"/>
        </w:rPr>
        <w:t>J.</w:t>
      </w:r>
      <w:r>
        <w:rPr>
          <w:b/>
          <w:color w:val="000000"/>
          <w:sz w:val="22"/>
          <w:szCs w:val="22"/>
          <w:vertAlign w:val="superscript"/>
        </w:rPr>
        <w:t>a</w:t>
      </w:r>
      <w:proofErr w:type="spellEnd"/>
      <w:r>
        <w:rPr>
          <w:b/>
          <w:color w:val="000000"/>
          <w:sz w:val="22"/>
          <w:szCs w:val="22"/>
        </w:rPr>
        <w:t xml:space="preserve">, Chronister, </w:t>
      </w:r>
      <w:proofErr w:type="spellStart"/>
      <w:r>
        <w:rPr>
          <w:b/>
          <w:color w:val="000000"/>
          <w:sz w:val="22"/>
          <w:szCs w:val="22"/>
        </w:rPr>
        <w:t>B.N.C.</w:t>
      </w:r>
      <w:r>
        <w:rPr>
          <w:b/>
          <w:color w:val="000000"/>
          <w:sz w:val="22"/>
          <w:szCs w:val="22"/>
          <w:vertAlign w:val="superscript"/>
        </w:rPr>
        <w:t>a</w:t>
      </w:r>
      <w:proofErr w:type="spellEnd"/>
      <w:r>
        <w:rPr>
          <w:b/>
          <w:color w:val="000000"/>
          <w:sz w:val="22"/>
          <w:szCs w:val="22"/>
        </w:rPr>
        <w:t xml:space="preserve">, </w:t>
      </w:r>
      <w:proofErr w:type="spellStart"/>
      <w:r>
        <w:rPr>
          <w:b/>
          <w:color w:val="000000"/>
          <w:sz w:val="22"/>
          <w:szCs w:val="22"/>
        </w:rPr>
        <w:t>Checkoway</w:t>
      </w:r>
      <w:proofErr w:type="spellEnd"/>
      <w:r>
        <w:rPr>
          <w:b/>
          <w:color w:val="000000"/>
          <w:sz w:val="22"/>
          <w:szCs w:val="22"/>
        </w:rPr>
        <w:t xml:space="preserve">, </w:t>
      </w:r>
      <w:proofErr w:type="spellStart"/>
      <w:r>
        <w:rPr>
          <w:b/>
          <w:color w:val="000000"/>
          <w:sz w:val="22"/>
          <w:szCs w:val="22"/>
        </w:rPr>
        <w:t>H.</w:t>
      </w:r>
      <w:r>
        <w:rPr>
          <w:b/>
          <w:color w:val="000000"/>
          <w:sz w:val="22"/>
          <w:szCs w:val="22"/>
          <w:vertAlign w:val="superscript"/>
        </w:rPr>
        <w:t>a</w:t>
      </w:r>
      <w:proofErr w:type="spellEnd"/>
      <w:r>
        <w:rPr>
          <w:b/>
          <w:color w:val="000000"/>
          <w:sz w:val="22"/>
          <w:szCs w:val="22"/>
        </w:rPr>
        <w:t>, Suarez-Torres, J.</w:t>
      </w:r>
      <w:r>
        <w:rPr>
          <w:b/>
          <w:color w:val="000000"/>
          <w:sz w:val="22"/>
          <w:szCs w:val="22"/>
          <w:vertAlign w:val="superscript"/>
        </w:rPr>
        <w:t xml:space="preserve"> b</w:t>
      </w:r>
      <w:r>
        <w:rPr>
          <w:b/>
          <w:color w:val="000000"/>
          <w:sz w:val="22"/>
          <w:szCs w:val="22"/>
        </w:rPr>
        <w:t>, De La Cruz, F.</w:t>
      </w:r>
      <w:r>
        <w:rPr>
          <w:b/>
          <w:color w:val="000000"/>
          <w:sz w:val="22"/>
          <w:szCs w:val="22"/>
          <w:vertAlign w:val="superscript"/>
        </w:rPr>
        <w:t xml:space="preserve"> b</w:t>
      </w:r>
      <w:r>
        <w:rPr>
          <w:b/>
          <w:color w:val="000000"/>
          <w:sz w:val="22"/>
          <w:szCs w:val="22"/>
        </w:rPr>
        <w:t>, Suarez-Lopez, J.R.</w:t>
      </w:r>
      <w:r>
        <w:rPr>
          <w:b/>
          <w:color w:val="000000"/>
          <w:sz w:val="22"/>
          <w:szCs w:val="22"/>
          <w:vertAlign w:val="superscript"/>
        </w:rPr>
        <w:t xml:space="preserve"> a  </w:t>
      </w:r>
    </w:p>
    <w:p w14:paraId="1C229911"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7656DADE" w14:textId="77777777" w:rsidR="0054280C" w:rsidRDefault="00B71134">
      <w:pPr>
        <w:jc w:val="both"/>
        <w:rPr>
          <w:b/>
          <w:color w:val="000000"/>
          <w:sz w:val="22"/>
          <w:szCs w:val="22"/>
        </w:rPr>
      </w:pPr>
      <w:r>
        <w:rPr>
          <w:b/>
          <w:color w:val="000000"/>
          <w:sz w:val="22"/>
          <w:szCs w:val="22"/>
        </w:rPr>
        <w:t xml:space="preserve">Author Affiliations: </w:t>
      </w:r>
    </w:p>
    <w:p w14:paraId="7D17719A"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b/>
          <w:color w:val="000000"/>
          <w:sz w:val="22"/>
          <w:szCs w:val="22"/>
          <w:vertAlign w:val="superscript"/>
        </w:rPr>
        <w:t>a</w:t>
      </w:r>
      <w:r>
        <w:rPr>
          <w:color w:val="000000"/>
          <w:sz w:val="22"/>
          <w:szCs w:val="22"/>
          <w:vertAlign w:val="superscript"/>
        </w:rPr>
        <w:t xml:space="preserve"> </w:t>
      </w:r>
      <w:r>
        <w:rPr>
          <w:color w:val="000000"/>
          <w:sz w:val="22"/>
          <w:szCs w:val="22"/>
        </w:rPr>
        <w:t xml:space="preserve">Herbert Wertheim School of Public Health and Human Longevity, University of California, San Diego, United States </w:t>
      </w:r>
    </w:p>
    <w:p w14:paraId="076E2400"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lang w:val="es-MX"/>
        </w:rPr>
      </w:pPr>
      <w:r>
        <w:rPr>
          <w:color w:val="000000"/>
          <w:sz w:val="22"/>
          <w:szCs w:val="22"/>
          <w:vertAlign w:val="superscript"/>
          <w:lang w:val="es-MX"/>
        </w:rPr>
        <w:t>b</w:t>
      </w:r>
      <w:r>
        <w:rPr>
          <w:color w:val="000000"/>
          <w:sz w:val="22"/>
          <w:szCs w:val="22"/>
          <w:lang w:val="es-MX"/>
        </w:rPr>
        <w:t xml:space="preserve"> Fundación Cimas del Ecuador, Quito, Ecuador </w:t>
      </w:r>
    </w:p>
    <w:p w14:paraId="2767BBA4"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rPr>
          <w:b/>
          <w:color w:val="000000"/>
          <w:sz w:val="22"/>
          <w:szCs w:val="22"/>
          <w:lang w:val="es-MX"/>
        </w:rPr>
      </w:pPr>
    </w:p>
    <w:p w14:paraId="5196396D"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Prepared for</w:t>
      </w:r>
      <w:proofErr w:type="gramStart"/>
      <w:r>
        <w:rPr>
          <w:b/>
          <w:color w:val="000000"/>
          <w:sz w:val="22"/>
          <w:szCs w:val="22"/>
        </w:rPr>
        <w:t xml:space="preserve">:  </w:t>
      </w:r>
      <w:r>
        <w:rPr>
          <w:bCs/>
          <w:color w:val="000000"/>
          <w:sz w:val="22"/>
          <w:szCs w:val="22"/>
        </w:rPr>
        <w:t>BMC</w:t>
      </w:r>
      <w:proofErr w:type="gramEnd"/>
      <w:r>
        <w:rPr>
          <w:bCs/>
          <w:color w:val="000000"/>
          <w:sz w:val="22"/>
          <w:szCs w:val="22"/>
        </w:rPr>
        <w:t xml:space="preserve"> Environmental Health (fast turnaround) or Environmental Research</w:t>
      </w:r>
    </w:p>
    <w:p w14:paraId="0B25E2F1"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477FF0F2"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r>
        <w:rPr>
          <w:b/>
          <w:color w:val="000000"/>
          <w:sz w:val="22"/>
          <w:szCs w:val="22"/>
        </w:rPr>
        <w:t xml:space="preserve">Abstract </w:t>
      </w:r>
    </w:p>
    <w:p w14:paraId="124B5300" w14:textId="3E8C113E" w:rsidR="0054280C" w:rsidRDefault="00B71134">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color w:val="000000"/>
          <w:sz w:val="22"/>
          <w:szCs w:val="22"/>
        </w:rPr>
        <w:t xml:space="preserve">Background: </w:t>
      </w:r>
      <w:r>
        <w:rPr>
          <w:sz w:val="22"/>
          <w:szCs w:val="22"/>
        </w:rPr>
        <w:t xml:space="preserve">Children of agricultural workers have increased risk of pesticide exposure. </w:t>
      </w:r>
      <w:r>
        <w:rPr>
          <w:color w:val="000000"/>
          <w:sz w:val="22"/>
          <w:szCs w:val="22"/>
        </w:rPr>
        <w:t xml:space="preserve">Off-target pesticide drift plays an important role in pesticide exposures for families living near pesticide-spray sites. </w:t>
      </w:r>
      <w:r>
        <w:rPr>
          <w:sz w:val="22"/>
          <w:szCs w:val="22"/>
        </w:rPr>
        <w:t xml:space="preserve">Exposure to pesticides during early childhood can affect neurodevelopment. </w:t>
      </w:r>
      <w:r>
        <w:rPr>
          <w:color w:val="000000"/>
          <w:sz w:val="22"/>
          <w:szCs w:val="22"/>
        </w:rPr>
        <w:t xml:space="preserve">In Pedro Moncayo County, Ecuador, regular use of insecticides, fungicides, and herbicides, has been documented, making children of agricultural families and those living in proximity to floriculture highly susceptible to pesticide exposure. This study aims to </w:t>
      </w:r>
      <w:r w:rsidR="00565590">
        <w:rPr>
          <w:color w:val="000000"/>
          <w:sz w:val="22"/>
          <w:szCs w:val="22"/>
        </w:rPr>
        <w:t xml:space="preserve">test </w:t>
      </w:r>
      <w:r>
        <w:rPr>
          <w:color w:val="000000"/>
          <w:sz w:val="22"/>
          <w:szCs w:val="22"/>
        </w:rPr>
        <w:t>associations of residential proximity to pesticide-intensive floricultural crops with neurobehavior assessed longitudinally from childhood through adolescence.</w:t>
      </w:r>
    </w:p>
    <w:p w14:paraId="6EBBEDBB"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rPr>
          <w:b/>
          <w:color w:val="000000"/>
          <w:sz w:val="22"/>
          <w:szCs w:val="22"/>
        </w:rPr>
      </w:pPr>
    </w:p>
    <w:p w14:paraId="3A9C0AC2" w14:textId="594D33DC" w:rsidR="0054280C" w:rsidRDefault="00B71134">
      <w:pPr>
        <w:rPr>
          <w:sz w:val="22"/>
          <w:szCs w:val="22"/>
        </w:rPr>
      </w:pPr>
      <w:r>
        <w:rPr>
          <w:b/>
          <w:color w:val="000000"/>
          <w:sz w:val="22"/>
          <w:szCs w:val="22"/>
        </w:rPr>
        <w:t xml:space="preserve">Methods: </w:t>
      </w:r>
      <w:r>
        <w:rPr>
          <w:color w:val="000000"/>
          <w:sz w:val="22"/>
          <w:szCs w:val="22"/>
        </w:rPr>
        <w:t xml:space="preserve">We examined participants from the ESPINA study living in agricultural settings in Ecuador at three time periods - Visit 1: </w:t>
      </w:r>
      <w:r>
        <w:rPr>
          <w:rFonts w:eastAsia="Times New Roman"/>
          <w:color w:val="212121"/>
          <w:sz w:val="22"/>
          <w:szCs w:val="22"/>
          <w:shd w:val="clear" w:color="auto" w:fill="FFFFFF"/>
        </w:rPr>
        <w:t xml:space="preserve">July-August 2008 (4-9-year-olds), Visit 2: April 2016 (11-17-year-olds), and Visit 3: July-October 2016 (11-17-year-olds). Neurobehavioral performance was evaluated </w:t>
      </w:r>
      <w:proofErr w:type="spellStart"/>
      <w:r>
        <w:rPr>
          <w:rFonts w:eastAsia="Times New Roman"/>
          <w:color w:val="212121"/>
          <w:sz w:val="22"/>
          <w:szCs w:val="22"/>
          <w:shd w:val="clear" w:color="auto" w:fill="FFFFFF"/>
        </w:rPr>
        <w:t>using</w:t>
      </w:r>
      <w:del w:id="0" w:author="Jasen Zhang" w:date="2025-09-19T10:33:00Z" w16du:dateUtc="2025-09-19T17:33:00Z">
        <w:r w:rsidDel="002461D2">
          <w:rPr>
            <w:rFonts w:eastAsia="Times New Roman"/>
            <w:color w:val="212121"/>
            <w:sz w:val="22"/>
            <w:szCs w:val="22"/>
            <w:shd w:val="clear" w:color="auto" w:fill="FFFFFF"/>
          </w:rPr>
          <w:delText xml:space="preserve"> </w:delText>
        </w:r>
      </w:del>
      <w:r>
        <w:rPr>
          <w:rFonts w:eastAsia="Times New Roman"/>
          <w:color w:val="212121"/>
          <w:sz w:val="22"/>
          <w:szCs w:val="22"/>
          <w:shd w:val="clear" w:color="auto" w:fill="FFFFFF"/>
        </w:rPr>
        <w:t>NEPSY</w:t>
      </w:r>
      <w:proofErr w:type="spellEnd"/>
      <w:r>
        <w:rPr>
          <w:rFonts w:eastAsia="Times New Roman"/>
          <w:color w:val="212121"/>
          <w:sz w:val="22"/>
          <w:szCs w:val="22"/>
          <w:shd w:val="clear" w:color="auto" w:fill="FFFFFF"/>
        </w:rPr>
        <w:t>-II across all time periods</w:t>
      </w:r>
      <w:r>
        <w:rPr>
          <w:color w:val="000000"/>
          <w:sz w:val="22"/>
          <w:szCs w:val="22"/>
        </w:rPr>
        <w:t xml:space="preserve">. Distance between participants’ households and the nearest floricultural crop, and total surface area of floricultural crops near homes were calculated. </w:t>
      </w:r>
      <w:r>
        <w:rPr>
          <w:sz w:val="22"/>
          <w:szCs w:val="22"/>
        </w:rPr>
        <w:t>Associations</w:t>
      </w:r>
      <w:r w:rsidR="00FA7C63">
        <w:rPr>
          <w:sz w:val="22"/>
          <w:szCs w:val="22"/>
        </w:rPr>
        <w:t xml:space="preserve"> between </w:t>
      </w:r>
      <w:r w:rsidR="007A6F8D">
        <w:rPr>
          <w:sz w:val="22"/>
          <w:szCs w:val="22"/>
        </w:rPr>
        <w:t xml:space="preserve">pesticide exposure variables with </w:t>
      </w:r>
      <w:r w:rsidR="00FA7C63">
        <w:rPr>
          <w:sz w:val="22"/>
          <w:szCs w:val="22"/>
        </w:rPr>
        <w:t xml:space="preserve">NEPSY-II scores </w:t>
      </w:r>
      <w:r>
        <w:rPr>
          <w:sz w:val="22"/>
          <w:szCs w:val="22"/>
        </w:rPr>
        <w:t xml:space="preserve">were tested using generalized estimating equation </w:t>
      </w:r>
      <w:r w:rsidR="00565590">
        <w:rPr>
          <w:sz w:val="22"/>
          <w:szCs w:val="22"/>
        </w:rPr>
        <w:t>generalized linear</w:t>
      </w:r>
      <w:r w:rsidR="00CB1783">
        <w:rPr>
          <w:sz w:val="22"/>
          <w:szCs w:val="22"/>
        </w:rPr>
        <w:t xml:space="preserve"> </w:t>
      </w:r>
      <w:r>
        <w:rPr>
          <w:sz w:val="22"/>
          <w:szCs w:val="22"/>
        </w:rPr>
        <w:t>models</w:t>
      </w:r>
      <w:r w:rsidR="00565590">
        <w:rPr>
          <w:sz w:val="22"/>
          <w:szCs w:val="22"/>
        </w:rPr>
        <w:t xml:space="preserve"> (GEEGLM)</w:t>
      </w:r>
      <w:r w:rsidR="0075276E">
        <w:rPr>
          <w:sz w:val="22"/>
          <w:szCs w:val="22"/>
        </w:rPr>
        <w:t xml:space="preserve"> with an exchangeable covariance structure</w:t>
      </w:r>
      <w:r w:rsidR="00565590">
        <w:rPr>
          <w:sz w:val="22"/>
          <w:szCs w:val="22"/>
        </w:rPr>
        <w:t>.</w:t>
      </w:r>
      <w:r>
        <w:rPr>
          <w:sz w:val="22"/>
          <w:szCs w:val="22"/>
        </w:rPr>
        <w:t xml:space="preserve"> </w:t>
      </w:r>
      <w:r w:rsidR="007E64AE">
        <w:rPr>
          <w:sz w:val="22"/>
          <w:szCs w:val="22"/>
        </w:rPr>
        <w:t>We also conducted additional GEEGLM tests on binarized NEPSY-II scores</w:t>
      </w:r>
      <w:r w:rsidR="0005453D">
        <w:rPr>
          <w:sz w:val="22"/>
          <w:szCs w:val="22"/>
        </w:rPr>
        <w:t xml:space="preserve"> with a low score denoted by an internal cutoff of the 30</w:t>
      </w:r>
      <w:r w:rsidR="0005453D" w:rsidRPr="0005453D">
        <w:rPr>
          <w:sz w:val="22"/>
          <w:szCs w:val="22"/>
          <w:vertAlign w:val="superscript"/>
        </w:rPr>
        <w:t>th</w:t>
      </w:r>
      <w:r w:rsidR="0005453D">
        <w:rPr>
          <w:sz w:val="22"/>
          <w:szCs w:val="22"/>
        </w:rPr>
        <w:t xml:space="preserve"> percentile.</w:t>
      </w:r>
    </w:p>
    <w:p w14:paraId="0F5576A4" w14:textId="77777777" w:rsidR="0054280C" w:rsidRDefault="0054280C">
      <w:pPr>
        <w:rPr>
          <w:b/>
          <w:color w:val="000000"/>
          <w:sz w:val="22"/>
          <w:szCs w:val="22"/>
        </w:rPr>
      </w:pPr>
    </w:p>
    <w:p w14:paraId="5CB533F7" w14:textId="724FF5B6" w:rsidR="0054280C" w:rsidRDefault="00B71134">
      <w:pPr>
        <w:rPr>
          <w:color w:val="000000"/>
          <w:sz w:val="22"/>
          <w:szCs w:val="22"/>
        </w:rPr>
      </w:pPr>
      <w:r>
        <w:rPr>
          <w:b/>
          <w:color w:val="000000"/>
          <w:sz w:val="22"/>
          <w:szCs w:val="22"/>
        </w:rPr>
        <w:t xml:space="preserve">Results: </w:t>
      </w:r>
      <w:r>
        <w:rPr>
          <w:color w:val="000000"/>
          <w:sz w:val="22"/>
          <w:szCs w:val="22"/>
        </w:rPr>
        <w:t xml:space="preserve">We included </w:t>
      </w:r>
      <w:r w:rsidR="00565590">
        <w:rPr>
          <w:color w:val="000000"/>
          <w:sz w:val="22"/>
          <w:szCs w:val="22"/>
        </w:rPr>
        <w:t>1133</w:t>
      </w:r>
      <w:r>
        <w:rPr>
          <w:color w:val="000000"/>
          <w:sz w:val="22"/>
          <w:szCs w:val="22"/>
        </w:rPr>
        <w:t xml:space="preserve"> observations of 629 children examined across the 3 time periods. Average distance</w:t>
      </w:r>
      <w:ins w:id="1" w:author="Jasen Zhang" w:date="2025-09-19T10:50:00Z" w16du:dateUtc="2025-09-19T17:50:00Z">
        <w:r w:rsidR="00B44935">
          <w:rPr>
            <w:color w:val="000000"/>
            <w:sz w:val="22"/>
            <w:szCs w:val="22"/>
          </w:rPr>
          <w:t xml:space="preserve"> </w:t>
        </w:r>
      </w:ins>
      <w:r w:rsidR="00565590">
        <w:rPr>
          <w:color w:val="000000"/>
          <w:sz w:val="22"/>
          <w:szCs w:val="22"/>
        </w:rPr>
        <w:t>(SD)</w:t>
      </w:r>
      <w:r>
        <w:rPr>
          <w:color w:val="000000"/>
          <w:sz w:val="22"/>
          <w:szCs w:val="22"/>
        </w:rPr>
        <w:t xml:space="preserve"> from nearest plantation was 441.</w:t>
      </w:r>
      <w:r w:rsidR="008B71BE">
        <w:rPr>
          <w:color w:val="000000"/>
          <w:sz w:val="22"/>
          <w:szCs w:val="22"/>
        </w:rPr>
        <w:t>9</w:t>
      </w:r>
      <w:r>
        <w:rPr>
          <w:color w:val="000000"/>
          <w:sz w:val="22"/>
          <w:szCs w:val="22"/>
        </w:rPr>
        <w:t>m (34</w:t>
      </w:r>
      <w:r w:rsidR="008B71BE">
        <w:rPr>
          <w:color w:val="000000"/>
          <w:sz w:val="22"/>
          <w:szCs w:val="22"/>
        </w:rPr>
        <w:t>4</w:t>
      </w:r>
      <w:r>
        <w:rPr>
          <w:color w:val="000000"/>
          <w:sz w:val="22"/>
          <w:szCs w:val="22"/>
        </w:rPr>
        <w:t>.</w:t>
      </w:r>
      <w:r w:rsidR="008B71BE">
        <w:rPr>
          <w:color w:val="000000"/>
          <w:sz w:val="22"/>
          <w:szCs w:val="22"/>
        </w:rPr>
        <w:t>6</w:t>
      </w:r>
      <w:r>
        <w:rPr>
          <w:color w:val="000000"/>
          <w:sz w:val="22"/>
          <w:szCs w:val="22"/>
        </w:rPr>
        <w:t>m), 50</w:t>
      </w:r>
      <w:r w:rsidR="008B71BE">
        <w:rPr>
          <w:color w:val="000000"/>
          <w:sz w:val="22"/>
          <w:szCs w:val="22"/>
        </w:rPr>
        <w:t>4</w:t>
      </w:r>
      <w:r>
        <w:rPr>
          <w:color w:val="000000"/>
          <w:sz w:val="22"/>
          <w:szCs w:val="22"/>
        </w:rPr>
        <w:t>.8m (6</w:t>
      </w:r>
      <w:r w:rsidR="008B71BE">
        <w:rPr>
          <w:color w:val="000000"/>
          <w:sz w:val="22"/>
          <w:szCs w:val="22"/>
        </w:rPr>
        <w:t>1</w:t>
      </w:r>
      <w:r w:rsidR="001D56F8">
        <w:rPr>
          <w:color w:val="000000"/>
          <w:sz w:val="22"/>
          <w:szCs w:val="22"/>
        </w:rPr>
        <w:t>8</w:t>
      </w:r>
      <w:r>
        <w:rPr>
          <w:color w:val="000000"/>
          <w:sz w:val="22"/>
          <w:szCs w:val="22"/>
        </w:rPr>
        <w:t>.</w:t>
      </w:r>
      <w:r w:rsidR="001D56F8">
        <w:rPr>
          <w:color w:val="000000"/>
          <w:sz w:val="22"/>
          <w:szCs w:val="22"/>
        </w:rPr>
        <w:t>4</w:t>
      </w:r>
      <w:r>
        <w:rPr>
          <w:color w:val="000000"/>
          <w:sz w:val="22"/>
          <w:szCs w:val="22"/>
        </w:rPr>
        <w:t>m) and 56</w:t>
      </w:r>
      <w:r w:rsidR="001D56F8">
        <w:rPr>
          <w:color w:val="000000"/>
          <w:sz w:val="22"/>
          <w:szCs w:val="22"/>
        </w:rPr>
        <w:t>0</w:t>
      </w:r>
      <w:r>
        <w:rPr>
          <w:color w:val="000000"/>
          <w:sz w:val="22"/>
          <w:szCs w:val="22"/>
        </w:rPr>
        <w:t>.</w:t>
      </w:r>
      <w:r w:rsidR="001D56F8">
        <w:rPr>
          <w:color w:val="000000"/>
          <w:sz w:val="22"/>
          <w:szCs w:val="22"/>
        </w:rPr>
        <w:t>4</w:t>
      </w:r>
      <w:r>
        <w:rPr>
          <w:color w:val="000000"/>
          <w:sz w:val="22"/>
          <w:szCs w:val="22"/>
        </w:rPr>
        <w:t>m (</w:t>
      </w:r>
      <w:r w:rsidR="001D56F8">
        <w:rPr>
          <w:color w:val="000000"/>
          <w:sz w:val="22"/>
          <w:szCs w:val="22"/>
        </w:rPr>
        <w:t>799</w:t>
      </w:r>
      <w:r>
        <w:rPr>
          <w:color w:val="000000"/>
          <w:sz w:val="22"/>
          <w:szCs w:val="22"/>
        </w:rPr>
        <w:t>.</w:t>
      </w:r>
      <w:r w:rsidR="001D56F8">
        <w:rPr>
          <w:color w:val="000000"/>
          <w:sz w:val="22"/>
          <w:szCs w:val="22"/>
        </w:rPr>
        <w:t>3</w:t>
      </w:r>
      <w:r>
        <w:rPr>
          <w:color w:val="000000"/>
          <w:sz w:val="22"/>
          <w:szCs w:val="22"/>
        </w:rPr>
        <w:t xml:space="preserve">m) in </w:t>
      </w:r>
      <w:r w:rsidR="00565590">
        <w:rPr>
          <w:color w:val="000000"/>
          <w:sz w:val="22"/>
          <w:szCs w:val="22"/>
        </w:rPr>
        <w:t>Visit</w:t>
      </w:r>
      <w:r>
        <w:rPr>
          <w:color w:val="000000"/>
          <w:sz w:val="22"/>
          <w:szCs w:val="22"/>
        </w:rPr>
        <w:t xml:space="preserve"> 1, 2, and 3 respectively. Most participants lived within 500m of a crop: </w:t>
      </w:r>
      <w:r w:rsidR="00B44935">
        <w:rPr>
          <w:color w:val="000000"/>
          <w:sz w:val="22"/>
          <w:szCs w:val="22"/>
        </w:rPr>
        <w:t>6</w:t>
      </w:r>
      <w:r w:rsidR="001D56F8">
        <w:rPr>
          <w:color w:val="000000"/>
          <w:sz w:val="22"/>
          <w:szCs w:val="22"/>
        </w:rPr>
        <w:t>3</w:t>
      </w:r>
      <w:r w:rsidR="00B44935">
        <w:rPr>
          <w:color w:val="000000"/>
          <w:sz w:val="22"/>
          <w:szCs w:val="22"/>
        </w:rPr>
        <w:t>.</w:t>
      </w:r>
      <w:r w:rsidR="001D56F8">
        <w:rPr>
          <w:color w:val="000000"/>
          <w:sz w:val="22"/>
          <w:szCs w:val="22"/>
        </w:rPr>
        <w:t>1</w:t>
      </w:r>
      <w:r w:rsidR="00565590">
        <w:rPr>
          <w:color w:val="000000"/>
          <w:sz w:val="22"/>
          <w:szCs w:val="22"/>
        </w:rPr>
        <w:t>%</w:t>
      </w:r>
      <w:r w:rsidR="00B44935">
        <w:rPr>
          <w:color w:val="000000"/>
          <w:sz w:val="22"/>
          <w:szCs w:val="22"/>
        </w:rPr>
        <w:t xml:space="preserve"> </w:t>
      </w:r>
      <w:proofErr w:type="gramStart"/>
      <w:r w:rsidR="00B44935">
        <w:rPr>
          <w:color w:val="000000"/>
          <w:sz w:val="22"/>
          <w:szCs w:val="22"/>
        </w:rPr>
        <w:t>in</w:t>
      </w:r>
      <w:proofErr w:type="gramEnd"/>
      <w:r w:rsidR="00B44935">
        <w:rPr>
          <w:color w:val="000000"/>
          <w:sz w:val="22"/>
          <w:szCs w:val="22"/>
        </w:rPr>
        <w:t xml:space="preserve"> </w:t>
      </w:r>
      <w:r>
        <w:rPr>
          <w:color w:val="000000"/>
          <w:sz w:val="22"/>
          <w:szCs w:val="22"/>
        </w:rPr>
        <w:t xml:space="preserve">Visit </w:t>
      </w:r>
      <w:r w:rsidR="00B44935">
        <w:rPr>
          <w:color w:val="000000"/>
          <w:sz w:val="22"/>
          <w:szCs w:val="22"/>
        </w:rPr>
        <w:t>1</w:t>
      </w:r>
      <w:r>
        <w:rPr>
          <w:color w:val="000000"/>
          <w:sz w:val="22"/>
          <w:szCs w:val="22"/>
        </w:rPr>
        <w:t>,</w:t>
      </w:r>
      <w:r w:rsidR="00B44935">
        <w:rPr>
          <w:color w:val="000000"/>
          <w:sz w:val="22"/>
          <w:szCs w:val="22"/>
        </w:rPr>
        <w:t xml:space="preserve"> 61.</w:t>
      </w:r>
      <w:r w:rsidR="001D56F8">
        <w:rPr>
          <w:color w:val="000000"/>
          <w:sz w:val="22"/>
          <w:szCs w:val="22"/>
        </w:rPr>
        <w:t>6</w:t>
      </w:r>
      <w:r w:rsidR="00B44935">
        <w:rPr>
          <w:color w:val="000000"/>
          <w:sz w:val="22"/>
          <w:szCs w:val="22"/>
        </w:rPr>
        <w:t xml:space="preserve">% </w:t>
      </w:r>
      <w:proofErr w:type="gramStart"/>
      <w:r w:rsidR="00B44935">
        <w:rPr>
          <w:color w:val="000000"/>
          <w:sz w:val="22"/>
          <w:szCs w:val="22"/>
        </w:rPr>
        <w:t>in</w:t>
      </w:r>
      <w:proofErr w:type="gramEnd"/>
      <w:r>
        <w:rPr>
          <w:color w:val="000000"/>
          <w:sz w:val="22"/>
          <w:szCs w:val="22"/>
        </w:rPr>
        <w:t xml:space="preserve"> Visit 2, and </w:t>
      </w:r>
      <w:r w:rsidR="00B44935">
        <w:rPr>
          <w:color w:val="000000"/>
          <w:sz w:val="22"/>
          <w:szCs w:val="22"/>
        </w:rPr>
        <w:t>6</w:t>
      </w:r>
      <w:r w:rsidR="001D56F8">
        <w:rPr>
          <w:color w:val="000000"/>
          <w:sz w:val="22"/>
          <w:szCs w:val="22"/>
        </w:rPr>
        <w:t>4.1</w:t>
      </w:r>
      <w:r w:rsidR="00B44935">
        <w:rPr>
          <w:color w:val="000000"/>
          <w:sz w:val="22"/>
          <w:szCs w:val="22"/>
        </w:rPr>
        <w:t xml:space="preserve">% </w:t>
      </w:r>
      <w:proofErr w:type="gramStart"/>
      <w:r w:rsidR="00B44935">
        <w:rPr>
          <w:color w:val="000000"/>
          <w:sz w:val="22"/>
          <w:szCs w:val="22"/>
        </w:rPr>
        <w:t>in</w:t>
      </w:r>
      <w:proofErr w:type="gramEnd"/>
      <w:r w:rsidR="00B44935">
        <w:rPr>
          <w:color w:val="000000"/>
          <w:sz w:val="22"/>
          <w:szCs w:val="22"/>
        </w:rPr>
        <w:t xml:space="preserve"> </w:t>
      </w:r>
      <w:r>
        <w:rPr>
          <w:color w:val="000000"/>
          <w:sz w:val="22"/>
          <w:szCs w:val="22"/>
        </w:rPr>
        <w:t xml:space="preserve">Visit 3. Across the three visits, NEPSY-II scores mean (SD) ranged from </w:t>
      </w:r>
      <w:r w:rsidR="009E269A">
        <w:rPr>
          <w:color w:val="000000"/>
          <w:sz w:val="22"/>
          <w:szCs w:val="22"/>
        </w:rPr>
        <w:t>6.0</w:t>
      </w:r>
      <w:r>
        <w:rPr>
          <w:color w:val="000000"/>
          <w:sz w:val="22"/>
          <w:szCs w:val="22"/>
        </w:rPr>
        <w:t xml:space="preserve"> (3.0) to 10.</w:t>
      </w:r>
      <w:r w:rsidR="009E269A">
        <w:rPr>
          <w:color w:val="000000"/>
          <w:sz w:val="22"/>
          <w:szCs w:val="22"/>
        </w:rPr>
        <w:t>6</w:t>
      </w:r>
      <w:r>
        <w:rPr>
          <w:color w:val="000000"/>
          <w:sz w:val="22"/>
          <w:szCs w:val="22"/>
        </w:rPr>
        <w:t xml:space="preserve"> (4.9). </w:t>
      </w:r>
      <w:commentRangeStart w:id="2"/>
      <w:r>
        <w:rPr>
          <w:color w:val="000000"/>
          <w:sz w:val="22"/>
          <w:szCs w:val="22"/>
        </w:rPr>
        <w:t>Increasing floriculture distance between participant’s homes and</w:t>
      </w:r>
      <w:r w:rsidR="007A6D30">
        <w:rPr>
          <w:color w:val="000000"/>
          <w:sz w:val="22"/>
          <w:szCs w:val="22"/>
        </w:rPr>
        <w:t xml:space="preserve"> the nearest</w:t>
      </w:r>
      <w:r>
        <w:rPr>
          <w:color w:val="000000"/>
          <w:sz w:val="22"/>
          <w:szCs w:val="22"/>
        </w:rPr>
        <w:t xml:space="preserve"> floricultural crop was associated with higher performance on the domains of Attention/Inhibitory Control, Language, and Memory/</w:t>
      </w:r>
      <w:commentRangeStart w:id="3"/>
      <w:r>
        <w:rPr>
          <w:color w:val="000000"/>
          <w:sz w:val="22"/>
          <w:szCs w:val="22"/>
        </w:rPr>
        <w:t>Learning</w:t>
      </w:r>
      <w:commentRangeEnd w:id="3"/>
      <w:r>
        <w:commentReference w:id="3"/>
      </w:r>
      <w:r>
        <w:rPr>
          <w:color w:val="000000"/>
          <w:sz w:val="22"/>
          <w:szCs w:val="22"/>
        </w:rPr>
        <w:t xml:space="preserve">. Concurring with these findings, </w:t>
      </w:r>
      <w:r w:rsidR="00FB3453">
        <w:rPr>
          <w:color w:val="000000"/>
          <w:sz w:val="22"/>
          <w:szCs w:val="22"/>
        </w:rPr>
        <w:t xml:space="preserve">increasing </w:t>
      </w:r>
      <w:r>
        <w:rPr>
          <w:color w:val="000000"/>
          <w:sz w:val="22"/>
          <w:szCs w:val="22"/>
        </w:rPr>
        <w:t>crop areas within 100-500m buffers around homes were associated with lower Attention/Inhibitory Control domain scores. For instance, doubling crop areas within 300m was associated with lower scores by -</w:t>
      </w:r>
      <w:commentRangeStart w:id="4"/>
      <w:r>
        <w:rPr>
          <w:color w:val="000000"/>
          <w:sz w:val="22"/>
          <w:szCs w:val="22"/>
        </w:rPr>
        <w:t>0.026</w:t>
      </w:r>
      <w:commentRangeEnd w:id="4"/>
      <w:r>
        <w:commentReference w:id="4"/>
      </w:r>
      <w:r>
        <w:rPr>
          <w:color w:val="000000"/>
          <w:sz w:val="22"/>
          <w:szCs w:val="22"/>
        </w:rPr>
        <w:t xml:space="preserve"> (CI: -0.045, -0.007; p = 0.0064). </w:t>
      </w:r>
      <w:commentRangeEnd w:id="2"/>
      <w:r w:rsidR="0086251F">
        <w:rPr>
          <w:rStyle w:val="CommentReference"/>
          <w:rFonts w:asciiTheme="minorHAnsi" w:hAnsiTheme="minorHAnsi" w:cstheme="minorBidi"/>
        </w:rPr>
        <w:commentReference w:id="2"/>
      </w:r>
    </w:p>
    <w:p w14:paraId="51E79B8F" w14:textId="77777777" w:rsidR="0054280C" w:rsidRDefault="0054280C">
      <w:pPr>
        <w:rPr>
          <w:color w:val="000000"/>
          <w:sz w:val="22"/>
          <w:szCs w:val="22"/>
        </w:rPr>
      </w:pPr>
    </w:p>
    <w:p w14:paraId="3D4798E3"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color w:val="000000"/>
          <w:sz w:val="22"/>
          <w:szCs w:val="22"/>
        </w:rPr>
        <w:t xml:space="preserve">Conclusions: </w:t>
      </w:r>
      <w:r>
        <w:rPr>
          <w:bCs/>
          <w:color w:val="000000"/>
          <w:sz w:val="22"/>
          <w:szCs w:val="22"/>
        </w:rPr>
        <w:t xml:space="preserve">Residential proximity to floricultural crops was associated with lower neurobehavioral performance in some domains in longitudinal analysis. These findings suggest that off target pesticide drift from crops may affect </w:t>
      </w:r>
      <w:r>
        <w:rPr>
          <w:color w:val="000000"/>
          <w:sz w:val="22"/>
          <w:szCs w:val="22"/>
        </w:rPr>
        <w:t>neurobehavioral performance of children living nearby, in tasks related to impulsivity and cognitive flexibility, understanding complex verbal instructions, and challenges with verbal-visual associative learning among children and adolescents.</w:t>
      </w:r>
    </w:p>
    <w:p w14:paraId="7EC1116E"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p>
    <w:p w14:paraId="4FC6A86A"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b/>
          <w:bCs/>
          <w:color w:val="000000"/>
          <w:sz w:val="22"/>
          <w:szCs w:val="22"/>
        </w:rPr>
        <w:t xml:space="preserve">Key words (1-7): </w:t>
      </w:r>
      <w:r>
        <w:rPr>
          <w:color w:val="000000"/>
          <w:sz w:val="22"/>
          <w:szCs w:val="22"/>
        </w:rPr>
        <w:t>neurodevelopment, children, Attention, Inhibition, Memory, Learning</w:t>
      </w:r>
    </w:p>
    <w:p w14:paraId="1337C34D"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rPr>
          <w:b/>
          <w:bCs/>
          <w:color w:val="000000"/>
          <w:sz w:val="22"/>
          <w:szCs w:val="22"/>
        </w:rPr>
      </w:pPr>
    </w:p>
    <w:p w14:paraId="5D4C1DD0"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rPr>
          <w:b/>
          <w:bCs/>
          <w:color w:val="000000"/>
          <w:sz w:val="22"/>
          <w:szCs w:val="22"/>
        </w:rPr>
      </w:pPr>
      <w:r>
        <w:rPr>
          <w:b/>
          <w:bCs/>
          <w:color w:val="000000"/>
          <w:sz w:val="22"/>
          <w:szCs w:val="22"/>
        </w:rPr>
        <w:t xml:space="preserve">Highlights (3 to 5 bullet points, </w:t>
      </w:r>
      <w:proofErr w:type="gramStart"/>
      <w:r>
        <w:rPr>
          <w:b/>
          <w:bCs/>
          <w:color w:val="000000"/>
          <w:sz w:val="22"/>
          <w:szCs w:val="22"/>
        </w:rPr>
        <w:t>each a</w:t>
      </w:r>
      <w:proofErr w:type="gramEnd"/>
      <w:r>
        <w:rPr>
          <w:b/>
          <w:bCs/>
          <w:color w:val="000000"/>
          <w:sz w:val="22"/>
          <w:szCs w:val="22"/>
        </w:rPr>
        <w:t xml:space="preserve"> maximum of 85 characters, including spaces):</w:t>
      </w:r>
    </w:p>
    <w:p w14:paraId="4C20A148" w14:textId="77777777" w:rsidR="0054280C" w:rsidRDefault="00B71134">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color w:val="000000"/>
          <w:sz w:val="22"/>
          <w:szCs w:val="22"/>
        </w:rPr>
        <w:t xml:space="preserve"> </w:t>
      </w:r>
    </w:p>
    <w:p w14:paraId="1AD83681" w14:textId="77777777" w:rsidR="0054280C" w:rsidRDefault="00B71134">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r>
        <w:rPr>
          <w:color w:val="000000"/>
          <w:sz w:val="22"/>
          <w:szCs w:val="22"/>
        </w:rPr>
        <w:t xml:space="preserve">  </w:t>
      </w:r>
    </w:p>
    <w:p w14:paraId="73AFA330" w14:textId="77777777" w:rsidR="0054280C" w:rsidRDefault="0054280C">
      <w:pPr>
        <w:pStyle w:val="ListParagraph"/>
        <w:numPr>
          <w:ilvl w:val="0"/>
          <w:numId w:val="15"/>
        </w:numPr>
        <w:pBdr>
          <w:top w:val="none" w:sz="4" w:space="0" w:color="000000"/>
          <w:left w:val="none" w:sz="4" w:space="0" w:color="000000"/>
          <w:bottom w:val="none" w:sz="4" w:space="0" w:color="000000"/>
          <w:right w:val="none" w:sz="4" w:space="0" w:color="000000"/>
          <w:between w:val="none" w:sz="4" w:space="0" w:color="000000"/>
        </w:pBdr>
        <w:rPr>
          <w:color w:val="000000"/>
          <w:sz w:val="22"/>
          <w:szCs w:val="22"/>
        </w:rPr>
      </w:pPr>
    </w:p>
    <w:p w14:paraId="34146EB6"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ind w:left="360"/>
        <w:rPr>
          <w:b/>
          <w:bCs/>
          <w:sz w:val="22"/>
          <w:szCs w:val="22"/>
        </w:rPr>
      </w:pPr>
    </w:p>
    <w:p w14:paraId="0EE802C7" w14:textId="77777777" w:rsidR="0054280C" w:rsidRDefault="00B71134">
      <w:pPr>
        <w:numPr>
          <w:ilvl w:val="0"/>
          <w:numId w:val="1"/>
        </w:numPr>
        <w:pBdr>
          <w:top w:val="none" w:sz="4" w:space="0" w:color="000000"/>
          <w:left w:val="none" w:sz="4" w:space="0" w:color="000000"/>
          <w:bottom w:val="none" w:sz="4" w:space="0" w:color="000000"/>
          <w:right w:val="none" w:sz="4" w:space="0" w:color="000000"/>
          <w:between w:val="none" w:sz="4" w:space="0" w:color="000000"/>
        </w:pBdr>
        <w:rPr>
          <w:b/>
          <w:bCs/>
          <w:sz w:val="22"/>
          <w:szCs w:val="22"/>
        </w:rPr>
      </w:pPr>
      <w:r>
        <w:rPr>
          <w:b/>
          <w:bCs/>
          <w:color w:val="000000"/>
          <w:sz w:val="22"/>
          <w:szCs w:val="22"/>
        </w:rPr>
        <w:t>Introduction</w:t>
      </w:r>
    </w:p>
    <w:p w14:paraId="75BF4AC8"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ind w:left="360"/>
        <w:jc w:val="both"/>
        <w:rPr>
          <w:sz w:val="22"/>
          <w:szCs w:val="22"/>
        </w:rPr>
      </w:pPr>
    </w:p>
    <w:p w14:paraId="46A4C73A" w14:textId="77777777" w:rsidR="0054280C" w:rsidRDefault="00B71134">
      <w:pPr>
        <w:ind w:firstLine="720"/>
        <w:jc w:val="both"/>
        <w:rPr>
          <w:color w:val="000000"/>
          <w:sz w:val="22"/>
          <w:szCs w:val="22"/>
        </w:rPr>
      </w:pPr>
      <w:r>
        <w:rPr>
          <w:sz w:val="22"/>
          <w:szCs w:val="22"/>
        </w:rPr>
        <w:t xml:space="preserve">Children of agricultural workers have increased risk of pesticide exposure not only through direct contact but also through off-target drift from agricultural crops to residential homes </w:t>
      </w:r>
      <w:r>
        <w:rPr>
          <w:sz w:val="22"/>
          <w:szCs w:val="22"/>
        </w:rPr>
        <w:fldChar w:fldCharType="begin"/>
      </w:r>
      <w:r>
        <w:rPr>
          <w:sz w:val="22"/>
          <w:szCs w:val="22"/>
        </w:rPr>
        <w:instrText xml:space="preserve"> ADDIN ZOTERO_ITEM CSL_CITATION {"citationID":"hQSoPLAT","properties":{"formattedCitation":"(Coronado et al., 2011; Hyland &amp; Laribi, 2017; Lu et al., 2000; Simcox et al., 1995; Su\\uc0\\u225{}rez-L\\uc0\\u243{}pez et al., 2020; Ward et al., 2006)","plainCitation":"(Coronado et al., 2011; Hyland &amp; Laribi, 2017; Lu et al., 2000; Simcox et al., 1995; Suárez-López et al., 2020;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Boyd"},{"family":"Faustman","given":"Elaine"},{"family":"Thompson","given":"Beti"}],"issued":{"date-parts":[["2011",8]]}}},{"id":4694,"uris":["http://zotero.org/users/5127433/items/8GV5WITX"],"itemData":{"id":4694,"type":"article-journal","abstract":"BackgroundChildren of farmworkers may be chronically exposed to pesticides via the take-home exposure pathway.ObjectiveThe goal of this review was to analyze scientific literature evaluating the role of the take-home pesticide exposure pathway in children of agricultural workers.MethodsA systematic review was undertaken and inclusion criteria were applied to identify original articles of interest. Of the 30 articles included in this review, some belonged to the same studies, resulting in a total of 23 studies. Eight studies assessed environmental samples, nine collected biological samples, and the remaining six analyzed both. Eleven studies compared pesticide levels between farm and non-farm families.ResultsThere is convincing evidence that children of farmworkers are exposed to pesticides at higher levels than \"non-agricultural\" children, even when residing in the same agricultural communities. These levels were shown to depend on the season, occupation, number of farmworkers per home, and type of crops. Other factors such as age, gender and, sex seem to also influence this pathway. Some studies have shown that pesticides used solely in agriculture are found only in households of farmworkers spraying these pesticides. Moreover, intervention studies have shown that behaviors among farmworkers can significantly lower exposure of people living in the same households as farmworkers.Discussion and conclusionThe evidence presented here raises concerns regarding health effects associated with exposure to pesticides in children living in agricultural communities, and indicates that strategies should be developed to reduce exposures in these populations.","container-title":"Environmental research","DOI":"10.1016/j.envres.2017.04.017","ISSN":"1096-0953","journalAbbreviation":"Environ Res","language":"eng","note":"PMID: 28437652","page":"559-570","source":"Europe PMC","title":"Review of take-home pesticide exposure pathway in children living in agricultural areas","volume":"156","author":[{"family":"Hyland","given":"Carly"},{"family":"Laribi","given":"Ouahiba"}],"issued":{"date-parts":[["2017",7,1]]}}},{"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id":4736,"uris":["http://zotero.org/users/5127433/items/CXGU9RTA"],"itemData":{"id":4736,"type":"article-journal","abstract":"Child of agriculture families are likely to be exposed to agricultural chemicals, even if they are not involved in farm activities. This study was designed to determine whether such children are exposed to higher levels of pesticides than children whose parents are not involved in agriculture and whose homes are not close to farms. Household dust and soil samples were collected in children's play areas from 59 residences in eastern Washington State (26 farming, 22 farmworker, and 11 nonfarming families). The majority of the farm families lived within 200 feet of an operating apple or pear orchard, whereas all reference homes were located at least a quarter of a mile from an orchard. Four organophosphorous (OP) insecticides commonly used on tree fruit were targeted for analysis: azinphosmethyl, chlorpyrifos, parathion, and phosmet. Samples were extracted and analyzed by gas chromatography/mass selective detection. Pesticide concentrations in household dust were significantly higher than in soil for all groups. OP levels for farmer/farm-worker families ranged from nondetectable to 930 ng/g in soil (0.93 ppm) and from nondetectable to 17,000 ng/g in dust (17 ppm); all four OP compounds were found in 62% of household dust samples, and two-thirds of the farm homes contained at least one OP above 1000 ng/g. Residues were found less frequently in reference homes and all levels were below 1000 ng/g. Household dust concentrations for all four target compounds were significantly lower in reference homes when compared to farmer/farmworker homes (Mann Whitney, U test; p &lt; 0.05). These results demonstrate that children of agricultural families have a higher potential for exposure to OP pesticides than children of nonfarm families in this region. Measurable residues of a toxicity, I compound registered exclusively for agricultural use, azcnphosmettyl were found in household dust samples from all study homes, suggesting that low level exposure to such chemicals occurs throughout the region. Children's total and cumulative exposure to this pesticide class from household dust, soil, and other sources warrants further investigation.","container-title":"Environmental Health Perspectives","DOI":"10.1289/ehp.951031126","issue":"12","note":"publisher: Environmental Health Perspectives","page":"1126-1134","source":"ehp.niehs.nih.gov (Atypon)","title":"Pesticides in household dust and soil: exposure pathways for children of agricultural families.","title-short":"Pesticides in household dust and soil","volume":"103","author":[{"family":"Simcox","given":"N J"},{"family":"Fenske","given":"R A"},{"family":"Wolz","given":"S A"},{"family":"Lee","given":"I C"},{"family":"Kalman","given":"D A"}],"issued":{"date-parts":[["1995",12]]}}},{"id":4733,"uris":["http://zotero.org/users/5127433/items/PG2XT3KC"],"itemData":{"id":4733,"type":"article-journal","abstract":"Background\nOff-target drift of pesticides from farms increases the risk of pesticide exposure of people living nearby. Cholinesterase inhibitors (i.e. organophosphates and carbamates) are frequently used in agriculture and inhibit acetylcholinesterase (AChE) activity. Greenhouse agriculture is an important production method, but it is unknown how far pesticide drift from greenhouses can extend and expose people living nearby.\n\nMethods\nThis study included 1156 observations from 3 exams (2008, Apr 2016 and Jul-Oct of 623 children aged 4-to-17 years living in agricultural communities in Ecuador. AChE, a physiological marker of cholinesterase inhibitor exposure, was measured in blood. Geographic positioning of greenhouses and homes were obtained using GPS receivers and satellite imagery. Distances between homes and the nearest greenhouse edge, and areas of greenhouse crops within various buffer zones around homes were calculated. Repeated-measures regression adjusted for hemoglobin and other covariates estimated change in AChE relative to distance from greenhouses.\n\nResults\nThe pooled mean (SD) of AChE activity was 3.58 U/mL (0.60). The median (25th-75th %tile) residential distance to crops was 334 m (123, 648) and crop area within 500 m of homes (non-zero values only) was 18,482 m2 (7115, 61,841). Residential proximity to greenhouse crops was associated with lower AChE activity among children living within 275m of crops (AChE difference per 100m of proximity [95% CI]= −0.10 U/mL [−0.20, −0.006]). Lower AChE activity was associated with greater crop area within 500m of homes (AChE difference per 1000m2 [95% CI]= −0.026 U/mL [−0.040, −0.012]) and especially within 150m (−0.037 U/mL [−0.065, −0.007]).\n\nConclusions\nResidential proximity to floricultural greenhouses, especially within 275m, was associated with lower AChE activity among children, reflecting greater cholinesterase inhibitor exposure from pesticide drift. Analyses of residential proximity and crop areas near homes yielded complementary findings. Mitigation of off-target drift of pesticides from crops onto nearby homes is recommended.","container-title":"Environmental research","DOI":"10.1016/j.envres.2020.109728","ISSN":"0013-9351","journalAbbreviation":"Environ Res","note":"PMID: 32798937\nPMCID: PMC7483309","page":"109728","source":"PubMed Central","title":"Residential proximity to greenhouse crops and pesticide exposure (via acetylcholinesterase activity) assessed from childhood through adolescence","volume":"188","author":[{"family":"Suárez-López","given":"José R."},{"family":"Nazeeh","given":"Noor"},{"family":"Kayser","given":"Georgia"},{"family":"Suarez-Torres","given":"Jose"},{"family":"Checkoway","given":"Harvey"},{"family":"López-Paredes","given":"Dolores"},{"family":"Jacobs","given":"David R."},{"family":"Cruz","given":"Franklin","non-dropping-particle":"de la"}],"issued":{"date-parts":[["2020",9]]}}},{"id":4738,"uris":["http://zotero.org/users/5127433/items/8QA6Z3A5"],"itemData":{"id":4738,"type":"article-journal","abstract":"Rural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w:instrText>
      </w:r>
      <w:r>
        <w:rPr>
          <w:sz w:val="22"/>
          <w:szCs w:val="22"/>
          <w:lang w:val="es-MX"/>
        </w:rPr>
        <w:instrText xml:space="preserve">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 </w:instrText>
      </w:r>
      <w:r>
        <w:rPr>
          <w:sz w:val="22"/>
          <w:szCs w:val="22"/>
        </w:rPr>
        <w:fldChar w:fldCharType="separate"/>
      </w:r>
      <w:r>
        <w:rPr>
          <w:sz w:val="22"/>
          <w:lang w:val="es-MX"/>
        </w:rPr>
        <w:t>(Coronado et al., 2011; Hyland &amp; Laribi, 2017; Lu et al., 2000; Simcox et al., 1995; Suárez-López et al., 2020; Ward et al., 2006)</w:t>
      </w:r>
      <w:r>
        <w:rPr>
          <w:sz w:val="22"/>
          <w:szCs w:val="22"/>
        </w:rPr>
        <w:fldChar w:fldCharType="end"/>
      </w:r>
      <w:r>
        <w:rPr>
          <w:color w:val="000000"/>
          <w:sz w:val="22"/>
          <w:szCs w:val="22"/>
          <w:lang w:val="es-MX"/>
        </w:rPr>
        <w:t xml:space="preserve">. </w:t>
      </w:r>
      <w:r>
        <w:rPr>
          <w:color w:val="000000"/>
          <w:sz w:val="22"/>
          <w:szCs w:val="22"/>
        </w:rPr>
        <w:t xml:space="preserve">Studies indicate that off-target pesticide drift plays an important role in pesticide exposures for families living near pesticide-spray sites </w:t>
      </w:r>
      <w:r>
        <w:rPr>
          <w:color w:val="000000"/>
          <w:sz w:val="22"/>
          <w:szCs w:val="22"/>
        </w:rPr>
        <w:fldChar w:fldCharType="begin"/>
      </w:r>
      <w:r>
        <w:rPr>
          <w:color w:val="000000"/>
          <w:sz w:val="22"/>
          <w:szCs w:val="22"/>
        </w:rPr>
        <w:instrText xml:space="preserve"> ADDIN ZOTERO_ITEM CSL_CITATION {"citationID":"u4IaDArA","properties":{"formattedCitation":"(Coronado et al., 2011; Ward et al., 2006)","plainCitation":"(Coronado et al., 2011; Ward et al., 2006)","noteIndex":0},"citationItems":[{"id":4675,"uris":["http://zotero.org/users/5127433/items/JD22R45A"],"itemData":{"id":4675,"type":"article-journal","abstract":"Objectives: \n          Residential proximity to pesticide-treated farmland is an important pesticide exposure pathway.\n          Methods: \n          In-person interviews and biological samples were collected from 100 farmworker and 100 non-farmworker adults and children living in Eastern Washington State. We examined the relationship of residential proximity to farmland to urinary metabolite concentrations of dimethylphosphate (DMTP) and levels of pesticide residues in house dust.\n          Results: \n          DMTP concentrations were higher in farmworkers than non-farmworkers (71 μg/L vs 6 μg/L) and in farmworker children than non-farmworker children (17 μg/L vs 8 μg/L). Compared to non-farmworker households, farmworker households had higher levels of azinphos-methyl (643 ng/g vs 121 ng/g) and phosmet (153 ng/g vs 50 ng/g). Overall, a 20% reduction in DMTP concentration was observed per mile increase in distance from farmland.\n          Conclusions: \n          Lower OP metabolite concentrations correlated with increasing distance from farmland.","container-title":"Journal of Occupational and Environmental Medicine","DOI":"10.1097/JOM.0b013e318222f03a","ISSN":"1076-2752","issue":"8","language":"en-US","page":"884","source":"journals.lww.com","title":"Organophosphate Pesticide Exposure and Residential Proximity to Nearby Fields: Evidence for the Drift Pathway","title-short":"Organophosphate Pesticide Exposure and Residential Proximity to Nearby Fields","volume":"53","author":[{"family":"Coronado","given":"Gloria D."},{"family":"Holte","given":"Sarah"},{"family":"Vigoren","given":"Eric"},{"family":"Griffith","given":"William C."},{"family":"Barr","given":"Dana Boyd"},{"family":"Faustman","given":"Elaine"},{"family":"Thompson","given":"Beti"}],"issued":{"date-parts":[["2011",8]]}}},{"id":4738,"uris":["http://zotero.org/users/5127433/items/8QA6Z3A5"],"itemData":{"id":4738,"type":"article-journal","abstract":"Rural residents can be exposed to agricultural pesticides through the proximity of their homes to crop fields. Previously, we developed a method to create historical crop maps using a geographic information system. The aim of the present study was to determine whether crop maps are useful for predicting levels of crop herbicides in carpet dust samples from residences. From homes of participants in a case–control study of non-Hodgkin lymphoma in Iowa (1998–2000), we collected vacuum cleaner dust and measured 14 herbicides with high use on corn and soybeans in Iowa. Of 112 homes, 58% of residences had crops within 500 m of their home, an intermediate distance for primary drift from aerial and ground applications. Detection rates for herbicides ranged from 0% for metribuzin and cyanazine to 95% for 2,4-dichlorophenoxyacetic acid. Six herbicides used almost exclusively in agriculture were detected in 28% of homes. Detections and concentrations were highest in homes with an active farmer. Increasing acreage of corn and soybean fields within 750 m of homes was associated with significantly elevated odds of detecting agricultural herbicides compared with homes with no crops within 750 m (adjusted odds ratio per 10 acres = 1.06; 95% confidence interval, 1.02–1.11). Herbicide concentrations also increased significantly with increasing acreage within 750 m. We evaluated the distance of crop fields from the home at &lt; 100, 101–250, 251–500, and 501–750 m. Including the crop buffer distance parameters in the model did not significantly improve the fit compared with a model with total acres within 750 m. Our results indicate that crop maps may be a useful method for estimating levels of herbicides in homes from nearby crop fields.","container-title":"Environmental Health Perspectives","DOI":"10.1289/ehp.8770","issue":"6","note":"publisher: Environmental Health Perspectives","page":"893-897","source":"ehp.niehs.nih.gov (Atypon)","title":"Proximity to Crops and Residential Exposure to Agricultural Herbicides in Iowa","volume":"114","author":[{"family":"Ward","given":"Mary H."},{"family":"Lubin","given":"Jay"},{"family":"Giglierano","given":"James"},{"family":"Colt","given":"Joanne S."},{"family":"Wolter","given":"Calvin"},{"family":"Bekiroglu","given":"Nural"},{"family":"Camann","given":"David"},{"family":"Hartge","given":"Patricia"},{"family":"Nuckols","given":"John R."}],"issued":{"date-parts":[["2006",6]]}}}],"schema":"https://github.com/citation-style-language/schema/raw/master/csl-citation.json"} </w:instrText>
      </w:r>
      <w:r>
        <w:rPr>
          <w:color w:val="000000"/>
          <w:sz w:val="22"/>
          <w:szCs w:val="22"/>
        </w:rPr>
        <w:fldChar w:fldCharType="separate"/>
      </w:r>
      <w:r>
        <w:rPr>
          <w:sz w:val="22"/>
        </w:rPr>
        <w:t>(Coronado et al., 2011; Ward et al., 2006)</w:t>
      </w:r>
      <w:r>
        <w:rPr>
          <w:color w:val="000000"/>
          <w:sz w:val="22"/>
          <w:szCs w:val="22"/>
        </w:rPr>
        <w:fldChar w:fldCharType="end"/>
      </w:r>
      <w:r>
        <w:rPr>
          <w:color w:val="000000"/>
          <w:sz w:val="22"/>
          <w:szCs w:val="22"/>
        </w:rPr>
        <w:t>.</w:t>
      </w:r>
      <w:r>
        <w:rPr>
          <w:color w:val="C00000"/>
          <w:sz w:val="22"/>
          <w:szCs w:val="22"/>
        </w:rPr>
        <w:t xml:space="preserve"> </w:t>
      </w:r>
      <w:r>
        <w:rPr>
          <w:color w:val="000000"/>
          <w:sz w:val="22"/>
          <w:szCs w:val="22"/>
        </w:rPr>
        <w:t>For example, children living within 60-275 m of agricultural sites had lower acetylcholinesterase (</w:t>
      </w:r>
      <w:proofErr w:type="spellStart"/>
      <w:r>
        <w:rPr>
          <w:color w:val="000000"/>
          <w:sz w:val="22"/>
          <w:szCs w:val="22"/>
        </w:rPr>
        <w:t>AChE</w:t>
      </w:r>
      <w:proofErr w:type="spellEnd"/>
      <w:r>
        <w:rPr>
          <w:color w:val="000000"/>
          <w:sz w:val="22"/>
          <w:szCs w:val="22"/>
        </w:rPr>
        <w:t xml:space="preserve">) activity, an enzyme inhibited by organophosphate (OP) </w:t>
      </w:r>
      <w:commentRangeStart w:id="5"/>
      <w:r>
        <w:rPr>
          <w:color w:val="000000"/>
          <w:sz w:val="22"/>
          <w:szCs w:val="22"/>
        </w:rPr>
        <w:t>insecticides</w:t>
      </w:r>
      <w:commentRangeEnd w:id="5"/>
      <w:r>
        <w:commentReference w:id="5"/>
      </w:r>
      <w:r>
        <w:rPr>
          <w:color w:val="000000"/>
          <w:sz w:val="22"/>
          <w:szCs w:val="22"/>
        </w:rPr>
        <w:t xml:space="preserve">, and higher urinary pesticide biomarkers and pesticide levels within their house dust </w:t>
      </w:r>
      <w:r>
        <w:rPr>
          <w:color w:val="000000"/>
          <w:sz w:val="22"/>
          <w:szCs w:val="22"/>
        </w:rPr>
        <w:fldChar w:fldCharType="begin"/>
      </w:r>
      <w:r>
        <w:rPr>
          <w:color w:val="000000"/>
          <w:sz w:val="22"/>
          <w:szCs w:val="22"/>
        </w:rPr>
        <w:instrText xml:space="preserve"> ADDIN ZOTERO_ITEM CSL_CITATION {"citationID":"dwLQlg5t","properties":{"formattedCitation":"(Bradman et al., 2011; Lu et al., 2000)","plainCitation":"(Bradman et al., 2011; Lu et al., 2000)","noteIndex":0},"citationItems":[{"id":4668,"uris":["http://zotero.org/users/5127433/items/9BMPYSXZ"],"itemData":{"id":4668,"type":"article-journal","abstract":"Organophosphorus (OP) pesticides are used in agriculture and several are registered for home use. As young children age they may experience different pesticide exposures due to varying diet, behavior, and other factors. We measured six OP dialkylphosphate (DAP) metabolites (three dimethyl alkylphosphates (DMAP) and three diethyl alkylphosphates (DEAP)) in urine samples collected from ~400 children living in an agricultural community when they were 6, 12, and 24 months old. We examined bivariate associations between DAP metabolite levels and determinants such as age, diet, season, and parent occupation. To evaluate independent impacts, we then used generalized linear mixed multivariable models including interaction terms with age. The final models indicated that DMAP metabolite levels increased with age. DMAP levels were also positively associated with daily servings of produce at 6- and 24-months. Among the 6-m</w:instrText>
      </w:r>
      <w:r>
        <w:rPr>
          <w:rFonts w:hint="eastAsia"/>
          <w:color w:val="000000"/>
          <w:sz w:val="22"/>
          <w:szCs w:val="22"/>
        </w:rPr>
        <w:instrText xml:space="preserve">onth olds, DMAP metabolite levels were higher when samples were collected during the summer/spring versus the winter/fall months. Among the 12-month olds, DMAP and DEAP metabolites were higher when children lived </w:instrText>
      </w:r>
      <w:r>
        <w:rPr>
          <w:rFonts w:hint="eastAsia"/>
          <w:color w:val="000000"/>
          <w:sz w:val="22"/>
          <w:szCs w:val="22"/>
        </w:rPr>
        <w:instrText>≤</w:instrText>
      </w:r>
      <w:r>
        <w:rPr>
          <w:rFonts w:hint="eastAsia"/>
          <w:color w:val="000000"/>
          <w:sz w:val="22"/>
          <w:szCs w:val="22"/>
        </w:rPr>
        <w:instrText>60 meters from an agricultural field. Amo</w:instrText>
      </w:r>
      <w:r>
        <w:rPr>
          <w:color w:val="000000"/>
          <w:sz w:val="22"/>
          <w:szCs w:val="22"/>
        </w:rPr>
        <w:instrText xml:space="preserve">ng the 24-month-olds, DEAP metabolite levels were higher during the summer/spring months. Our findings suggest that there are multiple determinants of OP pesticide exposures, notably dietary intake and temporal and spatial proximity to agricultural use. The impact of these determinants varied by age and class of DAP metabolite.","container-title":"International Journal of Environmental Research and Public Health","DOI":"10.3390/ijerph8041061","ISSN":"1660-4601","issue":"4","language":"en","license":"http://creativecommons.org/licenses/by/3.0/","note":"number: 4\npublisher: Molecular Diversity Preservation International","page":"1061-1083","source":"www.mdpi.com","title":"Determinants of Organophosphorus Pesticide Urinary Metabolite Levels in Young Children Living in an Agricultural Community","volume":"8","author":[{"family":"Bradman","given":"Asa"},{"family":"Castorina","given":"Rosemary"},{"family":"Boyd Barr","given":"Dana"},{"family":"Chevrier","given":"Jonathan"},{"family":"Harnly","given":"Martha E."},{"family":"Eisen","given":"Ellen A."},{"family":"McKone","given":"Thomas E."},{"family":"Harley","given":"Kim"},{"family":"Holland","given":"Nina"},{"family":"Eskenazi","given":"Brenda"}],"issued":{"date-parts":[["2011",4]]}}},{"id":4706,"uris":["http://zotero.org/users/5127433/items/K4C3HN5C"],"itemData":{"id":4706,"type":"article-journal","abstract":"Children's exposure to organophosphorus (OP) pesticides in an agricultural community in central Washington State was determined. Spot urine and hand wipe samples were collected from 109 children 9 months to 6 years of age, as were house dust samples, and wipe samples from various surfaces. Children were categorized based on parental occupation (agricultural vs nonagricultural) and on household proximity to pesticide-treated orchards. Median house dust concentrations of dimethyl OP pesticides in homes of agricultural families were seven times higher than those of reference families (1. 92 vs 0.27 microg/g; P&lt;0.001). Median pesticide metabolite concentrations in agricultural children were five times higher than those in reference children (0.05 vs 0.01 microg/ml; P=0.09). Median pesticide concentrations in housedust (P=0.01) and metabolite concentrations in urine (P=0.01) from agricultural families were significantly higher in the children living near treated orchards (within 200 ft or 60 m) than those living more distant. Ten of 61 agricultural children had detectable OP pesticide levles on their hands, whereas none of the reference children had detectable levels. These findings indicate that children living with parents who work with agricultural pesticides, or who live in proximity to pesticide-treated farmland, have higher exposures than do other children living in the same community","container-title":"Environmental research","DOI":"10.1006/enrs.2000.4076","journalAbbreviation":"Environmental research","page":"290-302","source":"ResearchGate","title":"Pesticide Exposure of Children in an Agricultural Community: Evidence of Household Proximity to Farmland and Take Home Exposure Pathways","title-short":"Pesticide Exposure of Children in an Agricultural Community","volume":"84","author":[{"family":"Lu","given":"C"},{"family":"Fenske","given":"Richard"},{"family":"Simcox","given":"Nancy"},{"family":"Kalman","given":"David"}],"issued":{"date-parts":[["2000",12,1]]}}}],"schema":"https://github.com/citation-style-language/schema/raw/master/csl-citation.json"} </w:instrText>
      </w:r>
      <w:r>
        <w:rPr>
          <w:color w:val="000000"/>
          <w:sz w:val="22"/>
          <w:szCs w:val="22"/>
        </w:rPr>
        <w:fldChar w:fldCharType="separate"/>
      </w:r>
      <w:r>
        <w:rPr>
          <w:sz w:val="22"/>
        </w:rPr>
        <w:t>(Bradman et al., 2011; Lu et al., 2000)</w:t>
      </w:r>
      <w:r>
        <w:rPr>
          <w:color w:val="000000"/>
          <w:sz w:val="22"/>
          <w:szCs w:val="22"/>
        </w:rPr>
        <w:fldChar w:fldCharType="end"/>
      </w:r>
      <w:r>
        <w:rPr>
          <w:color w:val="000000"/>
          <w:sz w:val="22"/>
          <w:szCs w:val="22"/>
        </w:rPr>
        <w:t>.</w:t>
      </w:r>
    </w:p>
    <w:p w14:paraId="3CEF5020" w14:textId="77777777" w:rsidR="0054280C" w:rsidRDefault="0054280C">
      <w:pPr>
        <w:rPr>
          <w:color w:val="000000"/>
          <w:sz w:val="22"/>
          <w:szCs w:val="22"/>
        </w:rPr>
      </w:pPr>
    </w:p>
    <w:p w14:paraId="43E1B6AA" w14:textId="77777777" w:rsidR="0054280C" w:rsidRDefault="00B71134">
      <w:pPr>
        <w:ind w:firstLine="720"/>
        <w:jc w:val="both"/>
        <w:rPr>
          <w:color w:val="C00000"/>
          <w:sz w:val="22"/>
          <w:szCs w:val="22"/>
        </w:rPr>
      </w:pPr>
      <w:r>
        <w:rPr>
          <w:sz w:val="22"/>
          <w:szCs w:val="22"/>
        </w:rPr>
        <w:t xml:space="preserve">Exposure to certain insecticides including organophosphates (OPs), carbamates, organochlorines (OCs), neonicotinoids (NEOs), and pyrethroids, as well as fungicides and herbicides during early childhood, may have adverse effects on neurodevelopment  </w:t>
      </w:r>
      <w:r>
        <w:rPr>
          <w:sz w:val="22"/>
          <w:szCs w:val="22"/>
        </w:rPr>
        <w:fldChar w:fldCharType="begin"/>
      </w:r>
      <w:r>
        <w:rPr>
          <w:sz w:val="22"/>
          <w:szCs w:val="22"/>
        </w:rPr>
        <w:instrText xml:space="preserve"> ADDIN ZOTERO_ITEM CSL_CITATION {"citationID":"9zzueKQj","properties":{"formattedCitation":"(D\\uc0\\u243{}rea, 2021; Sapbamrer &amp; Hongsibsong, 2019)","plainCitation":"(Dórea, 2021; Sapbamrer &amp; Hongsibsong, 2019)","noteIndex":0},"citationItems":[{"id":4746,"uris":["http://zotero.org/users/5127433/items/L6ITFPYJ"],"itemData":{"id":4746,"type":"article-journal","container-title":"Environment International","DOI":"10.1016/j.envint.2021.106407","ISSN":"1873-6750","journalAbbreviation":"Environ Int","language":"eng","note":"PMID: 33508535","page":"106407","source":"PubMed","title":"Neurodevelopment in mining environments entails different types of exposure and non-essential element interactions: Broadening the significance of the Nyanza et al study in Tanzania","title-short":"Neurodevelopment in mining environments entails different types of exposure and non-essential element interactions","volume":"149","author":[{"family":"Dórea","given":"José G."}],"issued":{"date-parts":[["2021",4]]}}},{"id":4716,"uris":["http://zotero.org/users/5127433/items/9IY7J5XC"],"itemData":{"id":4716,"type":"article-journal","abstract":"Exposure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 </w:instrText>
      </w:r>
      <w:r>
        <w:rPr>
          <w:sz w:val="22"/>
          <w:szCs w:val="22"/>
        </w:rPr>
        <w:fldChar w:fldCharType="separate"/>
      </w:r>
      <w:r>
        <w:rPr>
          <w:sz w:val="22"/>
        </w:rPr>
        <w:t>(Dórea, 2021; Sapbamrer &amp; Hongsibsong, 2019)</w:t>
      </w:r>
      <w:r>
        <w:rPr>
          <w:sz w:val="22"/>
          <w:szCs w:val="22"/>
        </w:rPr>
        <w:fldChar w:fldCharType="end"/>
      </w:r>
      <w:r>
        <w:rPr>
          <w:sz w:val="22"/>
          <w:szCs w:val="22"/>
        </w:rPr>
        <w:t>. Children are more susceptible to the neurotoxic effects of pesticide exposure than adults due to their higher intake of air, food, and water relative to body weight, their proximity to the ground, and exploratory behaviors</w:t>
      </w:r>
      <w:r>
        <w:rPr>
          <w:color w:val="000000"/>
          <w:sz w:val="22"/>
          <w:szCs w:val="22"/>
        </w:rPr>
        <w:t xml:space="preserve"> (Gary et al., 2004) </w:t>
      </w:r>
      <w:r>
        <w:rPr>
          <w:color w:val="000000"/>
          <w:sz w:val="22"/>
          <w:szCs w:val="22"/>
        </w:rPr>
        <w:fldChar w:fldCharType="begin"/>
      </w:r>
      <w:r>
        <w:rPr>
          <w:color w:val="000000"/>
          <w:sz w:val="22"/>
          <w:szCs w:val="22"/>
        </w:rPr>
        <w:instrText xml:space="preserve"> ADDIN ZOTERO_ITEM CSL_CITATION {"citationID":"tStkVliJ","properties":{"formattedCitation":"(Eskenazi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 </w:instrText>
      </w:r>
      <w:r>
        <w:rPr>
          <w:color w:val="000000"/>
          <w:sz w:val="22"/>
          <w:szCs w:val="22"/>
        </w:rPr>
        <w:fldChar w:fldCharType="separate"/>
      </w:r>
      <w:r>
        <w:rPr>
          <w:sz w:val="22"/>
        </w:rPr>
        <w:t>(Eskenazi et al., 2007)</w:t>
      </w:r>
      <w:r>
        <w:rPr>
          <w:color w:val="000000"/>
          <w:sz w:val="22"/>
          <w:szCs w:val="22"/>
        </w:rPr>
        <w:fldChar w:fldCharType="end"/>
      </w:r>
      <w:r>
        <w:rPr>
          <w:color w:val="000000"/>
          <w:sz w:val="22"/>
          <w:szCs w:val="22"/>
        </w:rPr>
        <w:t>.</w:t>
      </w:r>
      <w:r>
        <w:rPr>
          <w:color w:val="000000"/>
          <w:sz w:val="22"/>
          <w:szCs w:val="22"/>
          <w:highlight w:val="white"/>
        </w:rPr>
        <w:t xml:space="preserve"> </w:t>
      </w:r>
      <w:r>
        <w:rPr>
          <w:sz w:val="22"/>
          <w:szCs w:val="22"/>
        </w:rPr>
        <w:t xml:space="preserve">Associations between pesticide exposure with neurobehavioral performance has primarily been observed for attention, motor function and inhibition domains </w:t>
      </w:r>
      <w:r>
        <w:rPr>
          <w:sz w:val="22"/>
          <w:szCs w:val="22"/>
        </w:rPr>
        <w:fldChar w:fldCharType="begin"/>
      </w:r>
      <w:r>
        <w:rPr>
          <w:sz w:val="22"/>
          <w:szCs w:val="22"/>
        </w:rPr>
        <w:instrText xml:space="preserve"> ADDIN ZOTERO_ITEM CSL_CITATION {"citationID":"AvX9k6ro","properties":{"formattedCitation":"(Burns et al., 2013; Eskenazi et al., 2007; Ismail et al., 2017; Marks et al., 2010; Mu\\uc0\\u241{}oz-Quezada et al., 2013; Rosas &amp; Eskenazi, 2008; S\\uc0\\u225{}nchez Lizardi et al., 2008; Shelton et al., 2014; Suarez-Lopez et al., 2013; Wagner-Schuman et al., 2015)","plainCitation":"(Burns et al., 2013; Eskenazi et al., 2007; Ismail et al., 2017; Marks et al., 2010; Muñoz-Quezada et al., 2013; Rosas &amp; Eskenazi, 2008; Sánchez Lizardi et al., 2008; Shelton et al., 2014; Suarez-Lopez et al., 2013; Wagner-Schuman et al., 2015)","noteIndex":0},"citationItems":[{"id":4670,"uris":["http://zotero.org/users/5127433/items/R464GVU6"],"itemData":{"id":4670,"type":"article-journal","abstract":"Assessment of whether pesticide exposure is associated with neurodevelopmental outcomes in children can best be addressed with a systematic review of both the human and animal peer-reviewed literature. This review analyzed epidemiologic studies testing the hypothesis that exposure to pesticides during pregnancy and/or early childhood is associated with neurodevelopmental outcomes in children. Studies that directly queried pesticide exposure (e.g., via questionnaire or interview) or measured pesticide or metabolite levels in biological specimens from study participants (e.g., blood, urine, etc.) or their immediate environment (e.g., personal air monitoring, home dust samples, etc.) were eligible for inclusion. Consistency, strength of association, and dose response were key elements of the framework utilized for evaluating epidemiologic studies. As a whole, the epidemiologic studies did not strongly implicate any particular pesticide as being causally related to adverse neurodevelopmental outcomes in infants and children. A few associations were unique for a health outcome and specific pesticide, and alternative hypotheses could not be ruled out. Our survey of the in vivo peer-reviewed published mammalian literature focused on effects of the specific active ingredient of pesticides on functional neurodevelopmental endpoints (i.e., behavior, neuropharmacology and neuropathology). In most cases, effects were noted at dose levels within the same order of magnitude or higher compared to the point of departure used for chronic risk assessments in the United States. Thus, although the published animal studies may have characterized potential neurodevelopmental outcomes using endpoints not required by guideline studies, the effects were generally observed at or above effect levels measured in repeated-dose toxicology studies submitted to the U.S. Environmental Protection Agency (EPA). Suggestions for improved exposure assessment in epidemiology studies and more effective and tiered approaches in animal testing are discussed.","container-title":"Journal of Toxicology and Environmental Health, Part B","DOI":"10.1080/10937404.2013.783383","ISSN":"1093-7404","issue":"3-4","note":"publisher: Taylor &amp; Francis\n_eprint: https://doi.org/10.1080/10937404.2013.783383\nPMID: 23777200","page":"127–283","source":"Taylor and Francis+NEJM","title":"Pesticide Exposure and Neurodevelopmental Outcomes: Review of the Epidemiologic and Animal Studies","title-short":"Pesticide Exposure and Neurodevelopmental Outcomes","volume":"16","author":[{"family":"Burns","given":"Carol J."},{"family":"McIntosh","given":"Laura J."},{"family":"Mink","given":"Pamela J."},{"family":"Jurek","given":"Anne M."},{"family":"Li","given":"Abby A."}],"issued":{"date-parts":[["2013",4,1]]}}},{"id":4678,"uris":["http://zotero.org/users/5127433/items/Z6AEBYRE"],"itemData":{"id":4678,"type":"article-journal","abstract":"BackgroundOrganophosphate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P."}],"issued":{"date-parts":[["2007",5]]}}},{"id":4695,"uris":["http://zotero.org/users/5127433/items/ENGJ8VZU"],"itemData":{"id":4695,"type":"article-journal","abstract":"Egyptian adolescents are hired as seasonal workers to apply pesticides to the cotton crop and may perform this occupation for several years. However, few studies examined the effects of repeated pesticide exposure on health outcomes The goal of this study was to determine the impact of repeated pesticide exposure on neurobehavioral (NB) performance and biomarkers of exposure (urinary metabolite) and effect (cholinesterase activity). Eighty-four adolescents from two field stations in Menoufia, Egypt, were examined four times: before and during pesticide application season in 2010 and again before and during application season in 2011. At each of the four time points, participants completed a questionnaire, performed an NB test battery, and were assessed for urinary levels of the chlorpyrifos metabolite TCPy (3,5,6-trichloro-2-pyridinol) and blood cholinesterase activity. Following the study cohort over two consecutive pesticide application seasons revealed that TCPy levels significantly increased following exposure, and returned to baseline levels following the end of the application season. Blood butyryl cholinesterase activity exhibited a similar pattern. Although NB outcomes displayed learning and practice effects over time, deficits in performance were significantly associated with increased TCPy levels with reduction in the number of NB measures showing improvement over time. Biomarkers of exposure and effect demonstrated changes associated with pesticide application and recovery after application ended. Deficits in NB performance were correlated with elevated pesticide exposure. Data demonstrated that repeated pesticide exposure may exert a long-term adverse impact on human health.","container-title":"Journal of Toxicology and Environmental Health, Part A","DOI":"10.1080/15287394.2017.1362612","ISSN":"1528-7394","issue":"10-12","note":"publisher: Taylor &amp; Francis\n_eprint: https://doi.org/10.1080/15287394.2017.1362612\nPMID: 28880741","page":"542–555","source":"Taylor and Francis+NEJM","title":"The impact of repeated organophosphorus pesticide exposure on biomarkers and neurobehavioral outcomes among adolescent pesticide applicators","volume":"80","author":[{"family":"Ismail","given":"Ahmed A."},{"family":"Wang","given":"Kai"},{"family":"Olson","given":"James R."},{"family":"Bonner","given":"Matthew R."},{"family":"Hendy","given":"Olfat"},{"family":"Abdel Rasoul","given":"Gaafar"},{"family":"Rohlman","given":"Diane S."}],"issued":{"date-parts":[["2017",6,18]]}}},{"id":4708,"uris":["http://zotero.org/users/5127433/items/UTHMMJC5"],"itemData":{"id":4708,"type":"article-journal","abstract":"BackgroundExposure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4711,"uris":["http://zotero.org/users/5127433/items/PVIZFQPJ"],"itemData":{"id":4711,"type":"article-journal","container-title":"Neurotoxicology","DOI":"10.1016/j.neuro.2013.09.003","journalAbbreviation":"Neurotoxicology","source":"ResearchGate","title":"Neurodevelopmental effects in children associated with exposure to organophosphate pesticides: A systematic review","title-short":"Neurodevelopmental effects in children associated with exposure to organophosphate pesticides","volume":"39","author":[{"family":"Muñoz-Quezada","given":"María"},{"family":"Lucero","given":"Boris"},{"family":"Barr","given":"Dana"},{"family":"Steenland","given":"Kyle"},{"family":"Levy","given":"Karen"},{"family":"Ryan","given":"P."},{"family":"Iglesias","given":"Verónica"},{"family":"Alvarado Orellana","given":"Sergio A."},{"family":"Concha","given":"Carlos"},{"family":"Rojas","given":"Evelyn"},{"family":"Vega","given":"Catalina"}],"issued":{"date-parts":[["2013",10,9]]}}},{"id":4714,"uris":["http://zotero.org/users/5127433/items/KV2NDM4M"],"itemData":{"id":4714,"type":"article-journal","abstract":"Purpose of review \n          This review summarizes the recent research on pesticide exposure and child neurobehavioral development with a focus on in-utero exposure to organochlorine and organophosphate pesticides.\n          Recent findings \n          Recent studies on in-utero exposure to the organochlorine pesticide dichlorodiphenyltrichloroethane and its breakdown product, dichlorodiphenyldichloroethene, indicate that exposure is associated with poorer infant (6 months and older) and child neurodevelopment. Yet, the studies differ on the domain of development that is affected. Research on organophosphate pesticide exposure and neurodevelopment is limited but suggests some negative association of exposure and neurodevelopment at certain ages. Two reports agree that increased levels of organophosphate exposure in utero result in greater numbers of abnormal reflexes in neonates and studies in older infants and young children also point to a negative association with development. In young children (2–3 years) two separate studies observed an increase in maternally reported pervasive developmental disorder with increased levels of organophosphate exposure.\n          Summary \n          Given that the literature suggests a link between organochlorine and in-utero pesticide exposure and impaired child neurodevelopment, clinicians should educate parents about prevention of exposure, especially in populations living in agricultural areas or where household use is common.","container-title":"Current Opinion in Pediatrics","DOI":"10.1097/MOP.0b013e3282f60a7d","ISSN":"1040-8703","issue":"2","language":"en-US","page":"191","source":"journals.lww.com","title":"Pesticides and child neurodevelopment","volume":"20","author":[{"family":"Rosas","given":"Lisa G."},{"family":"Eskenazi","given":"Brenda"}],"issued":{"date-parts":[["2008",4]]}}},{"id":4703,"uris":["http://zotero.org/users/5127433/items/GRSAFXT6"],"itemData":{"id":4703,"type":"article-journal","abstract":"Objective This study investigates the effects of Organophosphate (OP) pesticides exposure on the cognitive and behavioral functioning of Hispanic children living in an agricultural community. Methods Forty-eight children were administered a battery of cognitive measures, and their parents and teachers completed behavior rating scales. Children provided a urine sample for analysis of OP pesticides metabolites. Results All children had a detectable level of at least one OP pesticide metabolite. Higher OP pesticide metabolite concentration levels were significantly correlated with poorer performance on some subtests of the Wisconsin Card Sorting Test. However, the significance of this association was dependent upon the inclusion of two samples with noticeable higher OP pesticide metabolite concentration levels. Conclusions Short-term OP pesticide exposure seems to have deleterious effects on children's speed of attention, sequencing, mental flexibility, visual search, concept formation, and conceptual flexibility. This study is among a relatively small number of studies investigating an extremely complex problem. Limitations and suggestions for future studies are discussed.","container-title":"Journal of Pediatric Psychology","DOI":"10.1093/jpepsy/jsm047","ISSN":"0146-8693","issue":"1","journalAbbreviation":"Journal of Pediatric Psychology","page":"91-101","source":"Silverchair","title":"The Effects of Organophosphate Pesticide Exposure on Hispanic Children's Cognitive and Behavioral Functioning","volume":"33","author":[{"family":"Sánchez Lizardi","given":"Patricia"},{"family":"O'Rourke","given":"Mary Kay"},{"family":"Morris","given":"Richard J."}],"issued":{"date-parts":[["2008",1,1]]}}},{"id":4718,"uris":["http://zotero.org/users/5127433/items/J34QF8P2"],"itemData":{"id":4718,"type":"article-journal","abstract":"Background: Gestational exposure to several common agricultural pesticides can induce developmental neurotoxicity in humans, and has been associated with developmental delay and autism.Objectives: We evaluated whether residential proximity to agricultural pesticides during pregnancy is associated with autism spectrum disorders (ASD) or developmental delay (DD) in the Childhood Autism Risks from Genetics and Environment (CHARGE) study.Methods: The CHARGE study is a population-based case–control study of ASD, DD, and typical development. For 970 participants, commercial pesticide application data from the California Pesticide Use Report (1997–2008) were linked to the addresses during pregnancy. Pounds of active ingredient applied for organophophates, organochlorines, pyrethroids, and carbamates were aggregated within 1.25-km, 1.5-km, and 1.75-km buffer distances from the home. Multinomial logistic regression was used to estimate the odds ratio (OR) of exposure comparing confirmed cases of ASD (n = 486) or DD (n = 168) with typically developing referents (n = 316).Results: Approximately one-third of CHARGE study mothers lived, during pregnancy, within 1.5 km (just under 1 mile) of an agricultural pesticide application. Proximity to organophosphates at some point during gestation was associated with a 60% increased risk for ASD, higher for third-trimester exposures (OR = 2.0; 95% CI: 1.1, 3.6), and second-trimester chlorpyrifos applications (OR = 3.3; 95% CI: 1.5, 7.4). Children of mothers residing near pyrethroid insecticide applications just before conception or during third trimester were at greater risk for both ASD and DD, with ORs ranging from 1.7 to 2.3. Risk for DD was increased in those near carbamate applications, but no specific vulnerable period was identified.Conclusions: This study of ASD strengthens the evidence linking neurodevelopmental disorders with gestational pesticide exposures, particularly organophosphates, and provides novel results of ASD and DD associations with, respectively, pyrethroids and carbamates.Citation: Shelton JF, Geraghty EM, Tancredi DJ, Delwiche LD, Schmidt RJ, Ritz B, Hansen RL, Hertz-Picciotto I. 2014. Neurodevelopmental disorders and prenatal residential proximity to agricultural pesticides: the CHARGE study. Environ Health Perspect 122:1103–1109; https://doi.org/10.1289/ehp.1307044","container-title":"Environmental Health Perspectives","DOI":"10.1289/ehp.1307044","issue":"10","note":"publisher: Environmental Health Perspectives","page":"1103-1109","source":"ehp.niehs.nih.gov (Atypon)","title":"Neurodevelopmental Disorders and Prenatal Residential Proximity to Agricultural Pesticides: The CHARGE Study","title-short":"Neurodevelopmental Disorders and Prenatal Residential Proximity to Agricultural Pesticides","volume":"122","author":[{"family":"Shelton","given":"Janie F."},{"family":"Geraghty","given":"Estella M."},{"family":"Tancredi","given":"Daniel J."},{"family":"Delwiche","given":"Lora D."},{"family":"Schmidt","given":"Rebecca J."},{"family":"Ritz","given":"Beate"},{"family":"Hansen","given":"Robin L."},{"family":"Hertz-Picciotto","given":"Irva"}],"issued":{"date-parts":[["2014",10]]}}},{"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R."}],"issued":{"date-parts":[["2013"]]}}},{"id":4740,"uris":["http://zotero.org/users/5127433/items/QWS2DVXM"],"itemData":{"id":4740,"type":"article-journal","abstract":"Pyrethroid pesticides cause abnormalities in the dopamine system and produce an ADHD phenotype in animal models, with effects accentuated in males versus females. However, data regarding behavioral effects of pyrethroid exposure in children is limited. We examined the association between pyrethroid pesticide exposure and ADHD in a nationally representative sample of US children, and tested whether this association differs by sex.","container-title":"Environmental Health","DOI":"10.1186/s12940-015-0030-y","ISSN":"1476-069X","issue":"1","journalAbbreviation":"Environmental Health","page":"44","source":"BioMed Central","title":"Association of pyrethroid pesticide exposure with attention-deficit/hyperactivity disorder in a nationally representative sample of U.S. children","volume":"14","author":[{"family":"Wagner-Schuman","given":"Melissa"},{"family":"Richardson","given":"Jason R."},{"family":"Auinger","given":"Peggy"},{"family":"Braun","given":"Joseph M."},{"family":"Lanphear","given":"Bruce P."},{"family":"Epstein","given":"Jeffery N."},{"family":"Yolton","given":"Kimberly"},{"family":"Froehlich","given":"Tanya E."}],"issued":{"date-parts":[["2015",5,28]]}}}],"schema":"https://github.com/citation-style-language/schema/raw/master/csl-citation.json"} </w:instrText>
      </w:r>
      <w:r>
        <w:rPr>
          <w:sz w:val="22"/>
          <w:szCs w:val="22"/>
        </w:rPr>
        <w:fldChar w:fldCharType="separate"/>
      </w:r>
      <w:r>
        <w:rPr>
          <w:sz w:val="22"/>
        </w:rPr>
        <w:t>(Burns et al., 2013; Eskenazi et al., 2007; Ismail et al., 2017; Marks et al., 2010; Muñoz-Quezada et al., 2013; Rosas &amp; Eskenazi, 2008; Sánchez Lizardi et al., 2008; Shelton et al., 2014; Suarez-Lopez et al., 2013; Wagner-Schuman et al., 2015)</w:t>
      </w:r>
      <w:r>
        <w:rPr>
          <w:sz w:val="22"/>
          <w:szCs w:val="22"/>
        </w:rPr>
        <w:fldChar w:fldCharType="end"/>
      </w:r>
      <w:r>
        <w:rPr>
          <w:sz w:val="22"/>
          <w:szCs w:val="22"/>
        </w:rPr>
        <w:t>. A review of studies examining the association between pyrethroid exposure and neurobehavioral, neuromotor, and neurocognitive functions in agricultural workers and their children found that eight out of twelve studies reported adverse effects, particularly in the domains of attention, processing speed (related to hand-eye coordination), and motor coordination</w:t>
      </w:r>
      <w:r>
        <w:rPr>
          <w:color w:val="C00000"/>
          <w:sz w:val="22"/>
          <w:szCs w:val="22"/>
          <w:highlight w:val="white"/>
        </w:rPr>
        <w:t xml:space="preserve"> </w:t>
      </w:r>
      <w:r>
        <w:rPr>
          <w:color w:val="C00000"/>
          <w:sz w:val="22"/>
          <w:szCs w:val="22"/>
          <w:highlight w:val="white"/>
        </w:rPr>
        <w:fldChar w:fldCharType="begin"/>
      </w:r>
      <w:r>
        <w:rPr>
          <w:color w:val="C00000"/>
          <w:sz w:val="22"/>
          <w:szCs w:val="22"/>
          <w:highlight w:val="white"/>
        </w:rPr>
        <w:instrText xml:space="preserve"> ADDIN ZOTERO_ITEM CSL_CITATION {"citationID":"Ro6mfHlN","properties":{"formattedCitation":"(Lucero &amp; Mu\\uc0\\u241{}oz-Quezada, 2021)","plainCitation":"(Lucero &amp; Muñoz-Quezada, 2021)","noteIndex":0},"citationItems":[{"id":4701,"uris":["http://zotero.org/users/5127433/items/BEN323T7"],"itemData":{"id":4701,"type":"article-journal","abstract":"In recent years, pyrethroids have emerged as the least toxic alternative to combat insect pests, however, some laboratory studies and in children show that they present degrees of toxicity and neurobehavioral effects similar to other pesticides such as organophosphates. The purpose of this review is to systematize and analyze the epidemiological scientific evidence from the PubMed database on the effects of occupational exposure to pyrethroid pesticides on the neurobehavioral and neurocognitive functioning of agricultural workers. The results show that in 66% of the studies reviewed (n = 9), agricultural workers or their children occupationally exposed to pyrethroid pesticides have a higher risk of presenting difficulties in their neurocognitive or neurobehavioral performance, mainly associated with attention and speed problems processing. Although the research presented in this review is few, the level of quality of the studies and the evidence collected provide antecedents that confirm risk in the neurocognitive health of agricultural workers due to occupational exposure to pyrethroids. More research is required associated with the subject, regulating the sale, training workers and monitoring possible risks to human health.","container-title":"Frontiers in Human Neuroscience","DOI":"10.3389/fnhum.2021.648171","ISSN":"1662-5161","journalAbbreviation":"Front. Hum. Neurosci.","language":"English","note":"publisher: Frontiers","source":"Frontiers","title":"Neurobehavioral, Neuromotor, and Neurocognitive Effects in Agricultural Workers and Their Children Exposed to Pyrethroid Pesticides: A Review","title-short":"Neurobehavioral, Neuromotor, and Neurocognitive Effects in Agricultural Workers and Their Children Exposed to Pyrethroid Pesticides","URL":"https://www.frontiersin.org/articles/10.3389/fnhum.2021.648171","volume":"15","author":[{"family":"Lucero","given":"Boris"},{"family":"Muñoz-Quezada","given":"María Teresa"}],"accessed":{"date-parts":[["2024",6,7]]},"issued":{"date-parts":[["2021",7,16]]}}}],"schema":"https://github.com/citation-style-language/schema/raw/master/csl-citation.json"} </w:instrText>
      </w:r>
      <w:r>
        <w:rPr>
          <w:color w:val="C00000"/>
          <w:sz w:val="22"/>
          <w:szCs w:val="22"/>
          <w:highlight w:val="white"/>
        </w:rPr>
        <w:fldChar w:fldCharType="separate"/>
      </w:r>
      <w:r>
        <w:rPr>
          <w:sz w:val="22"/>
        </w:rPr>
        <w:t>(Lucero &amp; Muñoz-Quezada, 2021)</w:t>
      </w:r>
      <w:r>
        <w:rPr>
          <w:color w:val="C00000"/>
          <w:sz w:val="22"/>
          <w:szCs w:val="22"/>
          <w:highlight w:val="white"/>
        </w:rPr>
        <w:fldChar w:fldCharType="end"/>
      </w:r>
      <w:r>
        <w:rPr>
          <w:sz w:val="22"/>
          <w:szCs w:val="22"/>
          <w:highlight w:val="white"/>
        </w:rPr>
        <w:t xml:space="preserve">. Results from a study on organophosphate (OP) pesticide exposure in Latino children living in </w:t>
      </w:r>
      <w:commentRangeStart w:id="6"/>
      <w:r>
        <w:rPr>
          <w:sz w:val="22"/>
          <w:szCs w:val="22"/>
          <w:highlight w:val="white"/>
        </w:rPr>
        <w:t xml:space="preserve">orchard communities in the Pacific Northwest of the United States </w:t>
      </w:r>
      <w:commentRangeEnd w:id="6"/>
      <w:r>
        <w:commentReference w:id="6"/>
      </w:r>
      <w:r>
        <w:rPr>
          <w:sz w:val="22"/>
          <w:szCs w:val="22"/>
          <w:highlight w:val="white"/>
        </w:rPr>
        <w:t xml:space="preserve">suggest that greater OP exposure in children who grow up with an agricultural worker was associated with less improvement over time in neurobehavioral performance on motor function compared to non-agricultural children with lower OP exposure, measured in household dust samples </w:t>
      </w:r>
      <w:r>
        <w:rPr>
          <w:sz w:val="22"/>
          <w:szCs w:val="22"/>
          <w:highlight w:val="white"/>
        </w:rPr>
        <w:fldChar w:fldCharType="begin"/>
      </w:r>
      <w:r>
        <w:rPr>
          <w:sz w:val="22"/>
          <w:szCs w:val="22"/>
          <w:highlight w:val="white"/>
        </w:rPr>
        <w:instrText xml:space="preserve"> ADDIN ZOTERO_ITEM CSL_CITATION {"citationID":"K3sEKiLP","properties":{"formattedCitation":"(Butler-Dawson et al., 2016)","plainCitation":"(Butler-Dawson et al., 2016)","noteIndex":0},"citationItems":[{"id":4672,"uris":["http://zotero.org/users/5127433/items/HQ357MHN"],"itemData":{"id":4672,"type":"article-journal","abstract":"Children living in agricultural communities have a greater risk from pesticides due to para-occupational pathways. The goal of this study was to assess the impact of exposure to organophosphorus pesticides on the neurobehavioral performance of school-aged Latino children over time. Two exposure measures were used to estimate children’s pesticide exposure: parent's occupation (agricultural or non-agricultural) and organophosphate residues in home carpet dust samples. During 2008–2011, 206 school-aged children completed a battery of neurobehavioral tests two times, approximately one year apart. The associations between both exposure measures and neurobehavioral performance were examined. Pesticide residues were detected in dust samples from both agricultural and non-agricultural homes, however, pesticides were detected more frequently and in higher concentrations in agricultural homes compared to non-agricultural homes. Although few differences were found between agricultural and non-agricultural children at both visits, deficits in learning from the first visit to the second visit, or less improvement, was found in agricultural children relative to non-agricultural children. These differences were significant for the Divided Attention and Purdue Pegboard tests. These findings are consistent with previous research showing deficits in motor function. A summary measure of organophosphate residues was not associated with neurobehavioral performance. Results from this study indicate that children in agricultural communities are at increased risk from pesticides as a result of a parent working in agricultural. Our findings suggest that organophosphate exposure may be associated with deficits in learning on neurobehavioral performance, particularly in tests of with motor function. In spite of regulatory phasing out of organophosphates in the U.S., we still see elevated levels and higher detection rates of several organophosphates in agricultural households than non-agricultural households, albeit lower levels than prior studies.","container-title":"NeuroToxicology","DOI":"10.1016/j.neuro.2016.01.009","ISSN":"0161-813X","journalAbbreviation":"NeuroToxicology","page":"165-172","source":"ScienceDirect","title":"Organophosphorus pesticide exposure and neurobehavioral performance in Latino children living in an orchard community","volume":"53","author":[{"family":"Butler-Dawson","given":"Jaime"},{"family":"Galvin","given":"Kit"},{"family":"Thorne","given":"Peter S."},{"family":"Rohlman","given":"Diane S."}],"issued":{"date-parts":[["2016",3,1]]}}}],"schema":"https://github.com/citation-style-language/schema/raw/master/csl-citation.json"} </w:instrText>
      </w:r>
      <w:r>
        <w:rPr>
          <w:sz w:val="22"/>
          <w:szCs w:val="22"/>
          <w:highlight w:val="white"/>
        </w:rPr>
        <w:fldChar w:fldCharType="separate"/>
      </w:r>
      <w:r>
        <w:rPr>
          <w:sz w:val="22"/>
          <w:highlight w:val="white"/>
        </w:rPr>
        <w:t>(Butler-Dawson et al., 2016)</w:t>
      </w:r>
      <w:r>
        <w:rPr>
          <w:sz w:val="22"/>
          <w:szCs w:val="22"/>
          <w:highlight w:val="white"/>
        </w:rPr>
        <w:fldChar w:fldCharType="end"/>
      </w:r>
      <w:r>
        <w:rPr>
          <w:sz w:val="22"/>
          <w:szCs w:val="22"/>
          <w:highlight w:val="white"/>
        </w:rPr>
        <w:t>.</w:t>
      </w:r>
      <w:r>
        <w:rPr>
          <w:color w:val="C00000"/>
          <w:sz w:val="22"/>
          <w:szCs w:val="22"/>
        </w:rPr>
        <w:t xml:space="preserve"> </w:t>
      </w:r>
      <w:r>
        <w:rPr>
          <w:color w:val="000000" w:themeColor="text1"/>
          <w:sz w:val="22"/>
          <w:szCs w:val="22"/>
        </w:rPr>
        <w:t>Lastly, children who had been hospitalized due to a single acute OP pesticide poisoning during infancy showed deficits in inhibitory control compared to children with no OP poisoning events (</w:t>
      </w:r>
      <w:r>
        <w:rPr>
          <w:sz w:val="22"/>
        </w:rPr>
        <w:t>Kofman et al., 2006)</w:t>
      </w:r>
      <w:r>
        <w:rPr>
          <w:color w:val="000000" w:themeColor="text1"/>
          <w:sz w:val="22"/>
          <w:szCs w:val="22"/>
        </w:rPr>
        <w:t xml:space="preserve">. </w:t>
      </w:r>
      <w:commentRangeStart w:id="7"/>
      <w:commentRangeStart w:id="8"/>
      <w:r>
        <w:rPr>
          <w:color w:val="000000" w:themeColor="text1"/>
          <w:sz w:val="22"/>
          <w:szCs w:val="22"/>
        </w:rPr>
        <w:t xml:space="preserve">Inhibitory control is the ability to purposely inhibit a prepotent response that will not have valuable results and release another response on cue (e.g. think before acting) (Kang et al., 2022). </w:t>
      </w:r>
      <w:commentRangeEnd w:id="7"/>
      <w:commentRangeEnd w:id="8"/>
      <w:r>
        <w:commentReference w:id="7"/>
      </w:r>
      <w:r>
        <w:commentReference w:id="8"/>
      </w:r>
      <w:r>
        <w:rPr>
          <w:color w:val="000000" w:themeColor="text1"/>
          <w:sz w:val="22"/>
          <w:szCs w:val="22"/>
        </w:rPr>
        <w:t xml:space="preserve"> </w:t>
      </w:r>
    </w:p>
    <w:p w14:paraId="5809CBC1" w14:textId="77777777" w:rsidR="0054280C" w:rsidRDefault="0054280C" w:rsidP="00C441B8">
      <w:pPr>
        <w:ind w:firstLine="720"/>
        <w:jc w:val="both"/>
        <w:rPr>
          <w:sz w:val="22"/>
          <w:szCs w:val="22"/>
        </w:rPr>
      </w:pPr>
    </w:p>
    <w:p w14:paraId="0ADA86AE" w14:textId="77777777" w:rsidR="0054280C" w:rsidRDefault="00B71134">
      <w:pPr>
        <w:ind w:firstLine="720"/>
        <w:jc w:val="both"/>
        <w:rPr>
          <w:sz w:val="22"/>
          <w:szCs w:val="22"/>
        </w:rPr>
      </w:pPr>
      <w:commentRangeStart w:id="9"/>
      <w:r>
        <w:rPr>
          <w:color w:val="000000"/>
          <w:sz w:val="22"/>
          <w:szCs w:val="22"/>
        </w:rPr>
        <w:t xml:space="preserve">OPs are used extensively in agriculture. Studies of animals and adult humans suggest OPs are neurodevelopmental toxicants </w:t>
      </w:r>
      <w:r>
        <w:rPr>
          <w:color w:val="000000"/>
          <w:sz w:val="22"/>
          <w:szCs w:val="22"/>
        </w:rPr>
        <w:fldChar w:fldCharType="begin"/>
      </w:r>
      <w:r>
        <w:rPr>
          <w:color w:val="000000"/>
          <w:sz w:val="22"/>
          <w:szCs w:val="22"/>
        </w:rPr>
        <w:instrText xml:space="preserve"> ADDIN ZOTERO_ITEM CSL_CITATION {"citationID":"1hE02Kkt","properties":{"formattedCitation":"(Gonz\\uc0\\u225{}lez-Alzaga et al., 2014)","plainCitation":"(González-Alzaga et al., 2014)","noteIndex":0},"citationItems":[{"id":4793,"uris":["http://zotero.org/users/5127433/items/5YGVC84J"],"itemData":{"id":4793,"type":"article-journal","abstract":"Agricultural and residential use of organophosphate (OP) pesticides has increased in recent decades after banning some persistent pesticides. Although there is evidence of the effects of OPs on neurodevelopment and behaviour in adults, limited information is available about their effects in children, who might be more vulnerable to neurotoxic compounds. This paper was aimed at analysing the scientific evidence published to date on potential neurodevelopmental and behavioural effects of prenatal and postnatal exposure to OPs. A systematic review was undertaken to identify original articles published up to December 2012 evaluating prenatal or postnatal exposure to OPs in children and effects on neurodevelopment and/or behaviour. Articles were critically compared, focusing on the methodology used to assess exposure and adverse effects, as well as potential contributing factors that may modify both exposure and outcomes, such as genetic susceptibility to certain enzymes involved in OPs metabolisation (e.g. paraoxonase-1) and gender differences. Twenty articles met the inclusion criteria, 7 of which evaluated prenatal exposure to OPs, 8 postnatal exposure and 5 both pre- and postnatal exposure. Most of the studies evaluating prenatal exposure observed a negative effect on mental development and an increase in attention problems in preschool and school children. The evidence on postnatal exposure is less consistent, although 2 studies found an increase in reaction time in schoolchildren. Some paraoxonase-1 polymorphisms could enhance the association between OPs exposure and mental and psychomotor development. A large variability in epidemiological designs and methodologies used for assessing exposure and outcome was observed across the different studies, which made comparisons difficult. Prenatal and to a lesser extent postnatal exposure to OPs may contribute to neurodevelopmental and behavioural deficits in preschool and school children. Standardised methodologies are needed to allow results to be better compared and to perform a quantitative meta-analysis before drawing any final conclusions.","collection-title":"Environmental contaminants and target organ toxicities","container-title":"Toxicology Letters","DOI":"10.1016/j.toxlet.2013.11.019","ISSN":"0378-4274","issue":"2","journalAbbreviation":"Toxicology Letters","page":"104-121","source":"ScienceDirect","title":"A systematic review of neurodevelopmental effects of prenatal and postnatal organophosphate pesticide exposure","volume":"230","author":[{"family":"González-Alzaga","given":"B."},{"family":"Lacasaña","given":"M."},{"family":"Aguilar-Garduño","given":"C."},{"family":"Rodríguez-Barranco","given":"M."},{"family":"Ballester","given":"F."},{"family":"Rebagliato","given":"M."},{"family":"Hernández","given":"A. F."}],"issued":{"date-parts":[["2014",10,15]]}}}],"schema":"https://github.com/citation-style-language/schema/raw/master/csl-citation.json"} </w:instrText>
      </w:r>
      <w:r>
        <w:rPr>
          <w:color w:val="000000"/>
          <w:sz w:val="22"/>
          <w:szCs w:val="22"/>
        </w:rPr>
        <w:fldChar w:fldCharType="separate"/>
      </w:r>
      <w:r>
        <w:rPr>
          <w:sz w:val="22"/>
        </w:rPr>
        <w:t>(González-Alzaga et al., 2014)</w:t>
      </w:r>
      <w:r>
        <w:rPr>
          <w:color w:val="000000"/>
          <w:sz w:val="22"/>
          <w:szCs w:val="22"/>
        </w:rPr>
        <w:fldChar w:fldCharType="end"/>
      </w:r>
      <w:r>
        <w:rPr>
          <w:color w:val="000000"/>
          <w:sz w:val="22"/>
          <w:szCs w:val="22"/>
        </w:rPr>
        <w:t xml:space="preserve">. A </w:t>
      </w:r>
      <w:r>
        <w:rPr>
          <w:color w:val="000000"/>
          <w:sz w:val="22"/>
          <w:szCs w:val="22"/>
          <w:highlight w:val="white"/>
        </w:rPr>
        <w:t xml:space="preserve">cohort study of Latino farmworker families in the Salinas Valley of California, </w:t>
      </w:r>
      <w:r>
        <w:rPr>
          <w:sz w:val="22"/>
          <w:szCs w:val="22"/>
          <w:highlight w:val="white"/>
        </w:rPr>
        <w:t>found emotional and behavioral problems in childhood after prenatal expo</w:t>
      </w:r>
      <w:commentRangeEnd w:id="9"/>
      <w:r>
        <w:commentReference w:id="9"/>
      </w:r>
      <w:r>
        <w:rPr>
          <w:sz w:val="22"/>
          <w:szCs w:val="22"/>
          <w:highlight w:val="white"/>
        </w:rPr>
        <w:t xml:space="preserve">sure to OPs </w:t>
      </w:r>
      <w:r>
        <w:rPr>
          <w:sz w:val="22"/>
          <w:szCs w:val="22"/>
          <w:highlight w:val="white"/>
        </w:rPr>
        <w:fldChar w:fldCharType="begin"/>
      </w:r>
      <w:r>
        <w:rPr>
          <w:sz w:val="22"/>
          <w:szCs w:val="22"/>
          <w:highlight w:val="white"/>
        </w:rPr>
        <w:instrText xml:space="preserve"> ADDIN ZOTERO_ITEM CSL_CITATION {"citationID":"h6X35a9Z","properties":{"formattedCitation":"(Hyland et al., 2021)","plainCitation":"(Hyland et al., 2021)","noteIndex":0},"citationItems":[{"id":4689,"uris":["http://zotero.org/users/5127433/items/UL98L9LG"],"itemData":{"id":4689,"type":"article-journal","abstract":"Background: \n          Studies suggest that exposure to pesticides during pregnancy and early childhood is associated with adverse child neurodevelopment. Research to date has focused primarily on exposure to single pesticides or pesticide classes in isolation; there are little data on the effect of exposure to pesticide mixtures on child and adolescent neurodevelopment.\n          Methods: \n          Using California’s Pesticide Use Reporting database, we estimated agricultural pesticide use within 1 km of the home during the prenatal and postnatal (ages 0–5 years) periods among participants in the Center for the Health Assessment for Mothers and Children of Salinas (CHAMACOS) birth cohort. We implemented a Bayesian Hierarchical linear mixed-effects model to examine associations with maternal- and youth-reported behavioral and emotional problems from the Behavior Assessment System for Children, 2nd edition (BASC-2) at ages 16 and 18 years (n = 593).\n          Results: \n          We observed mostly null associations between pesticide applications and neurobehavioral outcomes. There were some trends of modestly increased internalizing behaviors and attention problems in association with organophosphate insecticide use near the home during the prenatal period. In the postnatal period, a two-fold increase in glyphosate applications was associated with more youth-reported depression (β = 1.2, 95% credible intervals [CrI] = 0.2, 2.2), maternal-reported internalizing behaviors (β = 1.23, 95% CrI = 0.2, 2.3), and anxiety (β = 1.2, 95% CrI = 0.2, 2.3). We observed some protective associations with imidacloprid during the prenatal period, particularly in sex-specific analyses.\n          Conclusions: \n          We found only some subtle associations between some pesticides and neurobehavioral outcomes. This study extends previous work by considering potential exposure to mixtures of pesticides.","container-title":"Environmental Epidemiology","DOI":"10.1097/EE9.0000000000000150","issue":"3","language":"en-US","page":"e150","source":"journals.lww.com","title":"Associations between pesticide mixtures applied near home during pregnancy and early childhood with adolescent behavioral and emotional problems in the CHAMACOS study","volume":"5","author":[{"family":"Hyland","given":"Carly"},{"family":"Bradshaw","given":"Patrick T."},{"family":"Gunier","given":"Robert B."},{"family":"Mora","given":"Ana M."},{"family":"Kogut","given":"Katherine"},{"family":"Deardorff","given":"Julianna"},{"family":"Sagiv","given":"Sharon K."},{"family":"Bradman","given":"Asa"},{"family":"Eskenazi","given":"Brenda"}],"issued":{"date-parts":[["2021",6]]}}}],"schema":"https://github.com/citation-style-language/schema/raw/master/csl-citation.json"} </w:instrText>
      </w:r>
      <w:r>
        <w:rPr>
          <w:sz w:val="22"/>
          <w:szCs w:val="22"/>
          <w:highlight w:val="white"/>
        </w:rPr>
        <w:fldChar w:fldCharType="separate"/>
      </w:r>
      <w:r>
        <w:rPr>
          <w:sz w:val="22"/>
          <w:highlight w:val="white"/>
        </w:rPr>
        <w:t>(Hyland et al., 2021)</w:t>
      </w:r>
      <w:r>
        <w:rPr>
          <w:sz w:val="22"/>
          <w:szCs w:val="22"/>
          <w:highlight w:val="white"/>
        </w:rPr>
        <w:fldChar w:fldCharType="end"/>
      </w:r>
      <w:r>
        <w:rPr>
          <w:sz w:val="22"/>
          <w:szCs w:val="22"/>
          <w:highlight w:val="white"/>
        </w:rPr>
        <w:t>.</w:t>
      </w:r>
      <w:r>
        <w:rPr>
          <w:color w:val="C00000"/>
          <w:sz w:val="22"/>
          <w:szCs w:val="22"/>
          <w:highlight w:val="white"/>
        </w:rPr>
        <w:t xml:space="preserve"> </w:t>
      </w:r>
      <w:proofErr w:type="spellStart"/>
      <w:r>
        <w:rPr>
          <w:sz w:val="22"/>
          <w:szCs w:val="22"/>
          <w:highlight w:val="white"/>
        </w:rPr>
        <w:t>Dialkylphosphate</w:t>
      </w:r>
      <w:proofErr w:type="spellEnd"/>
      <w:r>
        <w:rPr>
          <w:sz w:val="22"/>
          <w:szCs w:val="22"/>
          <w:highlight w:val="white"/>
        </w:rPr>
        <w:t xml:space="preserve"> (DAP) metabolites, a proxy measure for cumulative exposure to OP pesticides, was found to be negatively associated with mental development indices </w:t>
      </w:r>
      <w:r>
        <w:rPr>
          <w:sz w:val="22"/>
          <w:szCs w:val="22"/>
        </w:rPr>
        <w:t>(</w:t>
      </w:r>
      <w:r>
        <w:rPr>
          <w:sz w:val="22"/>
        </w:rPr>
        <w:t>Eskenazi et al.,2007)</w:t>
      </w:r>
      <w:r>
        <w:rPr>
          <w:sz w:val="22"/>
          <w:szCs w:val="22"/>
          <w:highlight w:val="white"/>
        </w:rPr>
        <w:t xml:space="preserve">. Pre- and postnatal DAPs were associated with risk of pervasive developmental disorder at 24 months of age </w:t>
      </w:r>
      <w:r>
        <w:rPr>
          <w:sz w:val="22"/>
          <w:szCs w:val="22"/>
        </w:rPr>
        <w:fldChar w:fldCharType="begin"/>
      </w:r>
      <w:r>
        <w:rPr>
          <w:sz w:val="22"/>
          <w:szCs w:val="22"/>
        </w:rPr>
        <w:instrText xml:space="preserve"> ADDIN ZOTERO_ITEM CSL_CITATION {"citationID":"oDWN9R3H","properties":{"formattedCitation":"(Eskenazi et al., 2007)","plainCitation":"(Eskenazi et al., 2007)","noteIndex":0},"citationItems":[{"id":4678,"uris":["http://zotero.org/users/5127433/items/Z6AEBYRE"],"itemData":{"id":4678,"type":"article-journal","abstract":"BackgroundOrganophosphate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P."}],"issued":{"date-parts":[["2007",5]]}}}],"schema":"https://github.com/citation-style-language/schema/raw/master/csl-citation.json"} </w:instrText>
      </w:r>
      <w:r>
        <w:rPr>
          <w:sz w:val="22"/>
          <w:szCs w:val="22"/>
        </w:rPr>
        <w:fldChar w:fldCharType="separate"/>
      </w:r>
      <w:r>
        <w:rPr>
          <w:sz w:val="22"/>
        </w:rPr>
        <w:t>(Eskenazi et al., 2007)</w:t>
      </w:r>
      <w:r>
        <w:rPr>
          <w:sz w:val="22"/>
          <w:szCs w:val="22"/>
        </w:rPr>
        <w:fldChar w:fldCharType="end"/>
      </w:r>
      <w:r>
        <w:rPr>
          <w:sz w:val="22"/>
          <w:szCs w:val="22"/>
        </w:rPr>
        <w:t xml:space="preserve">. Geospatial analyses in the same population found that children’s </w:t>
      </w:r>
      <w:r>
        <w:rPr>
          <w:color w:val="000000"/>
          <w:sz w:val="22"/>
          <w:szCs w:val="22"/>
          <w:shd w:val="clear" w:color="auto" w:fill="FFFFFF"/>
        </w:rPr>
        <w:t xml:space="preserve">IQ scores decreased with increasing use of OP within 1 km of </w:t>
      </w:r>
      <w:commentRangeStart w:id="10"/>
      <w:r>
        <w:rPr>
          <w:color w:val="000000"/>
          <w:sz w:val="22"/>
          <w:szCs w:val="22"/>
          <w:shd w:val="clear" w:color="auto" w:fill="FFFFFF"/>
        </w:rPr>
        <w:t xml:space="preserve">maternal </w:t>
      </w:r>
      <w:commentRangeEnd w:id="10"/>
      <w:r>
        <w:commentReference w:id="10"/>
      </w:r>
      <w:r>
        <w:rPr>
          <w:color w:val="000000"/>
          <w:sz w:val="22"/>
          <w:szCs w:val="22"/>
          <w:shd w:val="clear" w:color="auto" w:fill="FFFFFF"/>
        </w:rPr>
        <w:t xml:space="preserve">residence during pregnancy </w:t>
      </w:r>
      <w:r>
        <w:rPr>
          <w:color w:val="000000"/>
          <w:sz w:val="22"/>
          <w:szCs w:val="22"/>
          <w:shd w:val="clear" w:color="auto" w:fill="FFFFFF"/>
        </w:rPr>
        <w:fldChar w:fldCharType="begin"/>
      </w:r>
      <w:r>
        <w:rPr>
          <w:color w:val="000000"/>
          <w:sz w:val="22"/>
          <w:szCs w:val="22"/>
          <w:shd w:val="clear" w:color="auto" w:fill="FFFFFF"/>
        </w:rPr>
        <w:instrText xml:space="preserve"> ADDIN ZOTERO_ITEM CSL_CITATION {"citationID":"zQQMkzID","properties":{"formattedCitation":"(Gunier,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shd w:val="clear" w:color="auto" w:fill="FFFFFF"/>
        </w:rPr>
        <w:instrText>𝑛</w:instrText>
      </w:r>
      <w:r>
        <w:rPr>
          <w:color w:val="000000"/>
          <w:sz w:val="22"/>
          <w:szCs w:val="22"/>
          <w:shd w:val="clear" w:color="auto" w:fill="FFFFFF"/>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 </w:instrText>
      </w:r>
      <w:r>
        <w:rPr>
          <w:color w:val="000000"/>
          <w:sz w:val="22"/>
          <w:szCs w:val="22"/>
          <w:shd w:val="clear" w:color="auto" w:fill="FFFFFF"/>
        </w:rPr>
        <w:fldChar w:fldCharType="separate"/>
      </w:r>
      <w:r>
        <w:rPr>
          <w:sz w:val="22"/>
        </w:rPr>
        <w:t>(Gunier, Bradman, Harley, Kogut, et al., 2017)</w:t>
      </w:r>
      <w:r>
        <w:rPr>
          <w:color w:val="000000"/>
          <w:sz w:val="22"/>
          <w:szCs w:val="22"/>
          <w:shd w:val="clear" w:color="auto" w:fill="FFFFFF"/>
        </w:rPr>
        <w:fldChar w:fldCharType="end"/>
      </w:r>
      <w:r>
        <w:rPr>
          <w:color w:val="000000"/>
          <w:sz w:val="22"/>
          <w:szCs w:val="22"/>
          <w:shd w:val="clear" w:color="auto" w:fill="FFFFFF"/>
        </w:rPr>
        <w:t xml:space="preserve">. </w:t>
      </w:r>
    </w:p>
    <w:p w14:paraId="1547A908" w14:textId="77777777" w:rsidR="0054280C" w:rsidRDefault="0054280C">
      <w:pPr>
        <w:rPr>
          <w:color w:val="000000"/>
          <w:sz w:val="22"/>
          <w:szCs w:val="22"/>
        </w:rPr>
      </w:pPr>
    </w:p>
    <w:p w14:paraId="792C5F62" w14:textId="64DEAB1D" w:rsidR="0054280C" w:rsidRDefault="00B71134">
      <w:pPr>
        <w:ind w:firstLine="720"/>
        <w:jc w:val="both"/>
        <w:rPr>
          <w:sz w:val="22"/>
          <w:szCs w:val="22"/>
        </w:rPr>
      </w:pPr>
      <w:r>
        <w:rPr>
          <w:color w:val="000000"/>
          <w:sz w:val="22"/>
          <w:szCs w:val="22"/>
        </w:rPr>
        <w:lastRenderedPageBreak/>
        <w:t xml:space="preserve">Pedro Moncayo County, Ecuador is an agricultural region characterized by intensive floriculture and high densities of rose plantations. Regular use of insecticides (organophosphates, neonicotinoids, and pyrethroids) and fungicides (quinone outside inhibitors, azoles, and </w:t>
      </w:r>
      <w:proofErr w:type="spellStart"/>
      <w:r>
        <w:rPr>
          <w:color w:val="000000"/>
          <w:sz w:val="22"/>
          <w:szCs w:val="22"/>
        </w:rPr>
        <w:t>dithiocarbamates</w:t>
      </w:r>
      <w:proofErr w:type="spellEnd"/>
      <w:r>
        <w:rPr>
          <w:color w:val="000000"/>
          <w:sz w:val="22"/>
          <w:szCs w:val="22"/>
        </w:rPr>
        <w:t xml:space="preserve">) has been documented, making children from agricultural families and those residing near floricultural operations highly susceptible to pesticide exposure </w:t>
      </w:r>
      <w:r>
        <w:rPr>
          <w:color w:val="000000"/>
          <w:sz w:val="22"/>
          <w:szCs w:val="22"/>
        </w:rPr>
        <w:fldChar w:fldCharType="begin"/>
      </w:r>
      <w:r>
        <w:rPr>
          <w:color w:val="000000"/>
          <w:sz w:val="22"/>
          <w:szCs w:val="22"/>
        </w:rPr>
        <w:instrText xml:space="preserve"> ADDIN ZOTERO_ITEM CSL_CITATION {"citationID":"GC3eU1J1","properties":{"formattedCitation":"(Grandjean et al., 2006; Handal et al., 2016; Harari Compilador, 2004; Suarez-Lopez et al., 2017, 2018)","plainCitation":"(Grandjean et al., 2006; Handal et al., 2016; Harari Compilador, 2004; Suarez-Lopez et al., 2017, 2018)","noteIndex":0},"citationItems":[{"id":4743,"uris":["http://zotero.org/users/5127433/items/2RJYIHN5"],"itemData":{"id":4743,"type":"article-journal","container-title":"Pediatrics","DOI":"https://doi.org/10.1542/peds.2005-1781","issue":"3","page":"e546-e556","title":"Pesticide Exposure and Stunting as Independent Predictors of Neurobehavioral Deficits in Ecuadorian School Children | Pediatrics | American Academy of Pediatrics","volume":"117","author":[{"family":"Grandjean","given":"Philippe"},{"family":"Harari","given":"Raul"},{"family":"Barr","given":"Dana B."},{"family":"Debes","given":"Frodi"}],"issued":{"date-parts":[["2006"]]}}},{"id":4685,"uris":["http://zotero.org/users/5127433/items/2XI4MAFP"],"itemData":{"id":4685,"type":"article-journal","abstract":"Few studies have detailed the prenatal pesticide exposure levels of women employed in or residing near large-scale agricultural industries. This study reports pesticide metabolite levels during and shortly after pregnancy in a pilot study of workers in Ecuador. Urine samples were collected for 16 rose workers and 10 nonagricultural workers enrolled into the study in early pregnancy. We measured six nonspecific organophosphatedialkylphosphate (DAP) pesticide metabolites, two alkylenebis-dithiocarbamate pesticide metabolites [ethylene thiourea (ETU) and propylene thiourea (PTU)], 3,5,6-trichloro-2-pyridinol (TCPy), malathion dicarboxylic acid, and two pyrethroid metabolites (2,2-dimethylcyclo propanecarboxylic acid and 3-phenooxybenzoic acid). We collected 141 urine samples (mean: 5.4 per woman). We observed high detection frequencies for five DAP metabolites and ETU, PTU, and TCPy. We report elevated levels of ETU in the entire sample (median 4.24 ng/mL, IQR 2.23, 7.18), suggesting other possible non-occupational pathways of exposure. We found no statistical differences in pesticide levels by current employment status, although the highest pesticide levels were among rose workers. We observed within-woman correlation in TCPy and PTU levels, but not in ETU or DAP levels. The present study is the first to characterize prenatal pesticide exposure levels among working women in Ecuador. Limitations include a small sample size and use of a convenience sample. Strengths include a longitudinal design and multiple urine samples per woman. Results provide an initial characterization of prenatal pesticide exposure levels and how these levels vary over pregnancy in a community impacted by agricultural industry and will inform further studies in the region.","container-title":"Archives of Environmental Contamination and Toxicology","DOI":"10.1007/s00244-015-0217-9","ISSN":"1432-0703","issue":"4","journalAbbreviation":"Arch Environ Contam Toxicol","language":"en","page":"627-639","source":"Springer Link","title":"Characterization of Pesticide Exposure in a Sample of Pregnant Women in Ecuador","volume":"70","author":[{"family":"Handal","given":"Alexis J."},{"family":"Hund","given":"Lauren"},{"family":"Páez","given":"Maritza"},{"family":"Bear","given":"Samantha"},{"family":"Greenberg","given":"Carolyn"},{"family":"Fenske","given":"Richard A."},{"family":"Barr","given":"Dana Boyd"}],"issued":{"date-parts":[["2016",5,1]]}}},{"id":4688,"uris":["http://zotero.org/users/5127433/items/SSJ4GZRP"],"itemData":{"id":4688,"type":"document","publisher":"IFA, PROMSA","title":"Seguridad, salud y ambiente en la floricultura","URL":"https://www.ifa.org.ec/docs/floricultura.pdf","author":[{"family":"Harari Compilador","given":"Raul"}],"accessed":{"date-parts":[["2024",6,7]]},"issued":{"date-parts":[["2004"]]}}},{"id":"O8yTnQIp/YGP0ry9X","uris":["http://zotero.org/users/5127433/items/L652X4LT"],"itemData":{"id":4722,"type":"article-journal","abstract":"Background\nExposures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w:instrText>
      </w:r>
      <w:r>
        <w:rPr>
          <w:color w:val="000000"/>
          <w:sz w:val="22"/>
          <w:szCs w:val="22"/>
          <w:lang w:val="es-MX"/>
        </w:rPr>
        <w:instrText xml:space="preserve">2017",5]]}}},{"id":4720,"uris":["http://zotero.org/users/5127433/items/4LG4HNID"],"itemData":{"id":4720,"type":"article-journal","abstract":"Mother’s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 </w:instrText>
      </w:r>
      <w:r>
        <w:rPr>
          <w:color w:val="000000"/>
          <w:sz w:val="22"/>
          <w:szCs w:val="22"/>
        </w:rPr>
        <w:fldChar w:fldCharType="separate"/>
      </w:r>
      <w:r>
        <w:rPr>
          <w:sz w:val="22"/>
          <w:lang w:val="es-MX"/>
        </w:rPr>
        <w:t>(Grandjean et al., 2006; Handal et al., 2016; Harari, 2004; Suarez-Lopez et al., 2017, 2018)</w:t>
      </w:r>
      <w:r>
        <w:rPr>
          <w:color w:val="000000"/>
          <w:sz w:val="22"/>
          <w:szCs w:val="22"/>
        </w:rPr>
        <w:fldChar w:fldCharType="end"/>
      </w:r>
      <w:r>
        <w:rPr>
          <w:color w:val="000000"/>
          <w:sz w:val="22"/>
          <w:szCs w:val="22"/>
          <w:lang w:val="es-MX"/>
        </w:rPr>
        <w:t>.</w:t>
      </w:r>
      <w:r>
        <w:rPr>
          <w:color w:val="C00000"/>
          <w:sz w:val="22"/>
          <w:szCs w:val="22"/>
          <w:lang w:val="es-MX"/>
        </w:rPr>
        <w:t xml:space="preserve"> </w:t>
      </w:r>
      <w:r>
        <w:rPr>
          <w:sz w:val="22"/>
          <w:szCs w:val="22"/>
        </w:rPr>
        <w:t xml:space="preserve">In the study of Secondary Exposures to Pesticides among Children and Adolescents (ESPINA: </w:t>
      </w:r>
      <w:proofErr w:type="spellStart"/>
      <w:r>
        <w:rPr>
          <w:sz w:val="22"/>
          <w:szCs w:val="22"/>
        </w:rPr>
        <w:t>Estudio</w:t>
      </w:r>
      <w:proofErr w:type="spellEnd"/>
      <w:r>
        <w:rPr>
          <w:sz w:val="22"/>
          <w:szCs w:val="22"/>
        </w:rPr>
        <w:t xml:space="preserve"> de la </w:t>
      </w:r>
      <w:proofErr w:type="spellStart"/>
      <w:r>
        <w:rPr>
          <w:sz w:val="22"/>
          <w:szCs w:val="22"/>
        </w:rPr>
        <w:t>Exposición</w:t>
      </w:r>
      <w:proofErr w:type="spellEnd"/>
      <w:r>
        <w:rPr>
          <w:sz w:val="22"/>
          <w:szCs w:val="22"/>
        </w:rPr>
        <w:t xml:space="preserve"> </w:t>
      </w:r>
      <w:proofErr w:type="spellStart"/>
      <w:r>
        <w:rPr>
          <w:sz w:val="22"/>
          <w:szCs w:val="22"/>
        </w:rPr>
        <w:t>Secundaria</w:t>
      </w:r>
      <w:proofErr w:type="spellEnd"/>
      <w:r>
        <w:rPr>
          <w:sz w:val="22"/>
          <w:szCs w:val="22"/>
        </w:rPr>
        <w:t xml:space="preserve"> a </w:t>
      </w:r>
      <w:proofErr w:type="spellStart"/>
      <w:r>
        <w:rPr>
          <w:sz w:val="22"/>
          <w:szCs w:val="22"/>
        </w:rPr>
        <w:t>Plaguicidas</w:t>
      </w:r>
      <w:proofErr w:type="spellEnd"/>
      <w:r>
        <w:rPr>
          <w:sz w:val="22"/>
          <w:szCs w:val="22"/>
        </w:rPr>
        <w:t xml:space="preserve"> </w:t>
      </w:r>
      <w:proofErr w:type="spellStart"/>
      <w:r>
        <w:rPr>
          <w:sz w:val="22"/>
          <w:szCs w:val="22"/>
        </w:rPr>
        <w:t>en</w:t>
      </w:r>
      <w:proofErr w:type="spellEnd"/>
      <w:r>
        <w:rPr>
          <w:sz w:val="22"/>
          <w:szCs w:val="22"/>
        </w:rPr>
        <w:t xml:space="preserve"> </w:t>
      </w:r>
      <w:proofErr w:type="spellStart"/>
      <w:r>
        <w:rPr>
          <w:sz w:val="22"/>
          <w:szCs w:val="22"/>
        </w:rPr>
        <w:t>Niños</w:t>
      </w:r>
      <w:proofErr w:type="spellEnd"/>
      <w:r>
        <w:rPr>
          <w:sz w:val="22"/>
          <w:szCs w:val="22"/>
        </w:rPr>
        <w:t xml:space="preserve"> y </w:t>
      </w:r>
      <w:proofErr w:type="spellStart"/>
      <w:r>
        <w:rPr>
          <w:sz w:val="22"/>
          <w:szCs w:val="22"/>
        </w:rPr>
        <w:t>Adolescentes</w:t>
      </w:r>
      <w:proofErr w:type="spellEnd"/>
      <w:r>
        <w:rPr>
          <w:sz w:val="22"/>
          <w:szCs w:val="22"/>
        </w:rPr>
        <w:t xml:space="preserve">) conducted in Pedro Moncayo, children living within 275m from floricultural crops had lower </w:t>
      </w:r>
      <w:proofErr w:type="spellStart"/>
      <w:r>
        <w:rPr>
          <w:sz w:val="22"/>
          <w:szCs w:val="22"/>
        </w:rPr>
        <w:t>AChE</w:t>
      </w:r>
      <w:proofErr w:type="spellEnd"/>
      <w:r>
        <w:rPr>
          <w:sz w:val="22"/>
          <w:szCs w:val="22"/>
        </w:rPr>
        <w:t xml:space="preserve"> activity compared to those living farther away </w:t>
      </w:r>
      <w:r>
        <w:rPr>
          <w:sz w:val="22"/>
          <w:szCs w:val="22"/>
        </w:rPr>
        <w:fldChar w:fldCharType="begin"/>
      </w:r>
      <w:r>
        <w:rPr>
          <w:sz w:val="22"/>
          <w:szCs w:val="22"/>
        </w:rPr>
        <w:instrText xml:space="preserve"> ADDIN ZOTERO_ITEM CSL_CITATION {"citationID":"CYdE2iZQ","properties":{"formattedCitation":"(Suarez-Lopez et al., 2018)","plainCitation":"(Suarez-Lopez et al., 2018)","noteIndex":0},"citationItems":[{"id":4720,"uris":["http://zotero.org/users/5127433/items/4LG4HNID"],"itemData":{"id":4720,"type":"article-journal","abstract":"Mother’s Day (May) is a holiday with substantial demand for flowers, associated with heightened flower production and escalated pesticide use. The effect of spray seasons on pesticide exposures of children living in agricultural communities but who do not work in agriculture is poorly understood. In this study, we estimated the association of time after Mother’s Day harvest with children’s acetylcholinesterase (AChE) activity. AChE is a physiological marker of organophosphate/carbamate pesticide exposures that may take up to 3 months to normalize after its inhibition.","container-title":"International Archives of Occupational and Environmental Health","DOI":"10.1007/s00420-017-1265-4","ISSN":"1432-1246","issue":"2","journalAbbreviation":"Int Arch Occup Environ Health","language":"en","page":"175-184","source":"Springer Link","title":"Acetylcholinesterase activity and time after a peak pesticide-use period among Ecuadorian children","volume":"91","author":[{"family":"Suarez-Lopez","given":"Jose Ricardo"},{"family":"Butcher","given":"Cheyenne R."},{"family":"Gahagan","given":"Sheila"},{"family":"Checkoway","given":"Harvey"},{"family":"Alexander","given":"Bruce H."},{"family":"Al-Delaimy","given":"Wael K."}],"issued":{"date-parts":[["2018",2,1]]}}}],"schema":"https://github.com/citation-style-language/schema/raw/master/csl-citation.json"} </w:instrText>
      </w:r>
      <w:r>
        <w:rPr>
          <w:sz w:val="22"/>
          <w:szCs w:val="22"/>
        </w:rPr>
        <w:fldChar w:fldCharType="separate"/>
      </w:r>
      <w:r>
        <w:rPr>
          <w:sz w:val="22"/>
        </w:rPr>
        <w:t>(Suarez-Lopez et al., 2018)</w:t>
      </w:r>
      <w:r>
        <w:rPr>
          <w:sz w:val="22"/>
          <w:szCs w:val="22"/>
        </w:rPr>
        <w:fldChar w:fldCharType="end"/>
      </w:r>
      <w:r>
        <w:rPr>
          <w:sz w:val="22"/>
          <w:szCs w:val="22"/>
        </w:rPr>
        <w:t>.</w:t>
      </w:r>
      <w:r>
        <w:t xml:space="preserve"> </w:t>
      </w:r>
      <w:r>
        <w:rPr>
          <w:sz w:val="22"/>
          <w:szCs w:val="22"/>
        </w:rPr>
        <w:t xml:space="preserve">This finding suggested that off-target drift of organophosphate and carbamate insecticides from floricultural fields to nearby homes was sufficient to suppress </w:t>
      </w:r>
      <w:proofErr w:type="spellStart"/>
      <w:r>
        <w:rPr>
          <w:sz w:val="22"/>
          <w:szCs w:val="22"/>
        </w:rPr>
        <w:t>AChE</w:t>
      </w:r>
      <w:proofErr w:type="spellEnd"/>
      <w:r>
        <w:rPr>
          <w:sz w:val="22"/>
          <w:szCs w:val="22"/>
        </w:rPr>
        <w:t xml:space="preserve"> activity. Reduced </w:t>
      </w:r>
      <w:proofErr w:type="spellStart"/>
      <w:r>
        <w:rPr>
          <w:sz w:val="22"/>
          <w:szCs w:val="22"/>
        </w:rPr>
        <w:t>AChE</w:t>
      </w:r>
      <w:proofErr w:type="spellEnd"/>
      <w:r>
        <w:rPr>
          <w:sz w:val="22"/>
          <w:szCs w:val="22"/>
        </w:rPr>
        <w:t xml:space="preserve"> activity is indicative of greater exposure to cholinesterase-inhibiting pesticides, such as organophosphates and carbamates. Prior studies have also found an association between </w:t>
      </w:r>
      <w:proofErr w:type="spellStart"/>
      <w:r>
        <w:rPr>
          <w:sz w:val="22"/>
          <w:szCs w:val="22"/>
        </w:rPr>
        <w:t>AChE</w:t>
      </w:r>
      <w:proofErr w:type="spellEnd"/>
      <w:r>
        <w:rPr>
          <w:sz w:val="22"/>
          <w:szCs w:val="22"/>
        </w:rPr>
        <w:t xml:space="preserve"> activity and mental health processes, where lower </w:t>
      </w:r>
      <w:proofErr w:type="spellStart"/>
      <w:r>
        <w:rPr>
          <w:sz w:val="22"/>
          <w:szCs w:val="22"/>
        </w:rPr>
        <w:t>AChE</w:t>
      </w:r>
      <w:proofErr w:type="spellEnd"/>
      <w:r>
        <w:rPr>
          <w:sz w:val="22"/>
          <w:szCs w:val="22"/>
        </w:rPr>
        <w:t xml:space="preserve"> activity was associated with neurodevelopmental deficits in attention, inhibition and memory in boys </w:t>
      </w:r>
      <w:r>
        <w:rPr>
          <w:sz w:val="22"/>
          <w:szCs w:val="22"/>
        </w:rPr>
        <w:fldChar w:fldCharType="begin"/>
      </w:r>
      <w:r>
        <w:rPr>
          <w:sz w:val="22"/>
          <w:szCs w:val="22"/>
        </w:rPr>
        <w:instrText xml:space="preserve"> ADDIN ZOTERO_ITEM CSL_CITATION {"citationID":"i9KAwlsY","properties":{"formattedCitation":"(Suarez-Lopez et al., 2013)","plainCitation":"(Suarez-Lopez et al., 2013)","noteIndex":0},"citationItems":[{"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R."}],"issued":{"date-parts":[["2013"]]}}}],"schema":"https://github.com/citation-style-language/schema/raw/master/csl-citation.json"} </w:instrText>
      </w:r>
      <w:r>
        <w:rPr>
          <w:sz w:val="22"/>
          <w:szCs w:val="22"/>
        </w:rPr>
        <w:fldChar w:fldCharType="separate"/>
      </w:r>
      <w:r>
        <w:rPr>
          <w:sz w:val="22"/>
        </w:rPr>
        <w:t>(Suarez-Lopez et al., 2013)</w:t>
      </w:r>
      <w:r>
        <w:rPr>
          <w:sz w:val="22"/>
          <w:szCs w:val="22"/>
        </w:rPr>
        <w:fldChar w:fldCharType="end"/>
      </w:r>
      <w:r>
        <w:rPr>
          <w:sz w:val="22"/>
          <w:szCs w:val="22"/>
        </w:rPr>
        <w:t xml:space="preserve">, and greater depression symptoms in </w:t>
      </w:r>
      <w:commentRangeStart w:id="11"/>
      <w:r>
        <w:rPr>
          <w:sz w:val="22"/>
          <w:szCs w:val="22"/>
        </w:rPr>
        <w:t>girls</w:t>
      </w:r>
      <w:commentRangeEnd w:id="11"/>
      <w:r>
        <w:commentReference w:id="11"/>
      </w:r>
      <w:r>
        <w:rPr>
          <w:sz w:val="22"/>
          <w:szCs w:val="22"/>
        </w:rPr>
        <w:t xml:space="preserve"> (Suarez-Lopez et al., 2019).</w:t>
      </w:r>
    </w:p>
    <w:p w14:paraId="58D187B3"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ind w:firstLine="720"/>
        <w:jc w:val="both"/>
        <w:rPr>
          <w:color w:val="000000"/>
          <w:sz w:val="22"/>
          <w:szCs w:val="22"/>
        </w:rPr>
      </w:pPr>
      <w:r>
        <w:rPr>
          <w:color w:val="000000"/>
          <w:sz w:val="22"/>
          <w:szCs w:val="22"/>
        </w:rPr>
        <w:t xml:space="preserve">In a recent cross-sectional analysis of 307 Ecuadorian children from the ESPINA study (Friedman et al., 2020), we found that residential proximity to floricultural crops within 50 or 100 meters was associated with poorer neurobehavioral performance in the domains of Attention/Inhibitory Control, Language, and Memory/Learning, compared to children living more than 500 meters away  </w:t>
      </w:r>
      <w:r>
        <w:rPr>
          <w:color w:val="000000"/>
          <w:sz w:val="22"/>
          <w:szCs w:val="22"/>
        </w:rPr>
        <w:fldChar w:fldCharType="begin"/>
      </w:r>
      <w:r>
        <w:rPr>
          <w:color w:val="000000"/>
          <w:sz w:val="22"/>
          <w:szCs w:val="22"/>
        </w:rPr>
        <w:instrText xml:space="preserve"> ADDIN ZOTERO_ITEM CSL_CITATION {"citationID":"ZVcIUSBL","properties":{"formattedCitation":"(Friedman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For every 100m closer to residential proximity to floriculture, the odds of a lower overall neurobehavioral score increased by 10%, odds of a lower Language score increased by 9% and odds of lower Memory/Learning score increased by 24%. However, it remains unclear whether these associations are sustained over time, particularly as children transition from childhood into adolescence</w:t>
      </w:r>
    </w:p>
    <w:p w14:paraId="794FCA85" w14:textId="77777777" w:rsidR="0054280C" w:rsidRDefault="00B71134">
      <w:pPr>
        <w:ind w:firstLine="720"/>
        <w:jc w:val="both"/>
        <w:rPr>
          <w:color w:val="000000"/>
          <w:sz w:val="22"/>
          <w:szCs w:val="22"/>
        </w:rPr>
      </w:pPr>
      <w:r>
        <w:rPr>
          <w:color w:val="000000"/>
          <w:sz w:val="22"/>
          <w:szCs w:val="22"/>
        </w:rPr>
        <w:t xml:space="preserve">Based on our prior work, we hypothesized that inverse associations between residential proximity to floricultural farmland </w:t>
      </w:r>
      <w:proofErr w:type="gramStart"/>
      <w:r>
        <w:rPr>
          <w:color w:val="000000"/>
          <w:sz w:val="22"/>
          <w:szCs w:val="22"/>
        </w:rPr>
        <w:t>is</w:t>
      </w:r>
      <w:proofErr w:type="gramEnd"/>
      <w:r>
        <w:rPr>
          <w:color w:val="000000"/>
          <w:sz w:val="22"/>
          <w:szCs w:val="22"/>
        </w:rPr>
        <w:t xml:space="preserve"> associated with lower neurobehavioral performance in both childhood and adolescence. Longitudinal studies assessing residential proximity to flower plantation and crops on children’s neurobehavioral performance is needed to understand chronic effects of pesticide exposure and to inform policy on how far away agricultural pesticide spray sites should be stationed from residential homes and schools.</w:t>
      </w:r>
    </w:p>
    <w:p w14:paraId="0519511F" w14:textId="77777777" w:rsidR="0054280C" w:rsidRDefault="0054280C">
      <w:pPr>
        <w:rPr>
          <w:sz w:val="22"/>
          <w:szCs w:val="22"/>
        </w:rPr>
      </w:pPr>
    </w:p>
    <w:p w14:paraId="3749CF08" w14:textId="77777777" w:rsidR="0054280C" w:rsidRDefault="00B71134">
      <w:pPr>
        <w:pStyle w:val="ListParagraph"/>
        <w:numPr>
          <w:ilvl w:val="0"/>
          <w:numId w:val="1"/>
        </w:numPr>
        <w:rPr>
          <w:b/>
          <w:bCs/>
          <w:color w:val="000000"/>
          <w:sz w:val="22"/>
          <w:szCs w:val="22"/>
        </w:rPr>
      </w:pPr>
      <w:r>
        <w:rPr>
          <w:b/>
          <w:bCs/>
          <w:color w:val="000000"/>
          <w:sz w:val="22"/>
          <w:szCs w:val="22"/>
        </w:rPr>
        <w:t>Methods</w:t>
      </w:r>
    </w:p>
    <w:p w14:paraId="2598254C" w14:textId="77777777" w:rsidR="0054280C" w:rsidRDefault="0054280C">
      <w:pPr>
        <w:pStyle w:val="ListParagraph"/>
        <w:ind w:left="360"/>
        <w:rPr>
          <w:color w:val="000000"/>
          <w:sz w:val="22"/>
          <w:szCs w:val="22"/>
        </w:rPr>
      </w:pPr>
    </w:p>
    <w:p w14:paraId="58DBA1B6" w14:textId="77777777" w:rsidR="0054280C" w:rsidRDefault="00B71134">
      <w:pPr>
        <w:rPr>
          <w:color w:val="000000"/>
          <w:sz w:val="22"/>
          <w:szCs w:val="22"/>
        </w:rPr>
      </w:pPr>
      <w:r>
        <w:rPr>
          <w:color w:val="000000"/>
          <w:sz w:val="22"/>
          <w:szCs w:val="22"/>
        </w:rPr>
        <w:t>2.1 Study design</w:t>
      </w:r>
    </w:p>
    <w:p w14:paraId="7CD7996E" w14:textId="106B265A" w:rsidR="0054280C" w:rsidRDefault="00B71134">
      <w:pPr>
        <w:ind w:firstLine="720"/>
        <w:jc w:val="both"/>
        <w:rPr>
          <w:rFonts w:eastAsia="Times New Roman"/>
          <w:sz w:val="22"/>
          <w:szCs w:val="22"/>
        </w:rPr>
      </w:pPr>
      <w:r>
        <w:rPr>
          <w:color w:val="000000"/>
          <w:sz w:val="22"/>
          <w:szCs w:val="22"/>
        </w:rPr>
        <w:t xml:space="preserve">We examined participants longitudinally from the ESPINA study on three different time periods: Visit 1: </w:t>
      </w:r>
      <w:r>
        <w:rPr>
          <w:rFonts w:eastAsia="Times New Roman"/>
          <w:color w:val="212121"/>
          <w:sz w:val="22"/>
          <w:szCs w:val="22"/>
          <w:shd w:val="clear" w:color="auto" w:fill="FFFFFF"/>
        </w:rPr>
        <w:t>July-August 2008 (N = 313, 4-9-year-olds); Visit 2: April 2016 (N = 330, 12-17-year-olds); and Visit 3: July-October 2016 (N = 535, 12-17-year-olds). Neurobehavioral performance assessments were administered to participants across all three time periods.</w:t>
      </w:r>
      <w:r w:rsidR="00001222">
        <w:rPr>
          <w:rFonts w:eastAsia="Times New Roman"/>
          <w:color w:val="212121"/>
          <w:sz w:val="22"/>
          <w:szCs w:val="22"/>
          <w:shd w:val="clear" w:color="auto" w:fill="FFFFFF"/>
        </w:rPr>
        <w:t xml:space="preserve"> </w:t>
      </w:r>
    </w:p>
    <w:p w14:paraId="76261AC0" w14:textId="60AFEB5C" w:rsidR="0054280C" w:rsidRDefault="00B71134">
      <w:pPr>
        <w:pBdr>
          <w:top w:val="none" w:sz="4" w:space="0" w:color="000000"/>
          <w:left w:val="none" w:sz="4" w:space="0" w:color="000000"/>
          <w:bottom w:val="none" w:sz="4" w:space="0" w:color="000000"/>
          <w:right w:val="none" w:sz="4" w:space="0" w:color="000000"/>
          <w:between w:val="none" w:sz="4" w:space="0" w:color="000000"/>
        </w:pBdr>
        <w:ind w:firstLine="720"/>
        <w:jc w:val="both"/>
        <w:rPr>
          <w:sz w:val="22"/>
          <w:szCs w:val="22"/>
        </w:rPr>
      </w:pPr>
      <w:commentRangeStart w:id="12"/>
      <w:r>
        <w:rPr>
          <w:color w:val="000000"/>
          <w:sz w:val="22"/>
          <w:szCs w:val="22"/>
        </w:rPr>
        <w:t xml:space="preserve">Participants </w:t>
      </w:r>
      <w:commentRangeEnd w:id="12"/>
      <w:r>
        <w:commentReference w:id="12"/>
      </w:r>
      <w:r>
        <w:rPr>
          <w:color w:val="000000"/>
          <w:sz w:val="22"/>
          <w:szCs w:val="22"/>
        </w:rPr>
        <w:t xml:space="preserve">were recruited for the ESPINA study in 2008 </w:t>
      </w:r>
      <w:r w:rsidR="00D30A21">
        <w:rPr>
          <w:color w:val="000000"/>
          <w:sz w:val="22"/>
          <w:szCs w:val="22"/>
        </w:rPr>
        <w:t>from 922</w:t>
      </w:r>
      <w:r>
        <w:rPr>
          <w:color w:val="000000"/>
          <w:sz w:val="22"/>
          <w:szCs w:val="22"/>
        </w:rPr>
        <w:t xml:space="preserve"> children who participated in the 2004 Survey of Access and Demand of Health Services in Pedro Moncayo County, and other parents and children living in Pedro Moncayo recruited by community announcements and word of mouth. Pedro Moncayo is a floriculture region of Ecuador where roses are grown for export and where approximately 21% of the adult population works in the </w:t>
      </w:r>
      <w:commentRangeStart w:id="13"/>
      <w:r>
        <w:rPr>
          <w:color w:val="000000"/>
          <w:sz w:val="22"/>
          <w:szCs w:val="22"/>
        </w:rPr>
        <w:t>flower industry</w:t>
      </w:r>
      <w:commentRangeEnd w:id="13"/>
      <w:r>
        <w:commentReference w:id="13"/>
      </w:r>
      <w:r>
        <w:rPr>
          <w:color w:val="000000"/>
          <w:sz w:val="22"/>
          <w:szCs w:val="22"/>
        </w:rPr>
        <w:t xml:space="preserve">. At baseline in 2008, the cohort was recruited to achieve an approximately equal distribution of children who did (exposed group) and did not (unexposed group) live with an agricultural or floricultural worker. Of the 313 participants, 179 (57.2%) cohabitated with such a worker, while 134 (42.8%) did not. Children were selected after their parents completed a pre-survey to confirm eligibility based on inclusion criteria. In the exposed group, children were required to have cohabitated with a floricultural worker for at least one year. In contrast, children in the unexposed group must have never </w:t>
      </w:r>
      <w:proofErr w:type="gramStart"/>
      <w:r>
        <w:rPr>
          <w:color w:val="000000"/>
          <w:sz w:val="22"/>
          <w:szCs w:val="22"/>
        </w:rPr>
        <w:t>cohabitated</w:t>
      </w:r>
      <w:proofErr w:type="gramEnd"/>
      <w:r>
        <w:rPr>
          <w:color w:val="000000"/>
          <w:sz w:val="22"/>
          <w:szCs w:val="22"/>
        </w:rPr>
        <w:t xml:space="preserve"> with a floricultural worker, had no direct contact with pesticides, and not lived in a household where pesticides were stored. Informed consent was obtained from participating adults, parental permission was secured for selected children, and assent was obtained from minors aged 7 years and older. Further r</w:t>
      </w:r>
      <w:commentRangeStart w:id="14"/>
      <w:r>
        <w:rPr>
          <w:color w:val="000000"/>
          <w:sz w:val="22"/>
          <w:szCs w:val="22"/>
        </w:rPr>
        <w:t xml:space="preserve">ecruitment details can be found in </w:t>
      </w:r>
      <w:r>
        <w:rPr>
          <w:sz w:val="22"/>
          <w:szCs w:val="22"/>
        </w:rPr>
        <w:t>Suarez-Lopez et al. (2012).</w:t>
      </w:r>
      <w:commentRangeEnd w:id="14"/>
      <w:r>
        <w:commentReference w:id="14"/>
      </w:r>
    </w:p>
    <w:p w14:paraId="528EA176" w14:textId="77777777" w:rsidR="0054280C" w:rsidRDefault="0054280C">
      <w:pPr>
        <w:pBdr>
          <w:top w:val="none" w:sz="4" w:space="0" w:color="000000"/>
          <w:left w:val="none" w:sz="4" w:space="0" w:color="000000"/>
          <w:bottom w:val="none" w:sz="4" w:space="0" w:color="000000"/>
          <w:right w:val="none" w:sz="4" w:space="0" w:color="000000"/>
          <w:between w:val="none" w:sz="4" w:space="0" w:color="000000"/>
        </w:pBdr>
        <w:ind w:firstLine="720"/>
        <w:rPr>
          <w:color w:val="000000"/>
          <w:sz w:val="22"/>
          <w:szCs w:val="22"/>
        </w:rPr>
      </w:pPr>
    </w:p>
    <w:commentRangeStart w:id="15"/>
    <w:commentRangeStart w:id="16"/>
    <w:commentRangeStart w:id="17"/>
    <w:commentRangeStart w:id="18"/>
    <w:p w14:paraId="44D50C3A" w14:textId="77777777" w:rsidR="0054280C" w:rsidRDefault="00B71134">
      <w:pPr>
        <w:rPr>
          <w:color w:val="000000"/>
          <w:sz w:val="22"/>
          <w:szCs w:val="22"/>
        </w:rPr>
      </w:pPr>
      <w:r>
        <w:rPr>
          <w:noProof/>
          <w:color w:val="000000"/>
        </w:rPr>
        <mc:AlternateContent>
          <mc:Choice Requires="wpg">
            <w:drawing>
              <wp:inline distT="0" distB="0" distL="0" distR="0" wp14:anchorId="3A625735" wp14:editId="69B84D5D">
                <wp:extent cx="5943600" cy="4970145"/>
                <wp:effectExtent l="0" t="0" r="0" b="0"/>
                <wp:docPr id="1"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flowchart&#10;&#10;Description automatically generated"/>
                        <pic:cNvPicPr>
                          <a:picLocks noChangeAspect="1"/>
                        </pic:cNvPicPr>
                      </pic:nvPicPr>
                      <pic:blipFill>
                        <a:blip r:embed="rId13"/>
                        <a:stretch/>
                      </pic:blipFill>
                      <pic:spPr bwMode="auto">
                        <a:xfrm>
                          <a:off x="0" y="0"/>
                          <a:ext cx="5943600" cy="49701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91.35pt;mso-wrap-distance-left:0.00pt;mso-wrap-distance-top:0.00pt;mso-wrap-distance-right:0.00pt;mso-wrap-distance-bottom:0.00pt;z-index:1;" stroked="false">
                <v:imagedata r:id="rId14" o:title=""/>
                <o:lock v:ext="edit" rotation="t"/>
              </v:shape>
            </w:pict>
          </mc:Fallback>
        </mc:AlternateContent>
      </w:r>
      <w:commentRangeEnd w:id="15"/>
      <w:r>
        <w:commentReference w:id="15"/>
      </w:r>
      <w:commentRangeEnd w:id="16"/>
      <w:r w:rsidR="00C30E22">
        <w:rPr>
          <w:rStyle w:val="CommentReference"/>
          <w:rFonts w:asciiTheme="minorHAnsi" w:hAnsiTheme="minorHAnsi" w:cstheme="minorBidi"/>
        </w:rPr>
        <w:commentReference w:id="16"/>
      </w:r>
      <w:commentRangeEnd w:id="17"/>
      <w:r w:rsidR="00214348">
        <w:rPr>
          <w:rStyle w:val="CommentReference"/>
          <w:rFonts w:asciiTheme="minorHAnsi" w:hAnsiTheme="minorHAnsi" w:cstheme="minorBidi"/>
        </w:rPr>
        <w:commentReference w:id="17"/>
      </w:r>
      <w:commentRangeEnd w:id="18"/>
      <w:r w:rsidR="00214348">
        <w:rPr>
          <w:rStyle w:val="CommentReference"/>
          <w:rFonts w:asciiTheme="minorHAnsi" w:hAnsiTheme="minorHAnsi" w:cstheme="minorBidi"/>
        </w:rPr>
        <w:commentReference w:id="18"/>
      </w:r>
    </w:p>
    <w:p w14:paraId="6B45A579" w14:textId="4A5AB7CB" w:rsidR="0054280C" w:rsidRDefault="00B71134">
      <w:pPr>
        <w:rPr>
          <w:b/>
        </w:rPr>
      </w:pPr>
      <w:commentRangeStart w:id="19"/>
      <w:r>
        <w:rPr>
          <w:b/>
        </w:rPr>
        <w:t xml:space="preserve">Figure </w:t>
      </w:r>
      <w:commentRangeEnd w:id="19"/>
      <w:r>
        <w:commentReference w:id="19"/>
      </w:r>
      <w:r>
        <w:rPr>
          <w:b/>
        </w:rPr>
        <w:t xml:space="preserve">1. Participant </w:t>
      </w:r>
      <w:r w:rsidR="00593EF6">
        <w:rPr>
          <w:b/>
        </w:rPr>
        <w:t xml:space="preserve">inclusion-exclusion </w:t>
      </w:r>
      <w:r>
        <w:rPr>
          <w:b/>
        </w:rPr>
        <w:t>flow chart</w:t>
      </w:r>
    </w:p>
    <w:p w14:paraId="5152FBA5" w14:textId="77777777" w:rsidR="0054280C" w:rsidRDefault="0054280C">
      <w:pPr>
        <w:rPr>
          <w:color w:val="000000"/>
          <w:sz w:val="22"/>
          <w:szCs w:val="22"/>
        </w:rPr>
      </w:pPr>
    </w:p>
    <w:p w14:paraId="778CC64D" w14:textId="77777777" w:rsidR="0054280C" w:rsidRDefault="00B71134">
      <w:pPr>
        <w:rPr>
          <w:color w:val="000000"/>
          <w:sz w:val="22"/>
          <w:szCs w:val="22"/>
        </w:rPr>
      </w:pPr>
      <w:r>
        <w:rPr>
          <w:color w:val="000000"/>
          <w:sz w:val="22"/>
          <w:szCs w:val="22"/>
        </w:rPr>
        <w:t>2.3 Survey Collection</w:t>
      </w:r>
    </w:p>
    <w:p w14:paraId="6EA05E3F" w14:textId="77777777" w:rsidR="0054280C" w:rsidRDefault="00B71134">
      <w:pPr>
        <w:ind w:firstLine="720"/>
        <w:rPr>
          <w:color w:val="000000" w:themeColor="text1"/>
          <w:sz w:val="22"/>
          <w:szCs w:val="22"/>
        </w:rPr>
      </w:pPr>
      <w:r>
        <w:rPr>
          <w:rFonts w:hint="cs"/>
          <w:color w:val="000000"/>
          <w:sz w:val="22"/>
          <w:szCs w:val="22"/>
        </w:rPr>
        <w:t>Survey</w:t>
      </w:r>
      <w:r>
        <w:rPr>
          <w:color w:val="000000"/>
          <w:sz w:val="22"/>
          <w:szCs w:val="22"/>
        </w:rPr>
        <w:t xml:space="preserve"> data were collected with parents </w:t>
      </w:r>
      <w:r>
        <w:rPr>
          <w:rFonts w:hint="cs"/>
          <w:color w:val="000000"/>
          <w:sz w:val="22"/>
          <w:szCs w:val="22"/>
        </w:rPr>
        <w:t xml:space="preserve">to </w:t>
      </w:r>
      <w:r>
        <w:rPr>
          <w:color w:val="000000"/>
          <w:sz w:val="22"/>
          <w:szCs w:val="22"/>
        </w:rPr>
        <w:t>document</w:t>
      </w:r>
      <w:r>
        <w:rPr>
          <w:rFonts w:hint="cs"/>
          <w:color w:val="000000"/>
          <w:sz w:val="22"/>
          <w:szCs w:val="22"/>
        </w:rPr>
        <w:t xml:space="preserve"> demographic, occupational, and </w:t>
      </w:r>
      <w:r>
        <w:rPr>
          <w:color w:val="000000"/>
          <w:sz w:val="22"/>
          <w:szCs w:val="22"/>
        </w:rPr>
        <w:t xml:space="preserve">SES data. </w:t>
      </w:r>
      <w:r>
        <w:rPr>
          <w:color w:val="000000" w:themeColor="text1"/>
          <w:sz w:val="22"/>
          <w:szCs w:val="22"/>
        </w:rPr>
        <w:t xml:space="preserve">Examiners were blinded to participants' pesticide exposure status. </w:t>
      </w:r>
    </w:p>
    <w:p w14:paraId="194C94D8" w14:textId="77777777" w:rsidR="0054280C" w:rsidRDefault="0054280C">
      <w:pPr>
        <w:ind w:firstLine="720"/>
        <w:rPr>
          <w:color w:val="000000" w:themeColor="text1"/>
          <w:sz w:val="22"/>
          <w:szCs w:val="22"/>
        </w:rPr>
      </w:pPr>
    </w:p>
    <w:p w14:paraId="29F6E2FC" w14:textId="77777777" w:rsidR="0054280C" w:rsidRDefault="00B71134">
      <w:pPr>
        <w:ind w:firstLine="720"/>
        <w:rPr>
          <w:color w:val="000000"/>
          <w:sz w:val="22"/>
          <w:szCs w:val="22"/>
        </w:rPr>
      </w:pPr>
      <w:r>
        <w:rPr>
          <w:color w:val="000000" w:themeColor="text1"/>
          <w:sz w:val="22"/>
          <w:szCs w:val="22"/>
        </w:rPr>
        <w:t>Height was also measured to the nearest 1 mm, using a height board, and following recommende</w:t>
      </w:r>
      <w:commentRangeStart w:id="20"/>
      <w:r>
        <w:rPr>
          <w:color w:val="000000" w:themeColor="text1"/>
          <w:sz w:val="22"/>
          <w:szCs w:val="22"/>
        </w:rPr>
        <w:t xml:space="preserve">d procedures (World Health Organization (WHO). 2008), and weight was measured using a digital scale (Tanita model 0108 MC; Corporation of America, Arlington Heights, IL, USA). </w:t>
      </w:r>
      <w:r>
        <w:rPr>
          <w:rFonts w:eastAsiaTheme="minorHAnsi"/>
          <w:color w:val="1A1A1A"/>
          <w:sz w:val="22"/>
          <w:szCs w:val="22"/>
        </w:rPr>
        <w:t xml:space="preserve">Height-for-age z score (z-height-for-age) and body-mass-index-for-age z score (z-BMI-for-age) </w:t>
      </w:r>
      <w:proofErr w:type="gramStart"/>
      <w:r>
        <w:rPr>
          <w:rFonts w:eastAsiaTheme="minorHAnsi"/>
          <w:color w:val="1A1A1A"/>
          <w:sz w:val="22"/>
          <w:szCs w:val="22"/>
        </w:rPr>
        <w:t>was</w:t>
      </w:r>
      <w:proofErr w:type="gramEnd"/>
      <w:r>
        <w:rPr>
          <w:rFonts w:eastAsiaTheme="minorHAnsi"/>
          <w:color w:val="1A1A1A"/>
          <w:sz w:val="22"/>
          <w:szCs w:val="22"/>
        </w:rPr>
        <w:t xml:space="preserve"> calculated using the</w:t>
      </w:r>
      <w:commentRangeEnd w:id="20"/>
      <w:r>
        <w:commentReference w:id="20"/>
      </w:r>
      <w:r>
        <w:rPr>
          <w:rFonts w:eastAsiaTheme="minorHAnsi"/>
          <w:color w:val="1A1A1A"/>
          <w:sz w:val="22"/>
          <w:szCs w:val="22"/>
        </w:rPr>
        <w:t xml:space="preserve"> WHO growth standards (WHO, 2006). </w:t>
      </w:r>
    </w:p>
    <w:p w14:paraId="52002ADB" w14:textId="77777777" w:rsidR="0054280C" w:rsidRDefault="00B71134">
      <w:pPr>
        <w:rPr>
          <w:color w:val="000000"/>
          <w:sz w:val="22"/>
          <w:szCs w:val="22"/>
        </w:rPr>
      </w:pPr>
      <w:r>
        <w:rPr>
          <w:color w:val="000000"/>
          <w:sz w:val="22"/>
          <w:szCs w:val="22"/>
        </w:rPr>
        <w:t xml:space="preserve"> </w:t>
      </w:r>
    </w:p>
    <w:p w14:paraId="6B78FCAE" w14:textId="77777777" w:rsidR="0054280C" w:rsidRDefault="0054280C">
      <w:pPr>
        <w:rPr>
          <w:color w:val="000000"/>
          <w:sz w:val="22"/>
          <w:szCs w:val="22"/>
        </w:rPr>
      </w:pPr>
    </w:p>
    <w:p w14:paraId="1B829959" w14:textId="52F74113" w:rsidR="0054280C" w:rsidRDefault="00B71134">
      <w:pPr>
        <w:rPr>
          <w:color w:val="000000"/>
          <w:sz w:val="22"/>
          <w:szCs w:val="22"/>
        </w:rPr>
      </w:pPr>
      <w:r>
        <w:rPr>
          <w:color w:val="000000"/>
          <w:sz w:val="22"/>
          <w:szCs w:val="22"/>
        </w:rPr>
        <w:t xml:space="preserve">2.4. </w:t>
      </w:r>
      <w:commentRangeStart w:id="21"/>
      <w:commentRangeStart w:id="22"/>
      <w:commentRangeStart w:id="23"/>
      <w:r>
        <w:rPr>
          <w:color w:val="000000"/>
          <w:sz w:val="22"/>
          <w:szCs w:val="22"/>
        </w:rPr>
        <w:t xml:space="preserve">Neurobehavioral </w:t>
      </w:r>
      <w:commentRangeEnd w:id="21"/>
      <w:commentRangeEnd w:id="22"/>
      <w:commentRangeEnd w:id="23"/>
      <w:r>
        <w:commentReference w:id="21"/>
      </w:r>
      <w:r>
        <w:commentReference w:id="22"/>
      </w:r>
      <w:r>
        <w:commentReference w:id="23"/>
      </w:r>
      <w:sdt>
        <w:sdtPr>
          <w:rPr>
            <w:sz w:val="22"/>
            <w:szCs w:val="22"/>
          </w:rPr>
          <w:tag w:val="goog_rdk_7"/>
          <w:id w:val="-561721277"/>
          <w:showingPlcHdr/>
        </w:sdtPr>
        <w:sdtContent>
          <w:r w:rsidR="00C30E22">
            <w:rPr>
              <w:sz w:val="22"/>
              <w:szCs w:val="22"/>
            </w:rPr>
            <w:t xml:space="preserve">     </w:t>
          </w:r>
        </w:sdtContent>
      </w:sdt>
      <w:r>
        <w:rPr>
          <w:color w:val="000000"/>
          <w:sz w:val="22"/>
          <w:szCs w:val="22"/>
        </w:rPr>
        <w:t>Performance</w:t>
      </w:r>
    </w:p>
    <w:p w14:paraId="24165592" w14:textId="6F3A74A2" w:rsidR="0054280C" w:rsidRDefault="00B71134">
      <w:pPr>
        <w:ind w:firstLine="720"/>
        <w:jc w:val="both"/>
        <w:rPr>
          <w:color w:val="000000"/>
          <w:sz w:val="22"/>
          <w:szCs w:val="22"/>
        </w:rPr>
      </w:pPr>
      <w:r>
        <w:rPr>
          <w:color w:val="000000"/>
          <w:sz w:val="22"/>
          <w:szCs w:val="22"/>
        </w:rPr>
        <w:t xml:space="preserve">Neurobehavioral performance was assessed using tests from NEPSY-II (NCS Pearson, San Antonio, TX), a standardized and validated neurodevelopment test for children three to 16 years old </w:t>
      </w:r>
      <w:r>
        <w:rPr>
          <w:color w:val="000000"/>
          <w:sz w:val="22"/>
          <w:szCs w:val="22"/>
        </w:rPr>
        <w:fldChar w:fldCharType="begin"/>
      </w:r>
      <w:r>
        <w:rPr>
          <w:color w:val="000000"/>
          <w:sz w:val="22"/>
          <w:szCs w:val="22"/>
        </w:rPr>
        <w:instrText xml:space="preserve"> ADDIN ZOTERO_ITEM CSL_CITATION {"citationID":"NpYtelXI","properties":{"formattedCitation":"(Korkman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w:t>
      </w:r>
      <w:r>
        <w:rPr>
          <w:color w:val="C00000"/>
          <w:sz w:val="22"/>
          <w:szCs w:val="22"/>
        </w:rPr>
        <w:t xml:space="preserve"> </w:t>
      </w:r>
      <w:r>
        <w:rPr>
          <w:sz w:val="22"/>
          <w:szCs w:val="22"/>
        </w:rPr>
        <w:t>NEPSY-II provides the ability to assess underlying impaired performance both within and across functional domains.</w:t>
      </w:r>
      <w:r>
        <w:rPr>
          <w:color w:val="C00000"/>
          <w:sz w:val="22"/>
          <w:szCs w:val="22"/>
        </w:rPr>
        <w:t xml:space="preserve"> </w:t>
      </w:r>
      <w:r>
        <w:rPr>
          <w:rFonts w:hint="eastAsia"/>
          <w:color w:val="000000"/>
          <w:sz w:val="22"/>
          <w:szCs w:val="22"/>
        </w:rPr>
        <w:t>C</w:t>
      </w:r>
      <w:r>
        <w:rPr>
          <w:color w:val="000000"/>
          <w:sz w:val="22"/>
          <w:szCs w:val="22"/>
        </w:rPr>
        <w:t xml:space="preserve">hildren were tested accordingly to 12 age-appropriate subtests in five content domains: 1) Attention/Inhibitory Control (subtests: auditory attention </w:t>
      </w:r>
      <w:r>
        <w:rPr>
          <w:color w:val="000000"/>
          <w:sz w:val="22"/>
          <w:szCs w:val="22"/>
        </w:rPr>
        <w:lastRenderedPageBreak/>
        <w:t xml:space="preserve">and response set, and inhibition), 2) Language (subtests: comprehension of instructions and speed naming), 3) Memory/Learning (subtests: memory for faces immediate and </w:t>
      </w:r>
      <w:r>
        <w:rPr>
          <w:rFonts w:hint="eastAsia"/>
          <w:color w:val="000000"/>
          <w:sz w:val="22"/>
          <w:szCs w:val="22"/>
        </w:rPr>
        <w:t>mem</w:t>
      </w:r>
      <w:r>
        <w:rPr>
          <w:color w:val="000000"/>
          <w:sz w:val="22"/>
          <w:szCs w:val="22"/>
        </w:rPr>
        <w:t xml:space="preserve">ory for faces delayed), 4) Visuospatial Processing (subtest: design copying and geometric puzzles) and 5) Social Perception (subtest: affect recognition) (Table 1). </w:t>
      </w:r>
    </w:p>
    <w:p w14:paraId="07DD991C" w14:textId="77777777" w:rsidR="0054280C" w:rsidRDefault="0054280C">
      <w:pPr>
        <w:ind w:firstLine="720"/>
        <w:jc w:val="both"/>
        <w:rPr>
          <w:color w:val="000000"/>
          <w:sz w:val="22"/>
          <w:szCs w:val="22"/>
        </w:rPr>
      </w:pPr>
    </w:p>
    <w:p w14:paraId="5B477D32" w14:textId="77777777" w:rsidR="0054280C" w:rsidRDefault="00B71134">
      <w:pPr>
        <w:jc w:val="both"/>
        <w:rPr>
          <w:color w:val="000000"/>
          <w:sz w:val="22"/>
          <w:szCs w:val="22"/>
        </w:rPr>
      </w:pPr>
      <w:r>
        <w:rPr>
          <w:b/>
          <w:bCs/>
          <w:color w:val="000000"/>
          <w:sz w:val="22"/>
          <w:szCs w:val="22"/>
        </w:rPr>
        <w:t>Table 1</w:t>
      </w:r>
      <w:r>
        <w:rPr>
          <w:color w:val="000000"/>
          <w:sz w:val="22"/>
          <w:szCs w:val="22"/>
        </w:rPr>
        <w:t>. Selected Tests from NEPSY-II Taken at Three Time Periods: Summer 2008, Spring and Summer 2016</w:t>
      </w:r>
    </w:p>
    <w:tbl>
      <w:tblPr>
        <w:tblStyle w:val="TableGrid"/>
        <w:tblW w:w="0" w:type="auto"/>
        <w:tblLook w:val="04A0" w:firstRow="1" w:lastRow="0" w:firstColumn="1" w:lastColumn="0" w:noHBand="0" w:noVBand="1"/>
      </w:tblPr>
      <w:tblGrid>
        <w:gridCol w:w="2106"/>
        <w:gridCol w:w="1749"/>
        <w:gridCol w:w="3273"/>
        <w:gridCol w:w="761"/>
        <w:gridCol w:w="687"/>
        <w:gridCol w:w="774"/>
      </w:tblGrid>
      <w:tr w:rsidR="0054280C" w14:paraId="5A6904DB" w14:textId="77777777" w:rsidTr="00C441B8">
        <w:trPr>
          <w:trHeight w:val="196"/>
        </w:trPr>
        <w:tc>
          <w:tcPr>
            <w:tcW w:w="1576" w:type="dxa"/>
            <w:vAlign w:val="center"/>
          </w:tcPr>
          <w:p w14:paraId="609ABF94"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Content Domains</w:t>
            </w:r>
          </w:p>
        </w:tc>
        <w:tc>
          <w:tcPr>
            <w:tcW w:w="1849" w:type="dxa"/>
            <w:vAlign w:val="center"/>
          </w:tcPr>
          <w:p w14:paraId="2BB4777E"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Subtest</w:t>
            </w:r>
          </w:p>
        </w:tc>
        <w:tc>
          <w:tcPr>
            <w:tcW w:w="3703" w:type="dxa"/>
            <w:vAlign w:val="center"/>
          </w:tcPr>
          <w:p w14:paraId="4558F7BD"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Subsets Tested</w:t>
            </w:r>
          </w:p>
        </w:tc>
        <w:tc>
          <w:tcPr>
            <w:tcW w:w="805" w:type="dxa"/>
            <w:vAlign w:val="center"/>
          </w:tcPr>
          <w:p w14:paraId="0124D4C5"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 xml:space="preserve">A: </w:t>
            </w:r>
          </w:p>
          <w:p w14:paraId="7D034B8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Jul–Aug 2008</w:t>
            </w:r>
          </w:p>
        </w:tc>
        <w:tc>
          <w:tcPr>
            <w:tcW w:w="715" w:type="dxa"/>
            <w:vAlign w:val="center"/>
          </w:tcPr>
          <w:p w14:paraId="027467B7"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 xml:space="preserve">B: </w:t>
            </w:r>
          </w:p>
          <w:p w14:paraId="46BB7A06"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Apr 2016</w:t>
            </w:r>
          </w:p>
        </w:tc>
        <w:tc>
          <w:tcPr>
            <w:tcW w:w="821" w:type="dxa"/>
            <w:vAlign w:val="center"/>
          </w:tcPr>
          <w:p w14:paraId="214507E8"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 xml:space="preserve">C: </w:t>
            </w:r>
          </w:p>
          <w:p w14:paraId="704D23F3"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Jul–Oct 2016</w:t>
            </w:r>
          </w:p>
        </w:tc>
      </w:tr>
      <w:tr w:rsidR="0054280C" w14:paraId="779C6101" w14:textId="77777777" w:rsidTr="00C441B8">
        <w:trPr>
          <w:trHeight w:val="196"/>
        </w:trPr>
        <w:tc>
          <w:tcPr>
            <w:tcW w:w="1576" w:type="dxa"/>
            <w:vMerge w:val="restart"/>
            <w:vAlign w:val="center"/>
          </w:tcPr>
          <w:p w14:paraId="09EC2ED6"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Attention/</w:t>
            </w:r>
          </w:p>
          <w:p w14:paraId="44CD8316"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Inhibitory Control</w:t>
            </w:r>
          </w:p>
        </w:tc>
        <w:tc>
          <w:tcPr>
            <w:tcW w:w="1849" w:type="dxa"/>
            <w:vMerge w:val="restart"/>
            <w:vAlign w:val="center"/>
          </w:tcPr>
          <w:p w14:paraId="1B2AB77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Auditory Attention and Response Set</w:t>
            </w:r>
          </w:p>
        </w:tc>
        <w:tc>
          <w:tcPr>
            <w:tcW w:w="3703" w:type="dxa"/>
            <w:vAlign w:val="center"/>
          </w:tcPr>
          <w:p w14:paraId="50CC125D"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1) Auditory attention combined (AAC)</w:t>
            </w:r>
          </w:p>
        </w:tc>
        <w:tc>
          <w:tcPr>
            <w:tcW w:w="805" w:type="dxa"/>
            <w:vAlign w:val="center"/>
          </w:tcPr>
          <w:p w14:paraId="3FE948FC"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73A1C529"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20159907"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32184B54" w14:textId="77777777" w:rsidTr="00C441B8">
        <w:trPr>
          <w:trHeight w:val="38"/>
        </w:trPr>
        <w:tc>
          <w:tcPr>
            <w:tcW w:w="1576" w:type="dxa"/>
            <w:vMerge/>
            <w:vAlign w:val="center"/>
          </w:tcPr>
          <w:p w14:paraId="45425DCC" w14:textId="77777777" w:rsidR="0054280C" w:rsidRDefault="0054280C">
            <w:pPr>
              <w:jc w:val="center"/>
              <w:rPr>
                <w:rFonts w:ascii="Times New Roman" w:hAnsi="Times New Roman" w:cs="Times New Roman"/>
                <w:sz w:val="17"/>
                <w:szCs w:val="17"/>
              </w:rPr>
            </w:pPr>
          </w:p>
        </w:tc>
        <w:tc>
          <w:tcPr>
            <w:tcW w:w="1849" w:type="dxa"/>
            <w:vMerge/>
            <w:vAlign w:val="center"/>
          </w:tcPr>
          <w:p w14:paraId="1E152D75" w14:textId="77777777" w:rsidR="0054280C" w:rsidRDefault="0054280C">
            <w:pPr>
              <w:jc w:val="center"/>
              <w:rPr>
                <w:rFonts w:ascii="Times New Roman" w:hAnsi="Times New Roman" w:cs="Times New Roman"/>
                <w:sz w:val="17"/>
                <w:szCs w:val="17"/>
              </w:rPr>
            </w:pPr>
          </w:p>
        </w:tc>
        <w:tc>
          <w:tcPr>
            <w:tcW w:w="3703" w:type="dxa"/>
            <w:vAlign w:val="center"/>
          </w:tcPr>
          <w:p w14:paraId="2D7DACE2"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2) Response set combined (RSC)</w:t>
            </w:r>
          </w:p>
        </w:tc>
        <w:tc>
          <w:tcPr>
            <w:tcW w:w="805" w:type="dxa"/>
            <w:vAlign w:val="center"/>
          </w:tcPr>
          <w:p w14:paraId="495E299A"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3C6EC812"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00FE2D3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4897B3B2" w14:textId="77777777" w:rsidTr="00C441B8">
        <w:trPr>
          <w:trHeight w:val="207"/>
        </w:trPr>
        <w:tc>
          <w:tcPr>
            <w:tcW w:w="1576" w:type="dxa"/>
            <w:vMerge/>
            <w:vAlign w:val="center"/>
          </w:tcPr>
          <w:p w14:paraId="690E9488" w14:textId="77777777" w:rsidR="0054280C" w:rsidRDefault="0054280C">
            <w:pPr>
              <w:jc w:val="center"/>
              <w:rPr>
                <w:rFonts w:ascii="Times New Roman" w:hAnsi="Times New Roman" w:cs="Times New Roman"/>
                <w:sz w:val="17"/>
                <w:szCs w:val="17"/>
              </w:rPr>
            </w:pPr>
          </w:p>
        </w:tc>
        <w:tc>
          <w:tcPr>
            <w:tcW w:w="1849" w:type="dxa"/>
            <w:vMerge w:val="restart"/>
            <w:vAlign w:val="center"/>
          </w:tcPr>
          <w:p w14:paraId="6F650187"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Inhibition</w:t>
            </w:r>
          </w:p>
        </w:tc>
        <w:tc>
          <w:tcPr>
            <w:tcW w:w="3703" w:type="dxa"/>
            <w:vAlign w:val="center"/>
          </w:tcPr>
          <w:p w14:paraId="10F89194"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3) Inhibition-inhibition combined (IIC)</w:t>
            </w:r>
          </w:p>
        </w:tc>
        <w:tc>
          <w:tcPr>
            <w:tcW w:w="805" w:type="dxa"/>
            <w:vAlign w:val="center"/>
          </w:tcPr>
          <w:p w14:paraId="2AF5A638"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2CF688D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08EB5E92"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65A06CF8" w14:textId="77777777" w:rsidTr="00C441B8">
        <w:trPr>
          <w:trHeight w:val="219"/>
        </w:trPr>
        <w:tc>
          <w:tcPr>
            <w:tcW w:w="1576" w:type="dxa"/>
            <w:vMerge/>
            <w:vAlign w:val="center"/>
          </w:tcPr>
          <w:p w14:paraId="7ED59764" w14:textId="77777777" w:rsidR="0054280C" w:rsidRDefault="0054280C">
            <w:pPr>
              <w:jc w:val="center"/>
              <w:rPr>
                <w:rFonts w:ascii="Times New Roman" w:hAnsi="Times New Roman" w:cs="Times New Roman"/>
                <w:sz w:val="17"/>
                <w:szCs w:val="17"/>
              </w:rPr>
            </w:pPr>
          </w:p>
        </w:tc>
        <w:tc>
          <w:tcPr>
            <w:tcW w:w="1849" w:type="dxa"/>
            <w:vMerge/>
            <w:vAlign w:val="center"/>
          </w:tcPr>
          <w:p w14:paraId="631DCE76" w14:textId="77777777" w:rsidR="0054280C" w:rsidRDefault="0054280C">
            <w:pPr>
              <w:jc w:val="center"/>
              <w:rPr>
                <w:rFonts w:ascii="Times New Roman" w:hAnsi="Times New Roman" w:cs="Times New Roman"/>
                <w:sz w:val="17"/>
                <w:szCs w:val="17"/>
              </w:rPr>
            </w:pPr>
          </w:p>
        </w:tc>
        <w:tc>
          <w:tcPr>
            <w:tcW w:w="3703" w:type="dxa"/>
            <w:vAlign w:val="center"/>
          </w:tcPr>
          <w:p w14:paraId="09867DE1"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4) Inhibition-naming combined (INC)</w:t>
            </w:r>
          </w:p>
        </w:tc>
        <w:tc>
          <w:tcPr>
            <w:tcW w:w="805" w:type="dxa"/>
            <w:vAlign w:val="center"/>
          </w:tcPr>
          <w:p w14:paraId="0797E1A1"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68B79C8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66FBD17C"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52E8C67E" w14:textId="77777777" w:rsidTr="00C441B8">
        <w:trPr>
          <w:trHeight w:val="207"/>
        </w:trPr>
        <w:tc>
          <w:tcPr>
            <w:tcW w:w="1576" w:type="dxa"/>
            <w:vMerge/>
            <w:vAlign w:val="center"/>
          </w:tcPr>
          <w:p w14:paraId="568147A6" w14:textId="77777777" w:rsidR="0054280C" w:rsidRDefault="0054280C">
            <w:pPr>
              <w:jc w:val="center"/>
              <w:rPr>
                <w:rFonts w:ascii="Times New Roman" w:hAnsi="Times New Roman" w:cs="Times New Roman"/>
                <w:sz w:val="17"/>
                <w:szCs w:val="17"/>
              </w:rPr>
            </w:pPr>
          </w:p>
        </w:tc>
        <w:tc>
          <w:tcPr>
            <w:tcW w:w="1849" w:type="dxa"/>
            <w:vMerge/>
            <w:vAlign w:val="center"/>
          </w:tcPr>
          <w:p w14:paraId="38A6982D" w14:textId="77777777" w:rsidR="0054280C" w:rsidRDefault="0054280C">
            <w:pPr>
              <w:jc w:val="center"/>
              <w:rPr>
                <w:rFonts w:ascii="Times New Roman" w:hAnsi="Times New Roman" w:cs="Times New Roman"/>
                <w:sz w:val="17"/>
                <w:szCs w:val="17"/>
              </w:rPr>
            </w:pPr>
          </w:p>
        </w:tc>
        <w:tc>
          <w:tcPr>
            <w:tcW w:w="3703" w:type="dxa"/>
            <w:vAlign w:val="center"/>
          </w:tcPr>
          <w:p w14:paraId="6A28CD43"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5) Inhibition-switching combined (ISC)</w:t>
            </w:r>
          </w:p>
        </w:tc>
        <w:tc>
          <w:tcPr>
            <w:tcW w:w="805" w:type="dxa"/>
            <w:vAlign w:val="center"/>
          </w:tcPr>
          <w:p w14:paraId="3A577827"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48A950D3"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821" w:type="dxa"/>
            <w:vAlign w:val="center"/>
          </w:tcPr>
          <w:p w14:paraId="228E94A2"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0F983E16" w14:textId="77777777" w:rsidTr="00C441B8">
        <w:trPr>
          <w:trHeight w:val="404"/>
        </w:trPr>
        <w:tc>
          <w:tcPr>
            <w:tcW w:w="1576" w:type="dxa"/>
            <w:vMerge w:val="restart"/>
            <w:vAlign w:val="center"/>
          </w:tcPr>
          <w:p w14:paraId="4713C017"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Language</w:t>
            </w:r>
          </w:p>
        </w:tc>
        <w:tc>
          <w:tcPr>
            <w:tcW w:w="1849" w:type="dxa"/>
            <w:vAlign w:val="center"/>
          </w:tcPr>
          <w:p w14:paraId="5BBD16E8"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Comprehension of Instructions</w:t>
            </w:r>
          </w:p>
        </w:tc>
        <w:tc>
          <w:tcPr>
            <w:tcW w:w="3703" w:type="dxa"/>
            <w:vAlign w:val="center"/>
          </w:tcPr>
          <w:p w14:paraId="0024B959"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6) Comprehension of instructions total score (CITS)</w:t>
            </w:r>
          </w:p>
        </w:tc>
        <w:tc>
          <w:tcPr>
            <w:tcW w:w="805" w:type="dxa"/>
            <w:vAlign w:val="center"/>
          </w:tcPr>
          <w:p w14:paraId="1BE7308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0F3C5594" w14:textId="77777777" w:rsidR="0054280C" w:rsidRDefault="0054280C">
            <w:pPr>
              <w:jc w:val="center"/>
              <w:rPr>
                <w:rFonts w:ascii="Times New Roman" w:hAnsi="Times New Roman" w:cs="Times New Roman"/>
                <w:sz w:val="17"/>
                <w:szCs w:val="17"/>
              </w:rPr>
            </w:pPr>
          </w:p>
        </w:tc>
        <w:tc>
          <w:tcPr>
            <w:tcW w:w="821" w:type="dxa"/>
            <w:vAlign w:val="center"/>
          </w:tcPr>
          <w:p w14:paraId="18ABBDAC"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1CD1F40C" w14:textId="77777777" w:rsidTr="00C441B8">
        <w:trPr>
          <w:trHeight w:val="427"/>
        </w:trPr>
        <w:tc>
          <w:tcPr>
            <w:tcW w:w="1576" w:type="dxa"/>
            <w:vMerge/>
          </w:tcPr>
          <w:p w14:paraId="5E929A39" w14:textId="77777777" w:rsidR="0054280C" w:rsidRDefault="0054280C">
            <w:pPr>
              <w:rPr>
                <w:rFonts w:ascii="Times New Roman" w:hAnsi="Times New Roman" w:cs="Times New Roman"/>
                <w:sz w:val="17"/>
                <w:szCs w:val="17"/>
              </w:rPr>
            </w:pPr>
          </w:p>
        </w:tc>
        <w:tc>
          <w:tcPr>
            <w:tcW w:w="1849" w:type="dxa"/>
            <w:vAlign w:val="center"/>
          </w:tcPr>
          <w:p w14:paraId="39335A71"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Speeded Naming</w:t>
            </w:r>
          </w:p>
        </w:tc>
        <w:tc>
          <w:tcPr>
            <w:tcW w:w="3703" w:type="dxa"/>
            <w:vAlign w:val="center"/>
          </w:tcPr>
          <w:p w14:paraId="022183CF"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7) Speeded naming combined (SNC)</w:t>
            </w:r>
          </w:p>
        </w:tc>
        <w:tc>
          <w:tcPr>
            <w:tcW w:w="805" w:type="dxa"/>
            <w:vAlign w:val="center"/>
          </w:tcPr>
          <w:p w14:paraId="5ACA5F1C"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20AF96E2" w14:textId="77777777" w:rsidR="0054280C" w:rsidRDefault="0054280C">
            <w:pPr>
              <w:jc w:val="center"/>
              <w:rPr>
                <w:rFonts w:ascii="Times New Roman" w:hAnsi="Times New Roman" w:cs="Times New Roman"/>
                <w:sz w:val="17"/>
                <w:szCs w:val="17"/>
              </w:rPr>
            </w:pPr>
          </w:p>
        </w:tc>
        <w:tc>
          <w:tcPr>
            <w:tcW w:w="821" w:type="dxa"/>
            <w:vAlign w:val="center"/>
          </w:tcPr>
          <w:p w14:paraId="0B3C213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5FB062FE" w14:textId="77777777" w:rsidTr="00C441B8">
        <w:trPr>
          <w:trHeight w:val="404"/>
        </w:trPr>
        <w:tc>
          <w:tcPr>
            <w:tcW w:w="1576" w:type="dxa"/>
            <w:vMerge w:val="restart"/>
            <w:vAlign w:val="center"/>
          </w:tcPr>
          <w:p w14:paraId="3D8C4062"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Memory/Learning</w:t>
            </w:r>
          </w:p>
        </w:tc>
        <w:tc>
          <w:tcPr>
            <w:tcW w:w="1849" w:type="dxa"/>
            <w:vAlign w:val="center"/>
          </w:tcPr>
          <w:p w14:paraId="488EC924"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Memory for Faces Immediate</w:t>
            </w:r>
          </w:p>
        </w:tc>
        <w:tc>
          <w:tcPr>
            <w:tcW w:w="3703" w:type="dxa"/>
            <w:vAlign w:val="center"/>
          </w:tcPr>
          <w:p w14:paraId="28C7463E"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8) Memory for faces total score (MFFS)</w:t>
            </w:r>
          </w:p>
        </w:tc>
        <w:tc>
          <w:tcPr>
            <w:tcW w:w="805" w:type="dxa"/>
            <w:vAlign w:val="center"/>
          </w:tcPr>
          <w:p w14:paraId="7FDE7C08"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15493200" w14:textId="77777777" w:rsidR="0054280C" w:rsidRDefault="0054280C">
            <w:pPr>
              <w:jc w:val="center"/>
              <w:rPr>
                <w:rFonts w:ascii="Times New Roman" w:hAnsi="Times New Roman" w:cs="Times New Roman"/>
                <w:sz w:val="17"/>
                <w:szCs w:val="17"/>
              </w:rPr>
            </w:pPr>
          </w:p>
        </w:tc>
        <w:tc>
          <w:tcPr>
            <w:tcW w:w="821" w:type="dxa"/>
            <w:vAlign w:val="center"/>
          </w:tcPr>
          <w:p w14:paraId="340FDD7A"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12BEFAAA" w14:textId="77777777" w:rsidTr="00C441B8">
        <w:trPr>
          <w:trHeight w:val="415"/>
        </w:trPr>
        <w:tc>
          <w:tcPr>
            <w:tcW w:w="1576" w:type="dxa"/>
            <w:vMerge/>
            <w:vAlign w:val="center"/>
          </w:tcPr>
          <w:p w14:paraId="0CD283AB" w14:textId="77777777" w:rsidR="0054280C" w:rsidRDefault="0054280C">
            <w:pPr>
              <w:jc w:val="center"/>
              <w:rPr>
                <w:rFonts w:ascii="Times New Roman" w:hAnsi="Times New Roman" w:cs="Times New Roman"/>
                <w:sz w:val="17"/>
                <w:szCs w:val="17"/>
              </w:rPr>
            </w:pPr>
          </w:p>
        </w:tc>
        <w:tc>
          <w:tcPr>
            <w:tcW w:w="1849" w:type="dxa"/>
            <w:vAlign w:val="center"/>
          </w:tcPr>
          <w:p w14:paraId="0311DEFD"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Memory for Faces Delayed</w:t>
            </w:r>
          </w:p>
        </w:tc>
        <w:tc>
          <w:tcPr>
            <w:tcW w:w="3703" w:type="dxa"/>
            <w:vAlign w:val="center"/>
          </w:tcPr>
          <w:p w14:paraId="5FA4354C"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9) Memory for faces delayed total score (MFFDTS)</w:t>
            </w:r>
          </w:p>
        </w:tc>
        <w:tc>
          <w:tcPr>
            <w:tcW w:w="805" w:type="dxa"/>
            <w:vAlign w:val="center"/>
          </w:tcPr>
          <w:p w14:paraId="399D96F4"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6DB4E029" w14:textId="77777777" w:rsidR="0054280C" w:rsidRDefault="0054280C">
            <w:pPr>
              <w:jc w:val="center"/>
              <w:rPr>
                <w:rFonts w:ascii="Times New Roman" w:hAnsi="Times New Roman" w:cs="Times New Roman"/>
                <w:sz w:val="17"/>
                <w:szCs w:val="17"/>
              </w:rPr>
            </w:pPr>
          </w:p>
        </w:tc>
        <w:tc>
          <w:tcPr>
            <w:tcW w:w="821" w:type="dxa"/>
            <w:vAlign w:val="center"/>
          </w:tcPr>
          <w:p w14:paraId="4F0876B6"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24C7E4E4" w14:textId="77777777" w:rsidTr="00C441B8">
        <w:trPr>
          <w:trHeight w:val="415"/>
        </w:trPr>
        <w:tc>
          <w:tcPr>
            <w:tcW w:w="1576" w:type="dxa"/>
            <w:vMerge/>
            <w:vAlign w:val="center"/>
          </w:tcPr>
          <w:p w14:paraId="43A2F75E" w14:textId="77777777" w:rsidR="0054280C" w:rsidRDefault="0054280C">
            <w:pPr>
              <w:jc w:val="center"/>
              <w:rPr>
                <w:rFonts w:ascii="Times New Roman" w:hAnsi="Times New Roman" w:cs="Times New Roman"/>
                <w:sz w:val="17"/>
                <w:szCs w:val="17"/>
              </w:rPr>
            </w:pPr>
          </w:p>
        </w:tc>
        <w:tc>
          <w:tcPr>
            <w:tcW w:w="1849" w:type="dxa"/>
            <w:vAlign w:val="center"/>
          </w:tcPr>
          <w:p w14:paraId="5DF8A00C"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Narrative Memory</w:t>
            </w:r>
          </w:p>
        </w:tc>
        <w:tc>
          <w:tcPr>
            <w:tcW w:w="3703" w:type="dxa"/>
            <w:vAlign w:val="center"/>
          </w:tcPr>
          <w:p w14:paraId="2620D077"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53EA327B" w14:textId="77777777" w:rsidR="0054280C" w:rsidRDefault="0054280C">
            <w:pPr>
              <w:jc w:val="center"/>
              <w:rPr>
                <w:rFonts w:ascii="Times New Roman" w:hAnsi="Times New Roman" w:cs="Times New Roman"/>
                <w:sz w:val="17"/>
                <w:szCs w:val="17"/>
              </w:rPr>
            </w:pPr>
          </w:p>
        </w:tc>
        <w:tc>
          <w:tcPr>
            <w:tcW w:w="715" w:type="dxa"/>
            <w:vAlign w:val="center"/>
          </w:tcPr>
          <w:p w14:paraId="5A9F7CF0" w14:textId="77777777" w:rsidR="0054280C" w:rsidRDefault="0054280C">
            <w:pPr>
              <w:jc w:val="center"/>
              <w:rPr>
                <w:rFonts w:ascii="Times New Roman" w:hAnsi="Times New Roman" w:cs="Times New Roman"/>
                <w:sz w:val="17"/>
                <w:szCs w:val="17"/>
              </w:rPr>
            </w:pPr>
          </w:p>
        </w:tc>
        <w:tc>
          <w:tcPr>
            <w:tcW w:w="821" w:type="dxa"/>
            <w:vAlign w:val="center"/>
          </w:tcPr>
          <w:p w14:paraId="3388DE60" w14:textId="77777777" w:rsidR="0054280C" w:rsidRDefault="0054280C">
            <w:pPr>
              <w:jc w:val="center"/>
              <w:rPr>
                <w:rFonts w:ascii="Times New Roman" w:hAnsi="Times New Roman" w:cs="Times New Roman"/>
                <w:sz w:val="17"/>
                <w:szCs w:val="17"/>
              </w:rPr>
            </w:pPr>
          </w:p>
        </w:tc>
      </w:tr>
      <w:tr w:rsidR="0054280C" w14:paraId="57CB5471" w14:textId="77777777" w:rsidTr="00C441B8">
        <w:trPr>
          <w:trHeight w:val="404"/>
        </w:trPr>
        <w:tc>
          <w:tcPr>
            <w:tcW w:w="1576" w:type="dxa"/>
            <w:vMerge w:val="restart"/>
            <w:vAlign w:val="center"/>
          </w:tcPr>
          <w:p w14:paraId="23A4B467"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Visuospatial Processing</w:t>
            </w:r>
          </w:p>
        </w:tc>
        <w:tc>
          <w:tcPr>
            <w:tcW w:w="1849" w:type="dxa"/>
            <w:vAlign w:val="center"/>
          </w:tcPr>
          <w:p w14:paraId="00A9A864"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Design Copying</w:t>
            </w:r>
          </w:p>
        </w:tc>
        <w:tc>
          <w:tcPr>
            <w:tcW w:w="3703" w:type="dxa"/>
            <w:vAlign w:val="center"/>
          </w:tcPr>
          <w:p w14:paraId="07ADB70F"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10) Design copying process total score (DCGTS)</w:t>
            </w:r>
          </w:p>
        </w:tc>
        <w:tc>
          <w:tcPr>
            <w:tcW w:w="805" w:type="dxa"/>
            <w:vAlign w:val="center"/>
          </w:tcPr>
          <w:p w14:paraId="2E546CCE"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77DEDC35" w14:textId="77777777" w:rsidR="0054280C" w:rsidRDefault="0054280C">
            <w:pPr>
              <w:jc w:val="center"/>
              <w:rPr>
                <w:rFonts w:ascii="Times New Roman" w:hAnsi="Times New Roman" w:cs="Times New Roman"/>
                <w:sz w:val="17"/>
                <w:szCs w:val="17"/>
              </w:rPr>
            </w:pPr>
          </w:p>
        </w:tc>
        <w:tc>
          <w:tcPr>
            <w:tcW w:w="821" w:type="dxa"/>
            <w:vAlign w:val="center"/>
          </w:tcPr>
          <w:p w14:paraId="3BB2DCBF"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0B251264" w14:textId="77777777" w:rsidTr="00C441B8">
        <w:trPr>
          <w:trHeight w:val="415"/>
        </w:trPr>
        <w:tc>
          <w:tcPr>
            <w:tcW w:w="1576" w:type="dxa"/>
            <w:vMerge/>
          </w:tcPr>
          <w:p w14:paraId="2E7350B6" w14:textId="77777777" w:rsidR="0054280C" w:rsidRDefault="0054280C">
            <w:pPr>
              <w:rPr>
                <w:rFonts w:ascii="Times New Roman" w:hAnsi="Times New Roman" w:cs="Times New Roman"/>
                <w:sz w:val="17"/>
                <w:szCs w:val="17"/>
              </w:rPr>
            </w:pPr>
          </w:p>
        </w:tc>
        <w:tc>
          <w:tcPr>
            <w:tcW w:w="1849" w:type="dxa"/>
            <w:vAlign w:val="center"/>
          </w:tcPr>
          <w:p w14:paraId="18EC31E8"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Geometric Puzzles</w:t>
            </w:r>
          </w:p>
        </w:tc>
        <w:tc>
          <w:tcPr>
            <w:tcW w:w="3703" w:type="dxa"/>
            <w:vAlign w:val="center"/>
          </w:tcPr>
          <w:p w14:paraId="38435850"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11) Geometric puzzles total score (GPTS)</w:t>
            </w:r>
          </w:p>
        </w:tc>
        <w:tc>
          <w:tcPr>
            <w:tcW w:w="805" w:type="dxa"/>
            <w:vAlign w:val="center"/>
          </w:tcPr>
          <w:p w14:paraId="0A9FD666"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c>
          <w:tcPr>
            <w:tcW w:w="715" w:type="dxa"/>
            <w:vAlign w:val="center"/>
          </w:tcPr>
          <w:p w14:paraId="30F0B8A9" w14:textId="77777777" w:rsidR="0054280C" w:rsidRDefault="0054280C">
            <w:pPr>
              <w:jc w:val="center"/>
              <w:rPr>
                <w:rFonts w:ascii="Times New Roman" w:hAnsi="Times New Roman" w:cs="Times New Roman"/>
                <w:sz w:val="17"/>
                <w:szCs w:val="17"/>
              </w:rPr>
            </w:pPr>
          </w:p>
        </w:tc>
        <w:tc>
          <w:tcPr>
            <w:tcW w:w="821" w:type="dxa"/>
            <w:vAlign w:val="center"/>
          </w:tcPr>
          <w:p w14:paraId="1DE8E85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r w:rsidR="0054280C" w14:paraId="152B3378" w14:textId="77777777" w:rsidTr="00C441B8">
        <w:trPr>
          <w:trHeight w:val="404"/>
        </w:trPr>
        <w:tc>
          <w:tcPr>
            <w:tcW w:w="1576" w:type="dxa"/>
            <w:vMerge w:val="restart"/>
            <w:vAlign w:val="center"/>
          </w:tcPr>
          <w:p w14:paraId="283F4B30" w14:textId="77777777" w:rsidR="0054280C" w:rsidRDefault="00B71134">
            <w:pPr>
              <w:jc w:val="center"/>
              <w:rPr>
                <w:rFonts w:ascii="Times New Roman" w:hAnsi="Times New Roman" w:cs="Times New Roman"/>
                <w:sz w:val="17"/>
                <w:szCs w:val="17"/>
              </w:rPr>
            </w:pPr>
            <w:commentRangeStart w:id="24"/>
            <w:commentRangeStart w:id="25"/>
            <w:r>
              <w:rPr>
                <w:rFonts w:ascii="Times New Roman" w:hAnsi="Times New Roman" w:cs="Times New Roman"/>
                <w:sz w:val="17"/>
                <w:szCs w:val="17"/>
              </w:rPr>
              <w:t>Sensorimotor</w:t>
            </w:r>
            <w:commentRangeEnd w:id="24"/>
            <w:r>
              <w:commentReference w:id="24"/>
            </w:r>
            <w:commentRangeEnd w:id="25"/>
            <w:r w:rsidR="00353398">
              <w:rPr>
                <w:rStyle w:val="CommentReference"/>
                <w:lang w:eastAsia="en-US"/>
              </w:rPr>
              <w:commentReference w:id="25"/>
            </w:r>
          </w:p>
        </w:tc>
        <w:tc>
          <w:tcPr>
            <w:tcW w:w="1849" w:type="dxa"/>
            <w:vAlign w:val="center"/>
          </w:tcPr>
          <w:p w14:paraId="33A7FC40"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Visuospatial Processing</w:t>
            </w:r>
          </w:p>
        </w:tc>
        <w:tc>
          <w:tcPr>
            <w:tcW w:w="3703" w:type="dxa"/>
            <w:vAlign w:val="center"/>
          </w:tcPr>
          <w:p w14:paraId="4E84FBAA"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5EB78F7C" w14:textId="77777777" w:rsidR="0054280C" w:rsidRDefault="0054280C">
            <w:pPr>
              <w:rPr>
                <w:rFonts w:ascii="Times New Roman" w:hAnsi="Times New Roman" w:cs="Times New Roman"/>
                <w:sz w:val="17"/>
                <w:szCs w:val="17"/>
              </w:rPr>
            </w:pPr>
          </w:p>
        </w:tc>
        <w:tc>
          <w:tcPr>
            <w:tcW w:w="715" w:type="dxa"/>
            <w:vAlign w:val="center"/>
          </w:tcPr>
          <w:p w14:paraId="43086303" w14:textId="77777777" w:rsidR="0054280C" w:rsidRDefault="0054280C">
            <w:pPr>
              <w:rPr>
                <w:rFonts w:ascii="Times New Roman" w:hAnsi="Times New Roman" w:cs="Times New Roman"/>
                <w:sz w:val="17"/>
                <w:szCs w:val="17"/>
              </w:rPr>
            </w:pPr>
          </w:p>
        </w:tc>
        <w:tc>
          <w:tcPr>
            <w:tcW w:w="821" w:type="dxa"/>
            <w:vAlign w:val="center"/>
          </w:tcPr>
          <w:p w14:paraId="33CB3133" w14:textId="77777777" w:rsidR="0054280C" w:rsidRDefault="0054280C">
            <w:pPr>
              <w:rPr>
                <w:rFonts w:ascii="Times New Roman" w:hAnsi="Times New Roman" w:cs="Times New Roman"/>
                <w:sz w:val="17"/>
                <w:szCs w:val="17"/>
              </w:rPr>
            </w:pPr>
          </w:p>
        </w:tc>
      </w:tr>
      <w:tr w:rsidR="0054280C" w14:paraId="2739C385" w14:textId="77777777" w:rsidTr="00C441B8">
        <w:trPr>
          <w:trHeight w:val="415"/>
        </w:trPr>
        <w:tc>
          <w:tcPr>
            <w:tcW w:w="1576" w:type="dxa"/>
            <w:vMerge/>
          </w:tcPr>
          <w:p w14:paraId="35623014" w14:textId="77777777" w:rsidR="0054280C" w:rsidRDefault="0054280C">
            <w:pPr>
              <w:jc w:val="center"/>
              <w:rPr>
                <w:rFonts w:ascii="Times New Roman" w:hAnsi="Times New Roman" w:cs="Times New Roman"/>
                <w:sz w:val="17"/>
                <w:szCs w:val="17"/>
              </w:rPr>
            </w:pPr>
          </w:p>
        </w:tc>
        <w:tc>
          <w:tcPr>
            <w:tcW w:w="1849" w:type="dxa"/>
            <w:vAlign w:val="center"/>
          </w:tcPr>
          <w:p w14:paraId="12DB2C8F"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Visuomotor Precision</w:t>
            </w:r>
          </w:p>
        </w:tc>
        <w:tc>
          <w:tcPr>
            <w:tcW w:w="3703" w:type="dxa"/>
            <w:vAlign w:val="center"/>
          </w:tcPr>
          <w:p w14:paraId="7D4933C0"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N/A</w:t>
            </w:r>
          </w:p>
        </w:tc>
        <w:tc>
          <w:tcPr>
            <w:tcW w:w="805" w:type="dxa"/>
            <w:vAlign w:val="center"/>
          </w:tcPr>
          <w:p w14:paraId="7C5349BA" w14:textId="77777777" w:rsidR="0054280C" w:rsidRDefault="0054280C">
            <w:pPr>
              <w:rPr>
                <w:rFonts w:ascii="Times New Roman" w:hAnsi="Times New Roman" w:cs="Times New Roman"/>
                <w:sz w:val="17"/>
                <w:szCs w:val="17"/>
              </w:rPr>
            </w:pPr>
          </w:p>
        </w:tc>
        <w:tc>
          <w:tcPr>
            <w:tcW w:w="715" w:type="dxa"/>
            <w:vAlign w:val="center"/>
          </w:tcPr>
          <w:p w14:paraId="224063E0" w14:textId="77777777" w:rsidR="0054280C" w:rsidRDefault="0054280C">
            <w:pPr>
              <w:rPr>
                <w:rFonts w:ascii="Times New Roman" w:hAnsi="Times New Roman" w:cs="Times New Roman"/>
                <w:sz w:val="17"/>
                <w:szCs w:val="17"/>
              </w:rPr>
            </w:pPr>
          </w:p>
        </w:tc>
        <w:tc>
          <w:tcPr>
            <w:tcW w:w="821" w:type="dxa"/>
            <w:vAlign w:val="center"/>
          </w:tcPr>
          <w:p w14:paraId="1B44533B" w14:textId="77777777" w:rsidR="0054280C" w:rsidRDefault="0054280C">
            <w:pPr>
              <w:rPr>
                <w:rFonts w:ascii="Times New Roman" w:hAnsi="Times New Roman" w:cs="Times New Roman"/>
                <w:sz w:val="17"/>
                <w:szCs w:val="17"/>
              </w:rPr>
            </w:pPr>
          </w:p>
        </w:tc>
      </w:tr>
      <w:tr w:rsidR="0054280C" w14:paraId="0C794953" w14:textId="77777777" w:rsidTr="00C441B8">
        <w:trPr>
          <w:trHeight w:val="196"/>
        </w:trPr>
        <w:tc>
          <w:tcPr>
            <w:tcW w:w="1576" w:type="dxa"/>
          </w:tcPr>
          <w:p w14:paraId="6E0E8AEC"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Social Perception</w:t>
            </w:r>
          </w:p>
        </w:tc>
        <w:tc>
          <w:tcPr>
            <w:tcW w:w="1849" w:type="dxa"/>
            <w:vAlign w:val="center"/>
          </w:tcPr>
          <w:p w14:paraId="3EF4761F"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Affect Recognition</w:t>
            </w:r>
          </w:p>
        </w:tc>
        <w:tc>
          <w:tcPr>
            <w:tcW w:w="3703" w:type="dxa"/>
            <w:vAlign w:val="center"/>
          </w:tcPr>
          <w:p w14:paraId="43645CCD" w14:textId="77777777" w:rsidR="0054280C" w:rsidRDefault="00B71134">
            <w:pPr>
              <w:rPr>
                <w:rFonts w:ascii="Times New Roman" w:hAnsi="Times New Roman" w:cs="Times New Roman"/>
                <w:sz w:val="17"/>
                <w:szCs w:val="17"/>
              </w:rPr>
            </w:pPr>
            <w:r>
              <w:rPr>
                <w:rFonts w:ascii="Times New Roman" w:hAnsi="Times New Roman" w:cs="Times New Roman"/>
                <w:sz w:val="17"/>
                <w:szCs w:val="17"/>
              </w:rPr>
              <w:t>12) Affect recognition total score (ARTS)</w:t>
            </w:r>
          </w:p>
        </w:tc>
        <w:tc>
          <w:tcPr>
            <w:tcW w:w="805" w:type="dxa"/>
            <w:vAlign w:val="center"/>
          </w:tcPr>
          <w:p w14:paraId="7C4900A2" w14:textId="77777777" w:rsidR="0054280C" w:rsidRDefault="0054280C">
            <w:pPr>
              <w:rPr>
                <w:rFonts w:ascii="Times New Roman" w:hAnsi="Times New Roman" w:cs="Times New Roman"/>
                <w:sz w:val="17"/>
                <w:szCs w:val="17"/>
              </w:rPr>
            </w:pPr>
          </w:p>
        </w:tc>
        <w:tc>
          <w:tcPr>
            <w:tcW w:w="715" w:type="dxa"/>
            <w:vAlign w:val="center"/>
          </w:tcPr>
          <w:p w14:paraId="17AA30BA" w14:textId="77777777" w:rsidR="0054280C" w:rsidRDefault="0054280C">
            <w:pPr>
              <w:rPr>
                <w:rFonts w:ascii="Times New Roman" w:hAnsi="Times New Roman" w:cs="Times New Roman"/>
                <w:sz w:val="17"/>
                <w:szCs w:val="17"/>
              </w:rPr>
            </w:pPr>
          </w:p>
        </w:tc>
        <w:tc>
          <w:tcPr>
            <w:tcW w:w="821" w:type="dxa"/>
            <w:vAlign w:val="center"/>
          </w:tcPr>
          <w:p w14:paraId="771C1C5E" w14:textId="77777777" w:rsidR="0054280C" w:rsidRDefault="00B71134">
            <w:pPr>
              <w:jc w:val="center"/>
              <w:rPr>
                <w:rFonts w:ascii="Times New Roman" w:hAnsi="Times New Roman" w:cs="Times New Roman"/>
                <w:sz w:val="17"/>
                <w:szCs w:val="17"/>
              </w:rPr>
            </w:pPr>
            <w:r>
              <w:rPr>
                <w:rFonts w:ascii="Times New Roman" w:hAnsi="Times New Roman" w:cs="Times New Roman"/>
                <w:sz w:val="17"/>
                <w:szCs w:val="17"/>
              </w:rPr>
              <w:t>X</w:t>
            </w:r>
          </w:p>
        </w:tc>
      </w:tr>
    </w:tbl>
    <w:p w14:paraId="23FE9C58" w14:textId="77777777" w:rsidR="0054280C" w:rsidRDefault="0054280C">
      <w:pPr>
        <w:ind w:firstLine="720"/>
        <w:jc w:val="both"/>
        <w:rPr>
          <w:color w:val="000000"/>
          <w:sz w:val="22"/>
          <w:szCs w:val="22"/>
        </w:rPr>
      </w:pPr>
    </w:p>
    <w:p w14:paraId="795197E3" w14:textId="77777777" w:rsidR="0054280C" w:rsidRDefault="0054280C">
      <w:pPr>
        <w:ind w:firstLine="720"/>
        <w:jc w:val="both"/>
        <w:rPr>
          <w:color w:val="000000"/>
          <w:sz w:val="22"/>
          <w:szCs w:val="22"/>
        </w:rPr>
      </w:pPr>
    </w:p>
    <w:p w14:paraId="4A3CC9A3" w14:textId="77777777" w:rsidR="0054280C" w:rsidRDefault="0054280C" w:rsidP="00C441B8">
      <w:pPr>
        <w:jc w:val="both"/>
        <w:rPr>
          <w:color w:val="000000"/>
          <w:sz w:val="22"/>
          <w:szCs w:val="22"/>
        </w:rPr>
      </w:pPr>
    </w:p>
    <w:p w14:paraId="19105AE4" w14:textId="47A8F482" w:rsidR="0054280C" w:rsidRDefault="00B71134">
      <w:pPr>
        <w:ind w:firstLine="720"/>
        <w:jc w:val="both"/>
        <w:rPr>
          <w:color w:val="000000"/>
          <w:sz w:val="22"/>
          <w:szCs w:val="22"/>
        </w:rPr>
      </w:pPr>
      <w:commentRangeStart w:id="26"/>
      <w:commentRangeStart w:id="27"/>
      <w:r>
        <w:rPr>
          <w:color w:val="000000"/>
          <w:sz w:val="22"/>
          <w:szCs w:val="22"/>
        </w:rPr>
        <w:t xml:space="preserve">Attention/Inhibitory Control included the subset of ‘auditory attention combined’ (AAC) and ‘response set combined’ (RSC), and ‘inhibition’. AAC assesses selective auditory attention and the ability to sustain </w:t>
      </w:r>
      <w:proofErr w:type="gramStart"/>
      <w:r>
        <w:rPr>
          <w:color w:val="000000"/>
          <w:sz w:val="22"/>
          <w:szCs w:val="22"/>
        </w:rPr>
        <w:t>it</w:t>
      </w:r>
      <w:proofErr w:type="gramEnd"/>
      <w:r>
        <w:rPr>
          <w:color w:val="000000"/>
          <w:sz w:val="22"/>
          <w:szCs w:val="22"/>
        </w:rPr>
        <w:t xml:space="preserve"> and RSC assesses the ability to shift attention while selectively responding to auditory target words. Participants listened to a series of words and </w:t>
      </w:r>
      <w:proofErr w:type="gramStart"/>
      <w:r>
        <w:rPr>
          <w:color w:val="000000"/>
          <w:sz w:val="22"/>
          <w:szCs w:val="22"/>
        </w:rPr>
        <w:t>point</w:t>
      </w:r>
      <w:proofErr w:type="gramEnd"/>
      <w:r>
        <w:rPr>
          <w:color w:val="000000"/>
          <w:sz w:val="22"/>
          <w:szCs w:val="22"/>
        </w:rPr>
        <w:t xml:space="preserve"> to appropriate circles when they </w:t>
      </w:r>
      <w:proofErr w:type="gramStart"/>
      <w:r>
        <w:rPr>
          <w:color w:val="000000"/>
          <w:sz w:val="22"/>
          <w:szCs w:val="22"/>
        </w:rPr>
        <w:t>hear</w:t>
      </w:r>
      <w:proofErr w:type="gramEnd"/>
      <w:r>
        <w:rPr>
          <w:color w:val="000000"/>
          <w:sz w:val="22"/>
          <w:szCs w:val="22"/>
        </w:rPr>
        <w:t xml:space="preserve"> a target word. “Combined” indicates that two or more measures within the subtest were combined to create a total score. Inhibition test assesses the ability to inhibit automatic responses in favor of novel responses and the ability to switch between response types. Inhibition is split into three </w:t>
      </w:r>
      <w:proofErr w:type="gramStart"/>
      <w:r>
        <w:rPr>
          <w:color w:val="000000"/>
          <w:sz w:val="22"/>
          <w:szCs w:val="22"/>
        </w:rPr>
        <w:t>parts: ‘</w:t>
      </w:r>
      <w:proofErr w:type="gramEnd"/>
      <w:r>
        <w:rPr>
          <w:color w:val="000000"/>
          <w:sz w:val="22"/>
          <w:szCs w:val="22"/>
        </w:rPr>
        <w:t>inhibition-inhibition combined’ (IIC</w:t>
      </w:r>
      <w:proofErr w:type="gramStart"/>
      <w:r>
        <w:rPr>
          <w:color w:val="000000"/>
          <w:sz w:val="22"/>
          <w:szCs w:val="22"/>
        </w:rPr>
        <w:t>), ‘</w:t>
      </w:r>
      <w:proofErr w:type="gramEnd"/>
      <w:r>
        <w:rPr>
          <w:color w:val="000000"/>
          <w:sz w:val="22"/>
          <w:szCs w:val="22"/>
        </w:rPr>
        <w:t xml:space="preserve">inhibition-naming combined (INC) and ‘inhibition-switching combined (ISC). The test has two items: Shapes or Arrows. If participants are given pictures of shapes (circle or square), INC refers to the ability to name the shapes accurately; IIC is naming the circle as a square and the square as circle; ISC is naming black shapes the accurate shape type and naming white shapes the other shape type (ex: black square should be named “square”, white circle should be named “square”). Inhibition subsets were also reported as the average of IIC, INC and ISC subsets </w:t>
      </w:r>
      <w:r>
        <w:rPr>
          <w:color w:val="000000"/>
          <w:sz w:val="22"/>
          <w:szCs w:val="22"/>
        </w:rPr>
        <w:fldChar w:fldCharType="begin"/>
      </w:r>
      <w:r>
        <w:rPr>
          <w:color w:val="000000"/>
          <w:sz w:val="22"/>
          <w:szCs w:val="22"/>
        </w:rPr>
        <w:instrText xml:space="preserve"> ADDIN ZOTERO_ITEM CSL_CITATION {"citationID":"BrQMUoUm","properties":{"formattedCitation":"(Korkman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 xml:space="preserve">. </w:t>
      </w:r>
    </w:p>
    <w:p w14:paraId="237BAD27" w14:textId="77777777" w:rsidR="0054280C" w:rsidRDefault="00B71134">
      <w:pPr>
        <w:ind w:firstLine="720"/>
        <w:jc w:val="both"/>
        <w:rPr>
          <w:color w:val="000000"/>
          <w:sz w:val="22"/>
          <w:szCs w:val="22"/>
        </w:rPr>
      </w:pPr>
      <w:r>
        <w:rPr>
          <w:color w:val="000000"/>
          <w:sz w:val="22"/>
          <w:szCs w:val="22"/>
        </w:rPr>
        <w:t xml:space="preserve">Language included the subsets of ‘comprehension of instructions total score’ (CITS) and ‘speeded naming combined’ (SNC). CITS assesses the ability to perceive, process and execute oral instructions with increasing syntactic complexity. The participant pointed to appropriate stimuli in response to oral instructions. SNC is a timed subtest that assesses the participants rapid semantic access to and production </w:t>
      </w:r>
      <w:r>
        <w:rPr>
          <w:color w:val="000000"/>
          <w:sz w:val="22"/>
          <w:szCs w:val="22"/>
        </w:rPr>
        <w:lastRenderedPageBreak/>
        <w:t xml:space="preserve">of names of colors, shapes, sizes or numbers. Participants are given an array of colors and shapes, and they name them in order as fast as possible. </w:t>
      </w:r>
    </w:p>
    <w:p w14:paraId="5AAE8037" w14:textId="77777777" w:rsidR="0054280C" w:rsidRDefault="00B71134">
      <w:pPr>
        <w:ind w:firstLine="720"/>
        <w:jc w:val="both"/>
        <w:rPr>
          <w:color w:val="000000"/>
          <w:sz w:val="22"/>
          <w:szCs w:val="22"/>
        </w:rPr>
      </w:pPr>
      <w:r>
        <w:rPr>
          <w:color w:val="000000"/>
          <w:sz w:val="22"/>
          <w:szCs w:val="22"/>
        </w:rPr>
        <w:t xml:space="preserve">Memory/Learning included the subsets of ‘memory for faces immediate total score’ (MFFS) and ‘memory for faces delayed total score’ (MFFDTS). MFFS assesses </w:t>
      </w:r>
      <w:proofErr w:type="gramStart"/>
      <w:r>
        <w:rPr>
          <w:color w:val="000000"/>
          <w:sz w:val="22"/>
          <w:szCs w:val="22"/>
        </w:rPr>
        <w:t>encoding of facial</w:t>
      </w:r>
      <w:proofErr w:type="gramEnd"/>
      <w:r>
        <w:rPr>
          <w:color w:val="000000"/>
          <w:sz w:val="22"/>
          <w:szCs w:val="22"/>
        </w:rPr>
        <w:t xml:space="preserve"> features and face discrimination and recognition. Participants look at a series of faces and then </w:t>
      </w:r>
      <w:proofErr w:type="gramStart"/>
      <w:r>
        <w:rPr>
          <w:color w:val="000000"/>
          <w:sz w:val="22"/>
          <w:szCs w:val="22"/>
        </w:rPr>
        <w:t>given</w:t>
      </w:r>
      <w:proofErr w:type="gramEnd"/>
      <w:r>
        <w:rPr>
          <w:color w:val="000000"/>
          <w:sz w:val="22"/>
          <w:szCs w:val="22"/>
        </w:rPr>
        <w:t xml:space="preserve"> three photographs at a time, from which they pick pictures of faces they have previously seen. MFFDTS assesses long-term memory for faces using delayed tasks.</w:t>
      </w:r>
    </w:p>
    <w:p w14:paraId="7379B005" w14:textId="77777777" w:rsidR="0054280C" w:rsidRDefault="00B71134">
      <w:pPr>
        <w:ind w:firstLine="720"/>
        <w:jc w:val="both"/>
        <w:rPr>
          <w:color w:val="000000"/>
          <w:sz w:val="22"/>
          <w:szCs w:val="22"/>
        </w:rPr>
      </w:pPr>
      <w:r>
        <w:rPr>
          <w:color w:val="000000"/>
          <w:sz w:val="22"/>
          <w:szCs w:val="22"/>
        </w:rPr>
        <w:t xml:space="preserve">Visuospatial Processing included the ‘design copying total score’ (DCGTS) and ‘geometric puzzle total score (GPTS) subsets. DCGTS assesses motor and visual-perceptual skills through the ability to copy drawings of two-dimensional geometric figures. GPTS assesses mental rotation, visuospatial analysis, and attention to </w:t>
      </w:r>
      <w:proofErr w:type="gramStart"/>
      <w:r>
        <w:rPr>
          <w:rFonts w:eastAsia="Times New Roman"/>
          <w:color w:val="000000"/>
          <w:sz w:val="0"/>
          <w:szCs w:val="0"/>
          <w:shd w:val="clear" w:color="000000" w:fill="000000"/>
        </w:rPr>
        <w:t xml:space="preserve">ana  </w:t>
      </w:r>
      <w:proofErr w:type="spellStart"/>
      <w:r>
        <w:rPr>
          <w:rFonts w:eastAsia="Times New Roman"/>
          <w:color w:val="000000"/>
          <w:sz w:val="0"/>
          <w:szCs w:val="0"/>
          <w:shd w:val="clear" w:color="000000" w:fill="000000"/>
        </w:rPr>
        <w:t>lys</w:t>
      </w:r>
      <w:r>
        <w:rPr>
          <w:color w:val="000000"/>
          <w:sz w:val="22"/>
          <w:szCs w:val="22"/>
        </w:rPr>
        <w:t>analysis</w:t>
      </w:r>
      <w:proofErr w:type="spellEnd"/>
      <w:proofErr w:type="gramEnd"/>
      <w:r>
        <w:rPr>
          <w:color w:val="000000"/>
          <w:sz w:val="22"/>
          <w:szCs w:val="22"/>
        </w:rPr>
        <w:t xml:space="preserve">. Participants are presented with a grid containing different shapes and must match shapes from outside the grid to shapes within the grid. </w:t>
      </w:r>
    </w:p>
    <w:p w14:paraId="1E629B31" w14:textId="79C52E22" w:rsidR="0054280C" w:rsidRDefault="00B71134">
      <w:pPr>
        <w:ind w:firstLine="720"/>
        <w:jc w:val="both"/>
        <w:rPr>
          <w:color w:val="000000"/>
          <w:sz w:val="22"/>
          <w:szCs w:val="22"/>
        </w:rPr>
      </w:pPr>
      <w:r>
        <w:rPr>
          <w:color w:val="000000"/>
          <w:sz w:val="22"/>
          <w:szCs w:val="22"/>
        </w:rPr>
        <w:t xml:space="preserve">Social Perception included the subset of ‘affect recognition total score’ (ARTS), which assesses the ability to recognize affect (happy, sad, anger, fear, disgust or neutral) from photos of faces </w:t>
      </w:r>
      <w:commentRangeStart w:id="28"/>
      <w:r>
        <w:rPr>
          <w:color w:val="000000"/>
          <w:sz w:val="22"/>
          <w:szCs w:val="22"/>
        </w:rPr>
        <w:fldChar w:fldCharType="begin"/>
      </w:r>
      <w:r>
        <w:rPr>
          <w:color w:val="000000"/>
          <w:sz w:val="22"/>
          <w:szCs w:val="22"/>
        </w:rPr>
        <w:instrText xml:space="preserve"> ADDIN ZOTERO_ITEM CSL_CITATION {"citationID":"p5c8zTsK","properties":{"formattedCitation":"(Korkman \\uc0\\u8224{} et al., 2013; Korkman et al., 2007; Miller, 2015)","plainCitation":"(Korkman † et al., 2013; Korkman et al., 2007; Miller, 2015)","noteIndex":0},"citationItems":[{"id":4745,"uris":["http://zotero.org/users/5127433/items/KHXLLPTC"],"itemData":{"id":4745,"type":"article-journal","abstract":"Executive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4710,"uris":["http://zotero.org/users/5127433/items/5WX54K5W"],"itemData":{"id":4710,"type":"speech","event-title":"TASP Conference","title":"NEPSY-II presentation – How to administer the Nepsy-2","URL":"https://www.txasp.org/assets/conference-materials/2015/miller_nepsyii_tasp.pdf","author":[{"family":"Miller","given":"D C"}],"accessed":{"date-parts":[["2022",4,7]]},"issued":{"date-parts":[["2015"]]}}}],"schema":"https://github.com/citation-style-language/schema/raw/master/csl-citation.json"} </w:instrText>
      </w:r>
      <w:r>
        <w:rPr>
          <w:color w:val="000000"/>
          <w:sz w:val="22"/>
          <w:szCs w:val="22"/>
        </w:rPr>
        <w:fldChar w:fldCharType="separate"/>
      </w:r>
      <w:r>
        <w:rPr>
          <w:sz w:val="22"/>
        </w:rPr>
        <w:t>(Korkman  et al., 2013; Korkman et al., 2007; Miller, 2015)</w:t>
      </w:r>
      <w:r>
        <w:rPr>
          <w:color w:val="000000"/>
          <w:sz w:val="22"/>
          <w:szCs w:val="22"/>
        </w:rPr>
        <w:fldChar w:fldCharType="end"/>
      </w:r>
      <w:commentRangeEnd w:id="28"/>
      <w:r>
        <w:commentReference w:id="28"/>
      </w:r>
      <w:r>
        <w:rPr>
          <w:color w:val="000000"/>
          <w:sz w:val="22"/>
          <w:szCs w:val="22"/>
        </w:rPr>
        <w:t>.</w:t>
      </w:r>
      <w:commentRangeEnd w:id="26"/>
      <w:commentRangeEnd w:id="27"/>
      <w:r>
        <w:commentReference w:id="26"/>
      </w:r>
      <w:r>
        <w:commentReference w:id="27"/>
      </w:r>
      <w:r w:rsidR="006609B0">
        <w:rPr>
          <w:color w:val="000000"/>
          <w:sz w:val="22"/>
          <w:szCs w:val="22"/>
        </w:rPr>
        <w:t xml:space="preserve"> </w:t>
      </w:r>
    </w:p>
    <w:p w14:paraId="6F7A7566" w14:textId="360EE5A9" w:rsidR="0054280C" w:rsidRDefault="00B71134">
      <w:pPr>
        <w:ind w:firstLine="720"/>
        <w:jc w:val="both"/>
        <w:rPr>
          <w:color w:val="000000"/>
          <w:sz w:val="22"/>
          <w:szCs w:val="22"/>
        </w:rPr>
      </w:pPr>
      <w:r>
        <w:rPr>
          <w:color w:val="000000"/>
          <w:sz w:val="22"/>
          <w:szCs w:val="22"/>
        </w:rPr>
        <w:t>Tests were tran</w:t>
      </w:r>
      <w:commentRangeStart w:id="29"/>
      <w:r>
        <w:rPr>
          <w:color w:val="000000"/>
          <w:sz w:val="22"/>
          <w:szCs w:val="22"/>
        </w:rPr>
        <w:t>slated into Spanish when needed</w:t>
      </w:r>
      <w:commentRangeEnd w:id="29"/>
      <w:r>
        <w:commentReference w:id="29"/>
      </w:r>
      <w:r>
        <w:rPr>
          <w:color w:val="000000"/>
          <w:sz w:val="22"/>
          <w:szCs w:val="22"/>
        </w:rPr>
        <w:t xml:space="preserve">. It should be noted that translation of NEPSY-II is relatively unaffected by language </w:t>
      </w:r>
      <w:r>
        <w:rPr>
          <w:color w:val="000000"/>
          <w:sz w:val="22"/>
          <w:szCs w:val="22"/>
        </w:rPr>
        <w:fldChar w:fldCharType="begin"/>
      </w:r>
      <w:r>
        <w:rPr>
          <w:color w:val="000000"/>
          <w:sz w:val="22"/>
          <w:szCs w:val="22"/>
        </w:rPr>
        <w:instrText xml:space="preserve"> ADDIN ZOTERO_ITEM CSL_CITATION {"citationID":"whfOFYrz","properties":{"formattedCitation":"(Gunier, Bradman, Harley, Kogut, et al., 2017)","plainCitation":"(Gunier, Bradman, Harley, Kogut, et al., 2017)","noteIndex":0},"citationItems":[{"id":4683,"uris":["http://zotero.org/users/5127433/items/ALAF35J8"],"itemData":{"id":4683,"type":"article-journal","abstract":"Background:Residential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𝑛</w:instrText>
      </w:r>
      <w:r>
        <w:rPr>
          <w:color w:val="000000"/>
          <w:sz w:val="22"/>
          <w:szCs w:val="22"/>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G."},{"family":"Kogut","given":"Katherine"},{"family":"Eskenazi","given":"Brenda"}],"issued":{"date-parts":[["2017",5,24]]}}}],"schema":"https://github.com/citation-style-language/schema/raw/master/csl-citation.json"} </w:instrText>
      </w:r>
      <w:r>
        <w:rPr>
          <w:color w:val="000000"/>
          <w:sz w:val="22"/>
          <w:szCs w:val="22"/>
        </w:rPr>
        <w:fldChar w:fldCharType="separate"/>
      </w:r>
      <w:r>
        <w:rPr>
          <w:sz w:val="22"/>
        </w:rPr>
        <w:t>(Gunier, Bradman, Harley, Kogut, et al., 2017)</w:t>
      </w:r>
      <w:r>
        <w:rPr>
          <w:color w:val="000000"/>
          <w:sz w:val="22"/>
          <w:szCs w:val="22"/>
        </w:rPr>
        <w:fldChar w:fldCharType="end"/>
      </w:r>
      <w:r>
        <w:rPr>
          <w:color w:val="000000"/>
          <w:sz w:val="22"/>
          <w:szCs w:val="22"/>
        </w:rPr>
        <w:t>.</w:t>
      </w:r>
      <w:r>
        <w:rPr>
          <w:color w:val="C00000"/>
          <w:sz w:val="22"/>
          <w:szCs w:val="22"/>
        </w:rPr>
        <w:t xml:space="preserve"> </w:t>
      </w:r>
      <w:r>
        <w:rPr>
          <w:color w:val="C00000"/>
          <w:sz w:val="22"/>
          <w:szCs w:val="22"/>
          <w:vertAlign w:val="superscript"/>
        </w:rPr>
        <w:t xml:space="preserve"> </w:t>
      </w:r>
      <w:r>
        <w:rPr>
          <w:color w:val="000000"/>
          <w:sz w:val="22"/>
          <w:szCs w:val="22"/>
        </w:rPr>
        <w:t xml:space="preserve">Evaluations were conducted by trained examiners in a controlled and quiet setting and most assessments lasted less than 2 hours. </w:t>
      </w:r>
      <w:proofErr w:type="gramStart"/>
      <w:r>
        <w:rPr>
          <w:color w:val="000000"/>
          <w:sz w:val="22"/>
          <w:szCs w:val="22"/>
        </w:rPr>
        <w:t>A parent</w:t>
      </w:r>
      <w:proofErr w:type="gramEnd"/>
      <w:r>
        <w:rPr>
          <w:color w:val="000000"/>
          <w:sz w:val="22"/>
          <w:szCs w:val="22"/>
        </w:rPr>
        <w:t xml:space="preserve"> of the child was allowed to attend in the evaluation room upon </w:t>
      </w:r>
      <w:r w:rsidR="009117BA">
        <w:rPr>
          <w:color w:val="000000"/>
          <w:sz w:val="22"/>
          <w:szCs w:val="22"/>
        </w:rPr>
        <w:t>request but</w:t>
      </w:r>
      <w:r>
        <w:rPr>
          <w:color w:val="000000"/>
          <w:sz w:val="22"/>
          <w:szCs w:val="22"/>
        </w:rPr>
        <w:t xml:space="preserve"> were asked to remain silent and not in-sight of participant. Specific descriptions of the NEPSY-II test, and assessment processes have been previously described in </w:t>
      </w:r>
      <w:proofErr w:type="spellStart"/>
      <w:r>
        <w:rPr>
          <w:sz w:val="22"/>
          <w:szCs w:val="22"/>
        </w:rPr>
        <w:t>Korkman</w:t>
      </w:r>
      <w:proofErr w:type="spellEnd"/>
      <w:r>
        <w:rPr>
          <w:sz w:val="22"/>
          <w:szCs w:val="22"/>
        </w:rPr>
        <w:t xml:space="preserve"> et al., 2007, 2013, Suarez-Lopez et al., 2013 and Suarez-Lopez et al., 2017 </w:t>
      </w:r>
      <w:r>
        <w:rPr>
          <w:color w:val="C00000"/>
          <w:sz w:val="22"/>
          <w:szCs w:val="22"/>
        </w:rPr>
        <w:fldChar w:fldCharType="begin"/>
      </w:r>
      <w:r>
        <w:rPr>
          <w:color w:val="C00000"/>
          <w:sz w:val="22"/>
          <w:szCs w:val="22"/>
        </w:rPr>
        <w:instrText xml:space="preserve"> ADDIN ZOTERO_ITEM CSL_CITATION {"citationID":"C0sjFKFi","properties":{"formattedCitation":"(Korkman \\uc0\\u8224{} et al., 2013; Korkman et al., 2007; Suarez-Lopez et al., 2013, 2017)","plainCitation":"(Korkman † et al., 2013; Korkman et al., 2007; Suarez-Lopez et al., 2013, 2017)","noteIndex":0},"citationItems":[{"id":4745,"uris":["http://zotero.org/users/5127433/items/KHXLLPTC"],"itemData":{"id":4745,"type":"article-journal","abstract":"Executive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id":4725,"uris":["http://zotero.org/users/5127433/items/IN2Y92U5"],"itemData":{"id":4725,"type":"article-journal","container-title":"Pediatrics","DOI":"https://doi.org/10.1542/peds.2013-0108","issue":"6","page":"e1649-e1658","title":"Acetylcholinesterase Activity and Neurodevelopment in Boys and Girls | Pediatrics | American Academy of Pediatrics","volume":"132","author":[{"family":"Suarez-Lopez","given":"Jose R."},{"family":"Himes","given":"John H."},{"family":"Jacobs","given":"David R."},{"family":"Alexander","given":"Bruce H."},{"family":"Gunnar","given":"Megan R."}],"issued":{"date-parts":[["2013"]]}}},{"id":"O8yTnQIp/YGP0ry9X","uris":["http://zotero.org/users/5127433/items/L652X4LT"],"itemData":{"id":4722,"type":"article-journal","abstract":"Background\nExposures to cholinesterase inhibitor pesticides (e.g. organophosphates) have been associated with children's neurobehavioral alterations, including attention deficit and impulsivity. Animal studies have observed transient alterations in neurobehavioral performance in relation to cholinesterase inhibitor pesticide exposures; however, limited evidence exists regarding transient effects in humans.\n\nMethods\nWe estimated the associations between neurobehavioral performance and time after Mother's Day flower harvest (the end of a heightened pesticide usage period) among 308 4-to 9-year-old children living in floricultural communities in Ecuador in 2008 who participated in the ESPINA study. Children's neurobehavior was examined once (NEPSY-II: 11 subtests covering 5 domains), between 63-100 days (SD: 10.8 days) after Mother's Day harvest (blood acetylcholinesterase activity levels can take 82 days to normalize after irreversible inhibition with organophosphates).\n\nResults\nThe mean (SD) neurobehavioral scaled scores across domains ranged from 6.6 (2.4) to 9.9 (3.3); higher values reflect greater performance. Children examined sooner after Mother's Day had lower neurobehavioral scores than children examined later, in the domains of (score diffe</w:instrText>
      </w:r>
      <w:r>
        <w:rPr>
          <w:color w:val="C00000"/>
          <w:sz w:val="22"/>
          <w:szCs w:val="22"/>
          <w:lang w:val="es-MX"/>
        </w:rPr>
        <w:instrText xml:space="preserve">rence per 10.8 days, 95%CI): Attention/Inhibitory Control (0.38, 0.10-0.65), Visuospatial Processing (0.60, 0.25-0.95) and Sensorimotor (0.43, 0.10-0.77). Scores were higher with longer time post-harvest among girls (vs. boys) in Attention/Inhibitory Control.\n\nConclusions\nOur findings, although cross-sectional, are among the first in non-worker children to suggest that a peak pesticide use period may transiently affect neurobehavioral performance, as children examined sooner after the flower harvest had lower neurobehavioral performance than children examined later. Studies assessing pre- and post-exposure measures are needed.","container-title":"Neurotoxicology","DOI":"10.1016/j.neuro.2017.02.002","ISSN":"0161-813X","journalAbbreviation":"Neurotoxicology","note":"PMID: 28188819\nPMCID: PMC5447476","page":"125-133","source":"PubMed Central","title":"Potential short-term neurobehavioral alterations in children associated with a peak pesticide spray season: The Mother's Day flower harvest in Ecuador","title-short":"Potential short-term neurobehavioral alterations in children associated with a peak pesticide spray season","volume":"60","author":[{"family":"Suarez-Lopez","given":"Jose R."},{"family":"Checkoway","given":"Harvey"},{"family":"Jacobs","given":"David R."},{"family":"Al-Delaimy","given":"Wael K."},{"family":"Gahagan","given":"Sheila"}],"issued":{"date-parts":[["2017",5]]}}}],"schema":"https://github.com/citation-style-language/schema/raw/master/csl-citation.json"} </w:instrText>
      </w:r>
      <w:r>
        <w:rPr>
          <w:color w:val="C00000"/>
          <w:sz w:val="22"/>
          <w:szCs w:val="22"/>
        </w:rPr>
        <w:fldChar w:fldCharType="separate"/>
      </w:r>
      <w:r>
        <w:rPr>
          <w:sz w:val="22"/>
          <w:lang w:val="es-MX"/>
        </w:rPr>
        <w:t>(Korkman et al., 2013; Korkman et al., 2007; Suarez-Lopez et al., 2013, 2017)</w:t>
      </w:r>
      <w:r>
        <w:rPr>
          <w:color w:val="C00000"/>
          <w:sz w:val="22"/>
          <w:szCs w:val="22"/>
        </w:rPr>
        <w:fldChar w:fldCharType="end"/>
      </w:r>
      <w:r>
        <w:rPr>
          <w:color w:val="000000"/>
          <w:sz w:val="22"/>
          <w:szCs w:val="22"/>
          <w:lang w:val="es-MX"/>
        </w:rPr>
        <w:t xml:space="preserve">. </w:t>
      </w:r>
      <w:r>
        <w:rPr>
          <w:color w:val="000000"/>
          <w:sz w:val="22"/>
          <w:szCs w:val="22"/>
        </w:rPr>
        <w:t xml:space="preserve">Subtest scaled scores were calculated using the NEPSY-II scoring assistant software (NCS Pearson Inc., San Antonio, TX). The scaled scores range from 1 to 19 (mean=10, SD=3). A higher score on the NEPSY-II indicates better neurobehavioral performance, where scores 13 to 19 is “above expected”, 8 to 12 is “at expected”, 6 to 7 is “borderline” and less than 6 is “below expected” </w:t>
      </w:r>
      <w:r>
        <w:rPr>
          <w:color w:val="000000"/>
          <w:sz w:val="22"/>
          <w:szCs w:val="22"/>
        </w:rPr>
        <w:fldChar w:fldCharType="begin"/>
      </w:r>
      <w:r>
        <w:rPr>
          <w:color w:val="000000"/>
          <w:sz w:val="22"/>
          <w:szCs w:val="22"/>
        </w:rPr>
        <w:instrText xml:space="preserve"> ADDIN ZOTERO_ITEM CSL_CITATION {"citationID":"lA1y2HVM","properties":{"formattedCitation":"(Korkman \\uc0\\u8224{} et al., 2013; Korkman et al., 2007)","plainCitation":"(Korkman † et al., 2013; Korkman et al., 2007)","noteIndex":0},"citationItems":[{"id":4745,"uris":["http://zotero.org/users/5127433/items/KHXLLPTC"],"itemData":{"id":4745,"type":"article-journal","abstract":"Executive functions are thought to be the latest functions to mature. However, this view has not been tested by assessing simultaneously memory, perception of emotions, visuospatial perception, and visuoconstructional skills. NEPSY II norm data from 1000 5- to 16-year-old U.S. children were obtained. Fifteen NEPSY II subtests with no floor or ceiling effects in any age group and no major changes in task type were selected. The 16-year level was attained at age 12 to 13 in all subtests with two exceptions: social perception (age 10 to 11) and narrative memory (age 14). Trend analyses showed that development was rapid in the age range 5 to 9 years followed by a deceleration in the rate of development. Peak performances were reached at 14 to 16 years but later in some subtests representing executive functions, verbal memory, and visuospatial performance. Thus, the study specified developmental time tables of neurocognitive functions. It demonstrated that not only executive functions but also verbal memory and visuospatial performance continue to develop beyond age 16.","container-title":"Child Neuropsychology","DOI":"10.1080/09297049.2012.705822","ISSN":"0929-7049","issue":"5","note":"publisher: Routledge\n_eprint: https://doi.org/10.1080/09297049.2012.705822\nPMID: 22775769","page":"516–539","source":"Taylor and Francis+NEJM","title":"Neurocognitive development in 5- to 16-year-old North American children: A cross-sectional study","title-short":"Neurocognitive development in 5- to 16-year-old North American children","volume":"19","author":[{"family":"Korkman †","given":"Marit"},{"family":"Lahti-Nuuttila","given":"Pekka"},{"family":"Laasonen","given":"Marja"},{"family":"Kemp","given":"Sally L."},{"family":"Holdnack","given":"James"}],"issued":{"date-parts":[["2013",9,1]]}}},{"id":4700,"uris":["http://zotero.org/users/5127433/items/W586NP5X"],"itemData":{"id":4700,"type":"book","edition":"Second Edition","publisher":"The Psychological Corporation","title":"NEPSY II: Clinical and Interpretive Manual","author":[{"family":"Korkman","given":"Marit"},{"family":"Kirk","given":"Ursula"},{"family":"Kemp","given":"Sally"}],"issued":{"date-parts":[["2007"]]}}}],"schema":"https://github.com/citation-style-language/schema/raw/master/csl-citation.json"} </w:instrText>
      </w:r>
      <w:r>
        <w:rPr>
          <w:color w:val="000000"/>
          <w:sz w:val="22"/>
          <w:szCs w:val="22"/>
        </w:rPr>
        <w:fldChar w:fldCharType="separate"/>
      </w:r>
      <w:r>
        <w:rPr>
          <w:sz w:val="22"/>
        </w:rPr>
        <w:t>(Korkman et al., 2013; Korkman et al., 2007)</w:t>
      </w:r>
      <w:r>
        <w:rPr>
          <w:color w:val="000000"/>
          <w:sz w:val="22"/>
          <w:szCs w:val="22"/>
        </w:rPr>
        <w:fldChar w:fldCharType="end"/>
      </w:r>
      <w:r>
        <w:rPr>
          <w:color w:val="000000"/>
          <w:sz w:val="22"/>
          <w:szCs w:val="22"/>
        </w:rPr>
        <w:t>.</w:t>
      </w:r>
      <w:r>
        <w:rPr>
          <w:color w:val="C00000"/>
          <w:sz w:val="22"/>
          <w:szCs w:val="22"/>
          <w:vertAlign w:val="superscript"/>
        </w:rPr>
        <w:t xml:space="preserve"> </w:t>
      </w:r>
      <w:r>
        <w:rPr>
          <w:color w:val="000000"/>
          <w:sz w:val="22"/>
          <w:szCs w:val="22"/>
        </w:rPr>
        <w:t>Averages of subtest scores were used for subtests that comprise of more than one primary scaled score (such as inhibition), while scores were combined for subtests with either correct and error components (such as auditory attention and response) or time and error components (such as speed naming). The total neurobehavioral score was calculated as the average of primary scores for all 12 subtests. To reduce the number of tested associations and type 1 errors, the domain score and total neurobehavioral score were used as primary measures of neurobehavioral performance.</w:t>
      </w:r>
    </w:p>
    <w:p w14:paraId="60F0E0C6" w14:textId="77777777" w:rsidR="0054280C" w:rsidRDefault="00B71134">
      <w:pPr>
        <w:jc w:val="both"/>
        <w:rPr>
          <w:color w:val="000000"/>
          <w:sz w:val="22"/>
          <w:szCs w:val="22"/>
        </w:rPr>
      </w:pPr>
      <w:commentRangeStart w:id="30"/>
      <w:commentRangeEnd w:id="30"/>
      <w:r>
        <w:commentReference w:id="30"/>
      </w:r>
      <w:commentRangeStart w:id="31"/>
      <w:commentRangeEnd w:id="31"/>
      <w:r>
        <w:commentReference w:id="31"/>
      </w:r>
    </w:p>
    <w:p w14:paraId="78C168F3" w14:textId="77777777" w:rsidR="0054280C" w:rsidRDefault="00B71134">
      <w:pPr>
        <w:jc w:val="both"/>
        <w:rPr>
          <w:color w:val="000000"/>
          <w:sz w:val="22"/>
          <w:szCs w:val="22"/>
        </w:rPr>
      </w:pPr>
      <w:r>
        <w:rPr>
          <w:color w:val="000000"/>
          <w:sz w:val="22"/>
          <w:szCs w:val="22"/>
        </w:rPr>
        <w:t xml:space="preserve">2.4 Geographical variables </w:t>
      </w:r>
    </w:p>
    <w:p w14:paraId="2EE43807" w14:textId="7F092A5A" w:rsidR="0054280C" w:rsidRDefault="00B71134">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color w:val="000000"/>
          <w:sz w:val="22"/>
          <w:szCs w:val="22"/>
        </w:rPr>
        <w:t xml:space="preserve">To assess the proximity of children’s homes to the nearest floricultural crops, geographic coordinates of residences in Pedro Moncayo County were collected using portable GPS receivers as part of the Fundación Cimas del Ecuador's System of Local and Community Information (Sistema de </w:t>
      </w:r>
      <w:proofErr w:type="spellStart"/>
      <w:r>
        <w:rPr>
          <w:color w:val="000000"/>
          <w:sz w:val="22"/>
          <w:szCs w:val="22"/>
        </w:rPr>
        <w:t>Información</w:t>
      </w:r>
      <w:proofErr w:type="spellEnd"/>
      <w:r>
        <w:rPr>
          <w:color w:val="000000"/>
          <w:sz w:val="22"/>
          <w:szCs w:val="22"/>
        </w:rPr>
        <w:t xml:space="preserve"> Local y </w:t>
      </w:r>
      <w:proofErr w:type="spellStart"/>
      <w:r>
        <w:rPr>
          <w:color w:val="000000"/>
          <w:sz w:val="22"/>
          <w:szCs w:val="22"/>
        </w:rPr>
        <w:t>Comunitario</w:t>
      </w:r>
      <w:proofErr w:type="spellEnd"/>
      <w:r>
        <w:rPr>
          <w:color w:val="000000"/>
          <w:sz w:val="22"/>
          <w:szCs w:val="22"/>
        </w:rPr>
        <w:t xml:space="preserve"> [SILC]). Floriculture plantation boundaries were delineated as polygons using satellite imagery </w:t>
      </w:r>
      <w:commentRangeStart w:id="32"/>
      <w:commentRangeStart w:id="33"/>
      <w:r>
        <w:rPr>
          <w:color w:val="000000"/>
          <w:sz w:val="22"/>
          <w:szCs w:val="22"/>
        </w:rPr>
        <w:t>(Suarez-Lopez et al., 2018)</w:t>
      </w:r>
      <w:commentRangeEnd w:id="32"/>
      <w:commentRangeEnd w:id="33"/>
      <w:r>
        <w:commentReference w:id="32"/>
      </w:r>
      <w:r>
        <w:commentReference w:id="33"/>
      </w:r>
      <w:r>
        <w:rPr>
          <w:color w:val="000000"/>
          <w:sz w:val="22"/>
          <w:szCs w:val="22"/>
        </w:rPr>
        <w:t>. The distance between each participant’s home and the nearest plantation edge was calculated using ArcGIS 9.3 (Esri, Redlands, CA). To calculate greenhouse areas near homes, we determined the total surface area (in m</w:t>
      </w:r>
      <w:r>
        <w:rPr>
          <w:color w:val="000000"/>
          <w:sz w:val="22"/>
          <w:szCs w:val="22"/>
          <w:vertAlign w:val="superscript"/>
        </w:rPr>
        <w:t>2</w:t>
      </w:r>
      <w:r>
        <w:rPr>
          <w:color w:val="000000"/>
          <w:sz w:val="22"/>
          <w:szCs w:val="22"/>
        </w:rPr>
        <w:t xml:space="preserve">) of floricultural </w:t>
      </w:r>
      <w:commentRangeStart w:id="34"/>
      <w:r>
        <w:rPr>
          <w:color w:val="000000"/>
          <w:sz w:val="22"/>
          <w:szCs w:val="22"/>
        </w:rPr>
        <w:t xml:space="preserve">greenhouses </w:t>
      </w:r>
      <w:commentRangeEnd w:id="34"/>
      <w:r>
        <w:commentReference w:id="34"/>
      </w:r>
      <w:r>
        <w:rPr>
          <w:color w:val="000000"/>
          <w:sz w:val="22"/>
          <w:szCs w:val="22"/>
        </w:rPr>
        <w:t>within buffers of (</w:t>
      </w:r>
      <w:r w:rsidR="00A718D7">
        <w:rPr>
          <w:color w:val="000000"/>
          <w:sz w:val="22"/>
          <w:szCs w:val="22"/>
        </w:rPr>
        <w:t xml:space="preserve">50 m, </w:t>
      </w:r>
      <w:r>
        <w:rPr>
          <w:color w:val="000000"/>
          <w:sz w:val="22"/>
          <w:szCs w:val="22"/>
        </w:rPr>
        <w:t>100 m, 150 m, 200 m, 300 m, 500 m</w:t>
      </w:r>
      <w:r w:rsidR="00A718D7">
        <w:rPr>
          <w:color w:val="000000"/>
          <w:sz w:val="22"/>
          <w:szCs w:val="22"/>
        </w:rPr>
        <w:t>, and 1000 m</w:t>
      </w:r>
      <w:r>
        <w:rPr>
          <w:color w:val="000000"/>
          <w:sz w:val="22"/>
          <w:szCs w:val="22"/>
        </w:rPr>
        <w:t xml:space="preserve">) around children’s homes using ArcGIS. </w:t>
      </w:r>
    </w:p>
    <w:p w14:paraId="3B9B93A0" w14:textId="77777777" w:rsidR="0054280C" w:rsidRDefault="0054280C">
      <w:pPr>
        <w:jc w:val="both"/>
        <w:rPr>
          <w:color w:val="000000"/>
          <w:sz w:val="22"/>
          <w:szCs w:val="22"/>
        </w:rPr>
      </w:pPr>
    </w:p>
    <w:p w14:paraId="5A7B3352" w14:textId="77777777" w:rsidR="0054280C" w:rsidRDefault="00B71134">
      <w:pPr>
        <w:jc w:val="both"/>
        <w:rPr>
          <w:color w:val="000000"/>
          <w:sz w:val="22"/>
          <w:szCs w:val="22"/>
        </w:rPr>
      </w:pPr>
      <w:r>
        <w:rPr>
          <w:color w:val="000000"/>
          <w:sz w:val="22"/>
          <w:szCs w:val="22"/>
        </w:rPr>
        <w:t>2.5 Other Covariables</w:t>
      </w:r>
    </w:p>
    <w:p w14:paraId="436CB498" w14:textId="77777777" w:rsidR="0054280C" w:rsidRDefault="00B71134">
      <w:pPr>
        <w:ind w:firstLine="720"/>
        <w:jc w:val="both"/>
        <w:rPr>
          <w:color w:val="000000"/>
          <w:sz w:val="22"/>
          <w:szCs w:val="22"/>
        </w:rPr>
      </w:pPr>
      <w:r>
        <w:rPr>
          <w:color w:val="000000"/>
          <w:sz w:val="22"/>
          <w:szCs w:val="22"/>
        </w:rPr>
        <w:t xml:space="preserve">Demographic variables included age, ethnicity (Indigenous, Mestizo, White, and other), parental education in years and cohabitating with an </w:t>
      </w:r>
      <w:commentRangeStart w:id="35"/>
      <w:commentRangeStart w:id="36"/>
      <w:commentRangeStart w:id="37"/>
      <w:r>
        <w:rPr>
          <w:color w:val="000000"/>
          <w:sz w:val="22"/>
          <w:szCs w:val="22"/>
        </w:rPr>
        <w:t>agricultural or floricultural worker</w:t>
      </w:r>
      <w:commentRangeEnd w:id="35"/>
      <w:commentRangeEnd w:id="36"/>
      <w:commentRangeEnd w:id="37"/>
      <w:r>
        <w:commentReference w:id="35"/>
      </w:r>
      <w:r>
        <w:commentReference w:id="36"/>
      </w:r>
      <w:r>
        <w:commentReference w:id="37"/>
      </w:r>
      <w:r>
        <w:rPr>
          <w:color w:val="000000"/>
          <w:sz w:val="22"/>
          <w:szCs w:val="22"/>
        </w:rPr>
        <w:t xml:space="preserve">. Days after </w:t>
      </w:r>
      <w:commentRangeStart w:id="38"/>
      <w:commentRangeStart w:id="39"/>
      <w:commentRangeStart w:id="40"/>
      <w:r>
        <w:rPr>
          <w:color w:val="000000"/>
          <w:sz w:val="22"/>
          <w:szCs w:val="22"/>
        </w:rPr>
        <w:t xml:space="preserve">Mother’s Day harvest </w:t>
      </w:r>
      <w:commentRangeEnd w:id="38"/>
      <w:commentRangeEnd w:id="39"/>
      <w:commentRangeEnd w:id="40"/>
      <w:r>
        <w:commentReference w:id="38"/>
      </w:r>
      <w:r>
        <w:commentReference w:id="39"/>
      </w:r>
      <w:r>
        <w:commentReference w:id="40"/>
      </w:r>
      <w:r>
        <w:rPr>
          <w:color w:val="000000"/>
          <w:sz w:val="22"/>
          <w:szCs w:val="22"/>
        </w:rPr>
        <w:t xml:space="preserve">was also collected, as the period prior to the Mother’s Day harvest is a peak pesticide spray period. </w:t>
      </w:r>
      <w:r>
        <w:rPr>
          <w:color w:val="000000" w:themeColor="text1"/>
          <w:sz w:val="22"/>
          <w:szCs w:val="22"/>
        </w:rPr>
        <w:t xml:space="preserve">Socioeconomic status, demographic characteristics, health, and pesticide exposures of household members were obtained from household surveys conducted with the children’s parents or adult residents of their household. </w:t>
      </w:r>
    </w:p>
    <w:p w14:paraId="0326B264" w14:textId="77777777" w:rsidR="0054280C" w:rsidRDefault="0054280C">
      <w:pPr>
        <w:ind w:firstLine="720"/>
        <w:jc w:val="both"/>
        <w:rPr>
          <w:sz w:val="22"/>
          <w:szCs w:val="22"/>
        </w:rPr>
      </w:pPr>
    </w:p>
    <w:p w14:paraId="7E964EDC" w14:textId="77777777" w:rsidR="0054280C" w:rsidRDefault="00B71134">
      <w:pPr>
        <w:jc w:val="both"/>
        <w:rPr>
          <w:sz w:val="22"/>
          <w:szCs w:val="22"/>
        </w:rPr>
      </w:pPr>
      <w:r>
        <w:rPr>
          <w:sz w:val="22"/>
          <w:szCs w:val="22"/>
        </w:rPr>
        <w:lastRenderedPageBreak/>
        <w:t xml:space="preserve">2.6 </w:t>
      </w:r>
      <w:commentRangeStart w:id="41"/>
      <w:commentRangeStart w:id="42"/>
      <w:r>
        <w:rPr>
          <w:sz w:val="22"/>
          <w:szCs w:val="22"/>
        </w:rPr>
        <w:t>Statistical Analysis</w:t>
      </w:r>
      <w:commentRangeEnd w:id="41"/>
      <w:commentRangeEnd w:id="42"/>
      <w:r>
        <w:commentReference w:id="41"/>
      </w:r>
      <w:r>
        <w:commentReference w:id="42"/>
      </w:r>
    </w:p>
    <w:p w14:paraId="13FF8731" w14:textId="0C53954E" w:rsidR="0054280C" w:rsidRDefault="00B71134">
      <w:pPr>
        <w:jc w:val="both"/>
        <w:rPr>
          <w:sz w:val="22"/>
          <w:szCs w:val="22"/>
        </w:rPr>
      </w:pPr>
      <w:r>
        <w:rPr>
          <w:sz w:val="22"/>
          <w:szCs w:val="22"/>
        </w:rPr>
        <w:tab/>
        <w:t xml:space="preserve">Descriptive statistics for </w:t>
      </w:r>
      <w:proofErr w:type="spellStart"/>
      <w:r>
        <w:rPr>
          <w:sz w:val="22"/>
          <w:szCs w:val="22"/>
        </w:rPr>
        <w:t>covariates</w:t>
      </w:r>
      <w:ins w:id="43" w:author="Jasen Zhang" w:date="2025-09-19T11:23:00Z" w16du:dateUtc="2025-09-19T18:23:00Z">
        <w:r w:rsidR="00DC5943">
          <w:rPr>
            <w:sz w:val="22"/>
            <w:szCs w:val="22"/>
          </w:rPr>
          <w:t>,</w:t>
        </w:r>
      </w:ins>
      <w:del w:id="44" w:author="Jasen Zhang" w:date="2025-09-19T11:23:00Z" w16du:dateUtc="2025-09-19T18:23:00Z">
        <w:r w:rsidDel="00DC5943">
          <w:rPr>
            <w:sz w:val="22"/>
            <w:szCs w:val="22"/>
          </w:rPr>
          <w:delText xml:space="preserve"> and </w:delText>
        </w:r>
      </w:del>
      <w:r>
        <w:rPr>
          <w:sz w:val="22"/>
          <w:szCs w:val="22"/>
        </w:rPr>
        <w:t>NEPSY</w:t>
      </w:r>
      <w:proofErr w:type="spellEnd"/>
      <w:r>
        <w:rPr>
          <w:sz w:val="22"/>
          <w:szCs w:val="22"/>
        </w:rPr>
        <w:t>-II scores</w:t>
      </w:r>
      <w:ins w:id="45" w:author="Jasen Zhang" w:date="2025-09-19T11:23:00Z" w16du:dateUtc="2025-09-19T18:23:00Z">
        <w:r w:rsidR="00DC5943">
          <w:rPr>
            <w:sz w:val="22"/>
            <w:szCs w:val="22"/>
          </w:rPr>
          <w:t>, and domain scores</w:t>
        </w:r>
      </w:ins>
      <w:r>
        <w:rPr>
          <w:sz w:val="22"/>
          <w:szCs w:val="22"/>
        </w:rPr>
        <w:t xml:space="preserve"> for each visit are presented with the mean and standard deviation (SD) for continuous variables or counts and percentages for categorical variables (Table 2). We then reported the same descriptive statistics after stratifying by quartiles of home distance to the nearest floricultural field (Table 3). </w:t>
      </w:r>
      <w:r w:rsidR="00243817">
        <w:rPr>
          <w:color w:val="000000"/>
          <w:sz w:val="22"/>
          <w:szCs w:val="22"/>
        </w:rPr>
        <w:t xml:space="preserve">Social Perception was excluded from our analyses because it was only collected during one </w:t>
      </w:r>
      <w:proofErr w:type="gramStart"/>
      <w:r w:rsidR="00243817">
        <w:rPr>
          <w:color w:val="000000"/>
          <w:sz w:val="22"/>
          <w:szCs w:val="22"/>
        </w:rPr>
        <w:t>time period</w:t>
      </w:r>
      <w:proofErr w:type="gramEnd"/>
      <w:r w:rsidR="00243817">
        <w:rPr>
          <w:color w:val="000000"/>
          <w:sz w:val="22"/>
          <w:szCs w:val="22"/>
        </w:rPr>
        <w:t xml:space="preserve"> (Table 1). </w:t>
      </w:r>
      <w:r>
        <w:rPr>
          <w:sz w:val="22"/>
          <w:szCs w:val="22"/>
        </w:rPr>
        <w:t>Furthermore, we conducted a</w:t>
      </w:r>
      <w:r w:rsidR="004413CF">
        <w:rPr>
          <w:sz w:val="22"/>
          <w:szCs w:val="22"/>
        </w:rPr>
        <w:t xml:space="preserve"> linear regression</w:t>
      </w:r>
      <w:r w:rsidR="003D4D2A">
        <w:rPr>
          <w:sz w:val="22"/>
          <w:szCs w:val="22"/>
        </w:rPr>
        <w:t xml:space="preserve"> test</w:t>
      </w:r>
      <w:r w:rsidR="004413CF">
        <w:rPr>
          <w:sz w:val="22"/>
          <w:szCs w:val="22"/>
        </w:rPr>
        <w:t xml:space="preserve"> </w:t>
      </w:r>
      <w:r>
        <w:rPr>
          <w:sz w:val="22"/>
          <w:szCs w:val="22"/>
        </w:rPr>
        <w:t xml:space="preserve">for </w:t>
      </w:r>
      <w:r w:rsidR="004413CF">
        <w:rPr>
          <w:sz w:val="22"/>
          <w:szCs w:val="22"/>
        </w:rPr>
        <w:t>all</w:t>
      </w:r>
      <w:r>
        <w:rPr>
          <w:sz w:val="22"/>
          <w:szCs w:val="22"/>
        </w:rPr>
        <w:t xml:space="preserve"> covariates </w:t>
      </w:r>
      <w:r w:rsidR="00507FE9">
        <w:rPr>
          <w:sz w:val="22"/>
          <w:szCs w:val="22"/>
        </w:rPr>
        <w:t xml:space="preserve">at each </w:t>
      </w:r>
      <w:r w:rsidR="00991453">
        <w:rPr>
          <w:sz w:val="22"/>
          <w:szCs w:val="22"/>
        </w:rPr>
        <w:t>visit</w:t>
      </w:r>
      <w:r w:rsidR="00507FE9">
        <w:rPr>
          <w:sz w:val="22"/>
          <w:szCs w:val="22"/>
        </w:rPr>
        <w:t xml:space="preserve"> </w:t>
      </w:r>
      <w:r>
        <w:rPr>
          <w:sz w:val="22"/>
          <w:szCs w:val="22"/>
        </w:rPr>
        <w:t xml:space="preserve">to investigate </w:t>
      </w:r>
      <w:r w:rsidR="003D4D2A">
        <w:rPr>
          <w:sz w:val="22"/>
          <w:szCs w:val="22"/>
        </w:rPr>
        <w:t xml:space="preserve">their </w:t>
      </w:r>
      <w:r w:rsidR="004413CF">
        <w:rPr>
          <w:sz w:val="22"/>
          <w:szCs w:val="22"/>
        </w:rPr>
        <w:t>primary</w:t>
      </w:r>
      <w:r>
        <w:rPr>
          <w:sz w:val="22"/>
          <w:szCs w:val="22"/>
        </w:rPr>
        <w:t xml:space="preserve"> associations </w:t>
      </w:r>
      <w:r w:rsidR="003D4D2A">
        <w:rPr>
          <w:sz w:val="22"/>
          <w:szCs w:val="22"/>
        </w:rPr>
        <w:t>with distance from</w:t>
      </w:r>
      <w:r>
        <w:rPr>
          <w:sz w:val="22"/>
          <w:szCs w:val="22"/>
        </w:rPr>
        <w:t xml:space="preserve"> home</w:t>
      </w:r>
      <w:r w:rsidR="003D4D2A">
        <w:rPr>
          <w:sz w:val="22"/>
          <w:szCs w:val="22"/>
        </w:rPr>
        <w:t xml:space="preserve"> to </w:t>
      </w:r>
      <w:r w:rsidR="003C59F4">
        <w:rPr>
          <w:sz w:val="22"/>
          <w:szCs w:val="22"/>
        </w:rPr>
        <w:t xml:space="preserve">the </w:t>
      </w:r>
      <w:r w:rsidR="003D4D2A">
        <w:rPr>
          <w:sz w:val="22"/>
          <w:szCs w:val="22"/>
        </w:rPr>
        <w:t xml:space="preserve">nearest </w:t>
      </w:r>
      <w:r w:rsidR="003C59F4">
        <w:rPr>
          <w:sz w:val="22"/>
          <w:szCs w:val="22"/>
        </w:rPr>
        <w:t>floricultural field</w:t>
      </w:r>
      <w:r>
        <w:rPr>
          <w:sz w:val="22"/>
          <w:szCs w:val="22"/>
        </w:rPr>
        <w:t xml:space="preserve">. We also produced an identical table for the NEPSY-II scores </w:t>
      </w:r>
      <w:r w:rsidR="00091516">
        <w:rPr>
          <w:sz w:val="22"/>
          <w:szCs w:val="22"/>
        </w:rPr>
        <w:t xml:space="preserve">and their </w:t>
      </w:r>
      <w:r w:rsidR="003C59F4">
        <w:rPr>
          <w:sz w:val="22"/>
          <w:szCs w:val="22"/>
        </w:rPr>
        <w:t xml:space="preserve">associations with home distance to nearest floricultural field </w:t>
      </w:r>
      <w:r>
        <w:rPr>
          <w:sz w:val="22"/>
          <w:szCs w:val="22"/>
        </w:rPr>
        <w:t>(Supplementa</w:t>
      </w:r>
      <w:r w:rsidR="0075276E">
        <w:rPr>
          <w:sz w:val="22"/>
          <w:szCs w:val="22"/>
        </w:rPr>
        <w:t>l</w:t>
      </w:r>
      <w:r>
        <w:rPr>
          <w:sz w:val="22"/>
          <w:szCs w:val="22"/>
        </w:rPr>
        <w:t xml:space="preserve"> Table 1). We modeled the association between NEPSY-II</w:t>
      </w:r>
      <w:ins w:id="46" w:author="Jasen Zhang" w:date="2025-09-19T11:25:00Z" w16du:dateUtc="2025-09-19T18:25:00Z">
        <w:r w:rsidR="002E2560">
          <w:rPr>
            <w:sz w:val="22"/>
            <w:szCs w:val="22"/>
          </w:rPr>
          <w:t xml:space="preserve">, </w:t>
        </w:r>
      </w:ins>
      <w:ins w:id="47" w:author="Jasen Zhang" w:date="2025-09-19T11:26:00Z" w16du:dateUtc="2025-09-19T18:26:00Z">
        <w:r w:rsidR="002E2560">
          <w:rPr>
            <w:sz w:val="22"/>
            <w:szCs w:val="22"/>
          </w:rPr>
          <w:t>subdomain, and domain</w:t>
        </w:r>
      </w:ins>
      <w:r>
        <w:rPr>
          <w:sz w:val="22"/>
          <w:szCs w:val="22"/>
        </w:rPr>
        <w:t xml:space="preserve"> scores and various measures of pesticide exposure </w:t>
      </w:r>
      <w:del w:id="48" w:author="Jasen Zhang" w:date="2025-09-19T11:26:00Z" w16du:dateUtc="2025-09-19T18:26:00Z">
        <w:r w:rsidDel="002E2560">
          <w:rPr>
            <w:sz w:val="22"/>
            <w:szCs w:val="22"/>
          </w:rPr>
          <w:delText xml:space="preserve">with </w:delText>
        </w:r>
      </w:del>
      <w:ins w:id="49" w:author="Jasen Zhang" w:date="2025-09-19T11:26:00Z" w16du:dateUtc="2025-09-19T18:26:00Z">
        <w:r w:rsidR="002E2560">
          <w:rPr>
            <w:sz w:val="22"/>
            <w:szCs w:val="22"/>
          </w:rPr>
          <w:t xml:space="preserve">using </w:t>
        </w:r>
      </w:ins>
      <w:r>
        <w:rPr>
          <w:sz w:val="22"/>
          <w:szCs w:val="22"/>
        </w:rPr>
        <w:t>a generalized estimating equation generalized linear model (</w:t>
      </w:r>
      <w:commentRangeStart w:id="50"/>
      <w:commentRangeStart w:id="51"/>
      <w:r>
        <w:rPr>
          <w:sz w:val="22"/>
          <w:szCs w:val="22"/>
        </w:rPr>
        <w:t>GEEGLM</w:t>
      </w:r>
      <w:commentRangeEnd w:id="50"/>
      <w:commentRangeEnd w:id="51"/>
      <w:r>
        <w:commentReference w:id="50"/>
      </w:r>
      <w:r>
        <w:commentReference w:id="51"/>
      </w:r>
      <w:r>
        <w:rPr>
          <w:sz w:val="22"/>
          <w:szCs w:val="22"/>
        </w:rPr>
        <w:t>) with an exchangeable covariance structure</w:t>
      </w:r>
      <w:r>
        <w:rPr>
          <w:rStyle w:val="CommentReference"/>
          <w:rFonts w:asciiTheme="minorHAnsi" w:hAnsiTheme="minorHAnsi" w:cstheme="minorBidi"/>
        </w:rPr>
        <w:t>.</w:t>
      </w:r>
      <w:r>
        <w:rPr>
          <w:sz w:val="22"/>
          <w:szCs w:val="22"/>
        </w:rPr>
        <w:t xml:space="preserve"> Measurements of pesticide exposure included distance from household to nearest plantation and area of plantation within a given radius ranging from </w:t>
      </w:r>
      <w:commentRangeStart w:id="52"/>
      <w:commentRangeStart w:id="53"/>
      <w:r>
        <w:rPr>
          <w:sz w:val="22"/>
          <w:szCs w:val="22"/>
        </w:rPr>
        <w:t>50 m to 1000 m</w:t>
      </w:r>
      <w:commentRangeEnd w:id="52"/>
      <w:r>
        <w:commentReference w:id="52"/>
      </w:r>
      <w:commentRangeEnd w:id="53"/>
      <w:r w:rsidR="00E158B1">
        <w:rPr>
          <w:rStyle w:val="CommentReference"/>
          <w:rFonts w:asciiTheme="minorHAnsi" w:hAnsiTheme="minorHAnsi" w:cstheme="minorBidi"/>
        </w:rPr>
        <w:commentReference w:id="53"/>
      </w:r>
      <w:r>
        <w:rPr>
          <w:sz w:val="22"/>
          <w:szCs w:val="22"/>
        </w:rPr>
        <w:t xml:space="preserve">, all of which were </w:t>
      </w:r>
      <w:commentRangeStart w:id="54"/>
      <w:commentRangeStart w:id="55"/>
      <w:proofErr w:type="gramStart"/>
      <w:r>
        <w:rPr>
          <w:sz w:val="22"/>
          <w:szCs w:val="22"/>
        </w:rPr>
        <w:t>log-normalized</w:t>
      </w:r>
      <w:proofErr w:type="gramEnd"/>
      <w:r>
        <w:rPr>
          <w:sz w:val="22"/>
          <w:szCs w:val="22"/>
        </w:rPr>
        <w:t xml:space="preserve">. </w:t>
      </w:r>
      <w:commentRangeEnd w:id="54"/>
      <w:commentRangeEnd w:id="55"/>
      <w:r>
        <w:commentReference w:id="54"/>
      </w:r>
      <w:r>
        <w:commentReference w:id="55"/>
      </w:r>
      <w:r>
        <w:rPr>
          <w:sz w:val="22"/>
          <w:szCs w:val="22"/>
        </w:rPr>
        <w:t xml:space="preserve">Log refers to natural log throughout this paper. Each model also included the following covariates: age, race, gender, </w:t>
      </w:r>
      <w:proofErr w:type="gramStart"/>
      <w:r>
        <w:rPr>
          <w:sz w:val="22"/>
          <w:szCs w:val="22"/>
        </w:rPr>
        <w:t>time period</w:t>
      </w:r>
      <w:proofErr w:type="gramEnd"/>
      <w:r>
        <w:rPr>
          <w:sz w:val="22"/>
          <w:szCs w:val="22"/>
        </w:rPr>
        <w:t xml:space="preserve"> of NEPSY-II assessment, days after Mother’s Day harvest, age-for-height z-score (</w:t>
      </w:r>
      <w:proofErr w:type="spellStart"/>
      <w:r>
        <w:rPr>
          <w:sz w:val="22"/>
          <w:szCs w:val="22"/>
        </w:rPr>
        <w:t>zha</w:t>
      </w:r>
      <w:proofErr w:type="spellEnd"/>
      <w:r>
        <w:rPr>
          <w:sz w:val="22"/>
          <w:szCs w:val="22"/>
        </w:rPr>
        <w:t>), parental salary, parental education, and cohabitation with an agricultural worker. For each GEEGLM model, observations with any missing values were dropped</w:t>
      </w:r>
      <w:r w:rsidR="009939F2">
        <w:rPr>
          <w:sz w:val="22"/>
          <w:szCs w:val="22"/>
        </w:rPr>
        <w:t>,</w:t>
      </w:r>
      <w:r w:rsidR="00173A99">
        <w:rPr>
          <w:sz w:val="22"/>
          <w:szCs w:val="22"/>
        </w:rPr>
        <w:t xml:space="preserve"> and the exclusion of such observations is illustrated in the </w:t>
      </w:r>
      <w:r w:rsidR="00BA470B">
        <w:rPr>
          <w:sz w:val="22"/>
          <w:szCs w:val="22"/>
        </w:rPr>
        <w:t>inclusion-exclusion flowchart (Figure 1)</w:t>
      </w:r>
      <w:r>
        <w:rPr>
          <w:sz w:val="22"/>
          <w:szCs w:val="22"/>
        </w:rPr>
        <w:t xml:space="preserve">. </w:t>
      </w:r>
      <w:r w:rsidR="00305E5A">
        <w:rPr>
          <w:sz w:val="22"/>
          <w:szCs w:val="22"/>
        </w:rPr>
        <w:t>Since d</w:t>
      </w:r>
      <w:r>
        <w:rPr>
          <w:sz w:val="22"/>
          <w:szCs w:val="22"/>
        </w:rPr>
        <w:t xml:space="preserve">istance and area variables were log-transformed, </w:t>
      </w:r>
      <w:r w:rsidR="00305E5A">
        <w:rPr>
          <w:sz w:val="22"/>
          <w:szCs w:val="22"/>
        </w:rPr>
        <w:t xml:space="preserve">the GEEGLM β coefficients were multiplied by </w:t>
      </w:r>
      <w:proofErr w:type="gramStart"/>
      <w:r w:rsidR="00305E5A">
        <w:rPr>
          <w:sz w:val="22"/>
          <w:szCs w:val="22"/>
        </w:rPr>
        <w:t>log(</w:t>
      </w:r>
      <w:proofErr w:type="gramEnd"/>
      <w:r w:rsidR="00305E5A">
        <w:rPr>
          <w:sz w:val="22"/>
          <w:szCs w:val="22"/>
        </w:rPr>
        <w:t xml:space="preserve">2) for ease of interpretability. </w:t>
      </w:r>
      <w:r w:rsidR="00EE6E01">
        <w:rPr>
          <w:sz w:val="22"/>
          <w:szCs w:val="22"/>
        </w:rPr>
        <w:t>As a result, t</w:t>
      </w:r>
      <w:r>
        <w:rPr>
          <w:sz w:val="22"/>
          <w:szCs w:val="22"/>
        </w:rPr>
        <w:t xml:space="preserve">he model estimates the additive effects of neurobehavioral outcomes due to doubling the respective </w:t>
      </w:r>
      <w:r w:rsidR="00AE21A0">
        <w:rPr>
          <w:sz w:val="22"/>
          <w:szCs w:val="22"/>
        </w:rPr>
        <w:t>pesticide exposure</w:t>
      </w:r>
      <w:r>
        <w:rPr>
          <w:sz w:val="22"/>
          <w:szCs w:val="22"/>
        </w:rPr>
        <w:t xml:space="preserve"> </w:t>
      </w:r>
      <w:proofErr w:type="gramStart"/>
      <w:r>
        <w:rPr>
          <w:sz w:val="22"/>
          <w:szCs w:val="22"/>
        </w:rPr>
        <w:t>variable</w:t>
      </w:r>
      <w:proofErr w:type="gramEnd"/>
      <w:r>
        <w:rPr>
          <w:sz w:val="22"/>
          <w:szCs w:val="22"/>
        </w:rPr>
        <w:t xml:space="preserve">. </w:t>
      </w:r>
      <w:commentRangeStart w:id="56"/>
      <w:r w:rsidRPr="00522C1F">
        <w:rPr>
          <w:strike/>
          <w:color w:val="000000"/>
          <w:sz w:val="22"/>
          <w:szCs w:val="22"/>
        </w:rPr>
        <w:t>For</w:t>
      </w:r>
      <w:commentRangeStart w:id="57"/>
      <w:commentRangeStart w:id="58"/>
      <w:commentRangeStart w:id="59"/>
      <w:r w:rsidRPr="00522C1F">
        <w:rPr>
          <w:strike/>
          <w:color w:val="000000"/>
          <w:sz w:val="22"/>
          <w:szCs w:val="22"/>
        </w:rPr>
        <w:t xml:space="preserve"> each </w:t>
      </w:r>
      <w:commentRangeStart w:id="60"/>
      <w:r w:rsidRPr="00522C1F">
        <w:rPr>
          <w:strike/>
          <w:color w:val="000000"/>
          <w:sz w:val="22"/>
          <w:szCs w:val="22"/>
        </w:rPr>
        <w:t>time point</w:t>
      </w:r>
      <w:commentRangeEnd w:id="57"/>
      <w:commentRangeEnd w:id="58"/>
      <w:commentRangeEnd w:id="59"/>
      <w:r w:rsidRPr="00522C1F">
        <w:rPr>
          <w:strike/>
        </w:rPr>
        <w:commentReference w:id="57"/>
      </w:r>
      <w:r w:rsidRPr="00522C1F">
        <w:rPr>
          <w:strike/>
        </w:rPr>
        <w:commentReference w:id="58"/>
      </w:r>
      <w:r w:rsidRPr="00522C1F">
        <w:rPr>
          <w:strike/>
        </w:rPr>
        <w:commentReference w:id="59"/>
      </w:r>
      <w:r w:rsidRPr="00522C1F">
        <w:rPr>
          <w:strike/>
          <w:color w:val="000000"/>
          <w:sz w:val="22"/>
          <w:szCs w:val="22"/>
        </w:rPr>
        <w:t xml:space="preserve">, we performed </w:t>
      </w:r>
      <w:commentRangeStart w:id="61"/>
      <w:commentRangeStart w:id="62"/>
      <w:r w:rsidRPr="00522C1F">
        <w:rPr>
          <w:strike/>
          <w:color w:val="000000"/>
          <w:sz w:val="22"/>
          <w:szCs w:val="22"/>
        </w:rPr>
        <w:t>ANOVA</w:t>
      </w:r>
      <w:commentRangeEnd w:id="61"/>
      <w:commentRangeEnd w:id="62"/>
      <w:r w:rsidRPr="00522C1F">
        <w:rPr>
          <w:strike/>
        </w:rPr>
        <w:commentReference w:id="61"/>
      </w:r>
      <w:r w:rsidRPr="00522C1F">
        <w:rPr>
          <w:strike/>
        </w:rPr>
        <w:commentReference w:id="62"/>
      </w:r>
      <w:r w:rsidRPr="00522C1F">
        <w:rPr>
          <w:strike/>
          <w:color w:val="000000"/>
          <w:sz w:val="22"/>
          <w:szCs w:val="22"/>
        </w:rPr>
        <w:t xml:space="preserve"> tests to identify preliminary associations between distance from residency to nearest plantation quantiles with each NEPSY-II score</w:t>
      </w:r>
      <w:commentRangeEnd w:id="60"/>
      <w:r w:rsidRPr="00522C1F">
        <w:rPr>
          <w:strike/>
        </w:rPr>
        <w:commentReference w:id="60"/>
      </w:r>
      <w:r w:rsidRPr="00522C1F">
        <w:rPr>
          <w:strike/>
          <w:color w:val="000000"/>
          <w:sz w:val="22"/>
          <w:szCs w:val="22"/>
        </w:rPr>
        <w:t>.</w:t>
      </w:r>
      <w:commentRangeEnd w:id="56"/>
      <w:r w:rsidR="00024CB1">
        <w:rPr>
          <w:rStyle w:val="CommentReference"/>
          <w:rFonts w:asciiTheme="minorHAnsi" w:hAnsiTheme="minorHAnsi" w:cstheme="minorBidi"/>
        </w:rPr>
        <w:commentReference w:id="56"/>
      </w:r>
    </w:p>
    <w:p w14:paraId="31B28C7B" w14:textId="77777777" w:rsidR="0054280C" w:rsidRDefault="0054280C">
      <w:pPr>
        <w:jc w:val="both"/>
        <w:rPr>
          <w:sz w:val="22"/>
          <w:szCs w:val="22"/>
        </w:rPr>
      </w:pPr>
    </w:p>
    <w:p w14:paraId="29C40D26" w14:textId="77777777" w:rsidR="0054280C" w:rsidRDefault="0054280C">
      <w:pPr>
        <w:jc w:val="both"/>
        <w:rPr>
          <w:sz w:val="22"/>
          <w:szCs w:val="22"/>
        </w:rPr>
      </w:pPr>
    </w:p>
    <w:p w14:paraId="613922B3" w14:textId="2CFF2DB9" w:rsidR="0054280C" w:rsidRDefault="00B71134">
      <w:pPr>
        <w:ind w:firstLine="720"/>
        <w:jc w:val="both"/>
        <w:rPr>
          <w:sz w:val="22"/>
          <w:szCs w:val="22"/>
        </w:rPr>
      </w:pPr>
      <w:r>
        <w:rPr>
          <w:sz w:val="22"/>
          <w:szCs w:val="22"/>
        </w:rPr>
        <w:t xml:space="preserve">We performed additional analyses to gain further insights into NEPSY-II score trend nuances. One such analysis is GEEGLMs with binarized NEPSY-II score outcomes. </w:t>
      </w:r>
      <w:r>
        <w:rPr>
          <w:color w:val="000000"/>
          <w:sz w:val="22"/>
          <w:szCs w:val="22"/>
        </w:rPr>
        <w:t xml:space="preserve">The binary thresholds that determine high versus low NEPSY-II scores were </w:t>
      </w:r>
      <w:commentRangeStart w:id="63"/>
      <w:commentRangeStart w:id="64"/>
      <w:commentRangeStart w:id="65"/>
      <w:r>
        <w:rPr>
          <w:color w:val="000000"/>
          <w:sz w:val="22"/>
          <w:szCs w:val="22"/>
        </w:rPr>
        <w:t>pre-selected for each score</w:t>
      </w:r>
      <w:commentRangeEnd w:id="63"/>
      <w:commentRangeEnd w:id="64"/>
      <w:commentRangeEnd w:id="65"/>
      <w:r>
        <w:commentReference w:id="63"/>
      </w:r>
      <w:r>
        <w:commentReference w:id="64"/>
      </w:r>
      <w:r w:rsidR="007F634E">
        <w:rPr>
          <w:rStyle w:val="CommentReference"/>
          <w:rFonts w:asciiTheme="minorHAnsi" w:hAnsiTheme="minorHAnsi" w:cstheme="minorBidi"/>
        </w:rPr>
        <w:commentReference w:id="65"/>
      </w:r>
      <w:r w:rsidR="00353398">
        <w:rPr>
          <w:color w:val="000000"/>
          <w:sz w:val="22"/>
          <w:szCs w:val="22"/>
        </w:rPr>
        <w:t xml:space="preserve"> based on internal cutoffs; we defined low as being the bottom 30 percentile</w:t>
      </w:r>
      <w:r>
        <w:rPr>
          <w:color w:val="000000"/>
          <w:sz w:val="22"/>
          <w:szCs w:val="22"/>
        </w:rPr>
        <w:t xml:space="preserve">. </w:t>
      </w:r>
      <w:r>
        <w:rPr>
          <w:sz w:val="22"/>
          <w:szCs w:val="22"/>
        </w:rPr>
        <w:t xml:space="preserve">In this model, the GEEGLM had a logit link function and exchangeable covariance structure. </w:t>
      </w:r>
      <w:proofErr w:type="gramStart"/>
      <w:r>
        <w:rPr>
          <w:sz w:val="22"/>
          <w:szCs w:val="22"/>
        </w:rPr>
        <w:t>Similar to</w:t>
      </w:r>
      <w:proofErr w:type="gramEnd"/>
      <w:r>
        <w:rPr>
          <w:sz w:val="22"/>
          <w:szCs w:val="22"/>
        </w:rPr>
        <w:t xml:space="preserve"> the GEEGLM model</w:t>
      </w:r>
      <w:r w:rsidR="00FF1F27">
        <w:rPr>
          <w:sz w:val="22"/>
          <w:szCs w:val="22"/>
        </w:rPr>
        <w:t xml:space="preserve"> that models raw NEPSY-II scores</w:t>
      </w:r>
      <w:r>
        <w:rPr>
          <w:sz w:val="22"/>
          <w:szCs w:val="22"/>
        </w:rPr>
        <w:t xml:space="preserve">, β coefficients </w:t>
      </w:r>
      <w:r w:rsidR="00FF1F27">
        <w:rPr>
          <w:sz w:val="22"/>
          <w:szCs w:val="22"/>
        </w:rPr>
        <w:t xml:space="preserve">here </w:t>
      </w:r>
      <w:r>
        <w:rPr>
          <w:sz w:val="22"/>
          <w:szCs w:val="22"/>
        </w:rPr>
        <w:t>are</w:t>
      </w:r>
      <w:r w:rsidR="00FF1F27">
        <w:rPr>
          <w:sz w:val="22"/>
          <w:szCs w:val="22"/>
        </w:rPr>
        <w:t xml:space="preserve"> also</w:t>
      </w:r>
      <w:r>
        <w:rPr>
          <w:sz w:val="22"/>
          <w:szCs w:val="22"/>
        </w:rPr>
        <w:t xml:space="preserve"> multiplied by </w:t>
      </w:r>
      <w:proofErr w:type="gramStart"/>
      <w:r>
        <w:rPr>
          <w:sz w:val="22"/>
          <w:szCs w:val="22"/>
        </w:rPr>
        <w:t>log(</w:t>
      </w:r>
      <w:proofErr w:type="gramEnd"/>
      <w:r>
        <w:rPr>
          <w:sz w:val="22"/>
          <w:szCs w:val="22"/>
        </w:rPr>
        <w:t>2), which are then interpreted as the additive effects of the odds ratio of a high NEPSY-II score due to doubling the respective pesticide exposure variable. We also estimated least-square means differences by adjusting subjects by their measurements of pesticide exposure. These values were then plotted using locally weighted polynomial regression (</w:t>
      </w:r>
      <w:commentRangeStart w:id="66"/>
      <w:commentRangeStart w:id="67"/>
      <w:r>
        <w:rPr>
          <w:sz w:val="22"/>
          <w:szCs w:val="22"/>
        </w:rPr>
        <w:t>LOESS</w:t>
      </w:r>
      <w:commentRangeEnd w:id="66"/>
      <w:commentRangeEnd w:id="67"/>
      <w:r>
        <w:commentReference w:id="66"/>
      </w:r>
      <w:r w:rsidR="00C441B8">
        <w:rPr>
          <w:rStyle w:val="CommentReference"/>
          <w:rFonts w:asciiTheme="minorHAnsi" w:hAnsiTheme="minorHAnsi" w:cstheme="minorBidi"/>
        </w:rPr>
        <w:commentReference w:id="67"/>
      </w:r>
      <w:r>
        <w:rPr>
          <w:sz w:val="22"/>
          <w:szCs w:val="22"/>
        </w:rPr>
        <w:t>) curves to graph associations between pesticide exposure variables and the NEPSY-II domain scores</w:t>
      </w:r>
      <w:r w:rsidR="002704DF">
        <w:rPr>
          <w:sz w:val="22"/>
          <w:szCs w:val="22"/>
        </w:rPr>
        <w:t xml:space="preserve"> (Supplementary Figure 1)</w:t>
      </w:r>
      <w:r>
        <w:rPr>
          <w:sz w:val="22"/>
          <w:szCs w:val="22"/>
        </w:rPr>
        <w:t xml:space="preserve">. Throughout our analysis, we define a statistically significant association with a p-value &lt; 0.05. All analysis </w:t>
      </w:r>
      <w:proofErr w:type="gramStart"/>
      <w:r>
        <w:rPr>
          <w:sz w:val="22"/>
          <w:szCs w:val="22"/>
        </w:rPr>
        <w:t>were</w:t>
      </w:r>
      <w:proofErr w:type="gramEnd"/>
      <w:r>
        <w:rPr>
          <w:sz w:val="22"/>
          <w:szCs w:val="22"/>
        </w:rPr>
        <w:t xml:space="preserve"> </w:t>
      </w:r>
      <w:proofErr w:type="gramStart"/>
      <w:r>
        <w:rPr>
          <w:sz w:val="22"/>
          <w:szCs w:val="22"/>
        </w:rPr>
        <w:t>preformed</w:t>
      </w:r>
      <w:proofErr w:type="gramEnd"/>
      <w:r>
        <w:rPr>
          <w:sz w:val="22"/>
          <w:szCs w:val="22"/>
        </w:rPr>
        <w:t xml:space="preserve"> using R 4.1.1 statistical programming software. </w:t>
      </w:r>
    </w:p>
    <w:p w14:paraId="5DFB494A" w14:textId="77777777" w:rsidR="0054280C" w:rsidRDefault="0054280C">
      <w:pPr>
        <w:jc w:val="both"/>
        <w:rPr>
          <w:sz w:val="22"/>
          <w:szCs w:val="22"/>
        </w:rPr>
      </w:pPr>
    </w:p>
    <w:p w14:paraId="0C378622" w14:textId="77777777" w:rsidR="0054280C" w:rsidRDefault="00B71134">
      <w:pPr>
        <w:jc w:val="both"/>
        <w:rPr>
          <w:sz w:val="22"/>
          <w:szCs w:val="22"/>
        </w:rPr>
      </w:pPr>
      <w:r>
        <w:rPr>
          <w:sz w:val="22"/>
          <w:szCs w:val="22"/>
        </w:rPr>
        <w:t>2.7 Ethical Approval</w:t>
      </w:r>
    </w:p>
    <w:p w14:paraId="49218F8E" w14:textId="77777777" w:rsidR="0054280C" w:rsidRDefault="00B71134">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sz w:val="22"/>
          <w:szCs w:val="22"/>
        </w:rPr>
        <w:tab/>
      </w:r>
      <w:r>
        <w:rPr>
          <w:color w:val="000000"/>
          <w:sz w:val="22"/>
          <w:szCs w:val="22"/>
        </w:rPr>
        <w:t xml:space="preserve">The ESPINA study was approved by the Institutional Review Boards of the University of Minnesota, The University of California San Diego, Universidad San Francisco de Quito, and approved by the Ministry of Public Health of Ecuador and the Commonwealth of Rural Parishes of Pedro Moncayo County, Ecuador. </w:t>
      </w:r>
    </w:p>
    <w:p w14:paraId="278D262F" w14:textId="77777777" w:rsidR="0054280C" w:rsidRDefault="0054280C">
      <w:pPr>
        <w:jc w:val="both"/>
        <w:rPr>
          <w:sz w:val="22"/>
          <w:szCs w:val="22"/>
        </w:rPr>
      </w:pPr>
    </w:p>
    <w:p w14:paraId="6CFEAC9E" w14:textId="77777777" w:rsidR="0054280C" w:rsidRDefault="0054280C">
      <w:pPr>
        <w:jc w:val="both"/>
        <w:rPr>
          <w:color w:val="000000"/>
          <w:sz w:val="22"/>
          <w:szCs w:val="22"/>
        </w:rPr>
      </w:pPr>
    </w:p>
    <w:p w14:paraId="0131178C" w14:textId="77777777" w:rsidR="0054280C" w:rsidRDefault="00B71134">
      <w:pPr>
        <w:pStyle w:val="ListParagraph"/>
        <w:numPr>
          <w:ilvl w:val="0"/>
          <w:numId w:val="1"/>
        </w:numPr>
        <w:jc w:val="both"/>
        <w:rPr>
          <w:b/>
          <w:bCs/>
        </w:rPr>
      </w:pPr>
      <w:r>
        <w:rPr>
          <w:b/>
          <w:bCs/>
        </w:rPr>
        <w:t>Results</w:t>
      </w:r>
    </w:p>
    <w:p w14:paraId="536109EF" w14:textId="77777777" w:rsidR="0054280C" w:rsidRDefault="0054280C">
      <w:pPr>
        <w:jc w:val="both"/>
        <w:rPr>
          <w:color w:val="000000"/>
          <w:sz w:val="22"/>
          <w:szCs w:val="22"/>
        </w:rPr>
      </w:pPr>
    </w:p>
    <w:p w14:paraId="4CC6F8E1" w14:textId="77777777" w:rsidR="0054280C" w:rsidRDefault="00B71134">
      <w:pPr>
        <w:jc w:val="both"/>
        <w:rPr>
          <w:color w:val="000000"/>
          <w:sz w:val="22"/>
          <w:szCs w:val="22"/>
        </w:rPr>
      </w:pPr>
      <w:r>
        <w:rPr>
          <w:color w:val="000000"/>
          <w:sz w:val="22"/>
          <w:szCs w:val="22"/>
        </w:rPr>
        <w:t>3.1 Summary Statistics</w:t>
      </w:r>
    </w:p>
    <w:p w14:paraId="0846B9FE" w14:textId="77777777" w:rsidR="0054280C" w:rsidRDefault="0054280C">
      <w:pPr>
        <w:jc w:val="both"/>
        <w:rPr>
          <w:color w:val="000000"/>
          <w:sz w:val="22"/>
          <w:szCs w:val="22"/>
        </w:rPr>
      </w:pPr>
    </w:p>
    <w:p w14:paraId="1C59E81E" w14:textId="31DA66EC" w:rsidR="0054280C" w:rsidRDefault="00B71134">
      <w:pPr>
        <w:jc w:val="both"/>
        <w:rPr>
          <w:color w:val="000000"/>
          <w:sz w:val="22"/>
          <w:szCs w:val="22"/>
        </w:rPr>
      </w:pPr>
      <w:r>
        <w:rPr>
          <w:color w:val="000000"/>
          <w:sz w:val="22"/>
          <w:szCs w:val="22"/>
        </w:rPr>
        <w:t xml:space="preserve">Of the 629 children included in this study, </w:t>
      </w:r>
      <w:r w:rsidR="00225B33">
        <w:rPr>
          <w:color w:val="000000"/>
          <w:sz w:val="22"/>
          <w:szCs w:val="22"/>
        </w:rPr>
        <w:t>4</w:t>
      </w:r>
      <w:r w:rsidR="00781889">
        <w:rPr>
          <w:color w:val="000000"/>
          <w:sz w:val="22"/>
          <w:szCs w:val="22"/>
        </w:rPr>
        <w:t>6.1</w:t>
      </w:r>
      <w:r>
        <w:rPr>
          <w:color w:val="000000"/>
          <w:sz w:val="22"/>
          <w:szCs w:val="22"/>
        </w:rPr>
        <w:t>% (N=</w:t>
      </w:r>
      <w:commentRangeStart w:id="68"/>
      <w:commentRangeStart w:id="69"/>
      <w:commentRangeStart w:id="70"/>
      <w:del w:id="71" w:author="Jasen Zhang" w:date="2025-09-19T13:18:00Z" w16du:dateUtc="2025-09-19T20:18:00Z">
        <w:r w:rsidDel="00EE0EF1">
          <w:rPr>
            <w:color w:val="000000"/>
            <w:sz w:val="22"/>
            <w:szCs w:val="22"/>
          </w:rPr>
          <w:delText>31</w:delText>
        </w:r>
        <w:commentRangeEnd w:id="68"/>
        <w:commentRangeEnd w:id="69"/>
        <w:commentRangeEnd w:id="70"/>
        <w:r w:rsidDel="00EE0EF1">
          <w:commentReference w:id="68"/>
        </w:r>
        <w:r w:rsidDel="00EE0EF1">
          <w:commentReference w:id="69"/>
        </w:r>
        <w:r w:rsidR="00460847" w:rsidDel="00EE0EF1">
          <w:rPr>
            <w:rStyle w:val="CommentReference"/>
            <w:rFonts w:asciiTheme="minorHAnsi" w:hAnsiTheme="minorHAnsi" w:cstheme="minorBidi"/>
          </w:rPr>
          <w:commentReference w:id="70"/>
        </w:r>
        <w:r w:rsidR="00C11DBC" w:rsidDel="00EE0EF1">
          <w:rPr>
            <w:color w:val="000000"/>
            <w:sz w:val="22"/>
            <w:szCs w:val="22"/>
          </w:rPr>
          <w:delText>0</w:delText>
        </w:r>
      </w:del>
      <w:ins w:id="72" w:author="Jasen Zhang" w:date="2025-09-19T13:18:00Z" w16du:dateUtc="2025-09-19T20:18:00Z">
        <w:r w:rsidR="00EE0EF1">
          <w:rPr>
            <w:color w:val="000000"/>
            <w:sz w:val="22"/>
            <w:szCs w:val="22"/>
          </w:rPr>
          <w:t>290</w:t>
        </w:r>
      </w:ins>
      <w:r>
        <w:rPr>
          <w:color w:val="000000"/>
          <w:sz w:val="22"/>
          <w:szCs w:val="22"/>
        </w:rPr>
        <w:t xml:space="preserve">) </w:t>
      </w:r>
      <w:r w:rsidR="00F304D1">
        <w:rPr>
          <w:color w:val="000000"/>
          <w:sz w:val="22"/>
          <w:szCs w:val="22"/>
        </w:rPr>
        <w:t>of those</w:t>
      </w:r>
      <w:r>
        <w:rPr>
          <w:color w:val="000000"/>
          <w:sz w:val="22"/>
          <w:szCs w:val="22"/>
        </w:rPr>
        <w:t xml:space="preserve"> </w:t>
      </w:r>
      <w:r w:rsidR="00866B1A">
        <w:rPr>
          <w:color w:val="000000"/>
          <w:sz w:val="22"/>
          <w:szCs w:val="22"/>
        </w:rPr>
        <w:t xml:space="preserve">were </w:t>
      </w:r>
      <w:r>
        <w:rPr>
          <w:color w:val="000000"/>
          <w:sz w:val="22"/>
          <w:szCs w:val="22"/>
        </w:rPr>
        <w:t>examined in Summer 2008 (visit #1), 5</w:t>
      </w:r>
      <w:r w:rsidR="00781889">
        <w:rPr>
          <w:color w:val="000000"/>
          <w:sz w:val="22"/>
          <w:szCs w:val="22"/>
        </w:rPr>
        <w:t>0.9</w:t>
      </w:r>
      <w:r>
        <w:rPr>
          <w:color w:val="000000"/>
          <w:sz w:val="22"/>
          <w:szCs w:val="22"/>
        </w:rPr>
        <w:t>% (N=</w:t>
      </w:r>
      <w:r w:rsidR="00EE0EF1">
        <w:rPr>
          <w:color w:val="000000"/>
          <w:sz w:val="22"/>
          <w:szCs w:val="22"/>
        </w:rPr>
        <w:t>32</w:t>
      </w:r>
      <w:r>
        <w:rPr>
          <w:color w:val="000000"/>
          <w:sz w:val="22"/>
          <w:szCs w:val="22"/>
        </w:rPr>
        <w:t>0) in Spring 2016 (visit #2), and 8</w:t>
      </w:r>
      <w:r w:rsidR="00781889">
        <w:rPr>
          <w:color w:val="000000"/>
          <w:sz w:val="22"/>
          <w:szCs w:val="22"/>
        </w:rPr>
        <w:t>3.1</w:t>
      </w:r>
      <w:r>
        <w:rPr>
          <w:color w:val="000000"/>
          <w:sz w:val="22"/>
          <w:szCs w:val="22"/>
        </w:rPr>
        <w:t>% (n=5</w:t>
      </w:r>
      <w:r w:rsidR="00781889">
        <w:rPr>
          <w:color w:val="000000"/>
          <w:sz w:val="22"/>
          <w:szCs w:val="22"/>
        </w:rPr>
        <w:t>23</w:t>
      </w:r>
      <w:r>
        <w:rPr>
          <w:color w:val="000000"/>
          <w:sz w:val="22"/>
          <w:szCs w:val="22"/>
        </w:rPr>
        <w:t>) in Summer 2016 (visit #3)</w:t>
      </w:r>
      <w:r w:rsidR="00866B1A">
        <w:rPr>
          <w:color w:val="000000"/>
          <w:sz w:val="22"/>
          <w:szCs w:val="22"/>
        </w:rPr>
        <w:t xml:space="preserve"> </w:t>
      </w:r>
      <w:r w:rsidR="00866B1A">
        <w:rPr>
          <w:color w:val="000000"/>
          <w:sz w:val="22"/>
          <w:szCs w:val="22"/>
        </w:rPr>
        <w:lastRenderedPageBreak/>
        <w:t>comprised the final dataset for our analysis</w:t>
      </w:r>
      <w:r>
        <w:rPr>
          <w:color w:val="000000"/>
          <w:sz w:val="22"/>
          <w:szCs w:val="22"/>
        </w:rPr>
        <w:t xml:space="preserve"> (Table 2). The mean </w:t>
      </w:r>
      <w:r w:rsidR="008D3E27">
        <w:rPr>
          <w:color w:val="000000"/>
          <w:sz w:val="22"/>
          <w:szCs w:val="22"/>
        </w:rPr>
        <w:t xml:space="preserve">(SD) </w:t>
      </w:r>
      <w:r>
        <w:rPr>
          <w:color w:val="000000"/>
          <w:sz w:val="22"/>
          <w:szCs w:val="22"/>
        </w:rPr>
        <w:t>age of</w:t>
      </w:r>
      <w:r w:rsidR="002E1939">
        <w:rPr>
          <w:color w:val="000000"/>
          <w:sz w:val="22"/>
          <w:szCs w:val="22"/>
        </w:rPr>
        <w:t xml:space="preserve"> these</w:t>
      </w:r>
      <w:r>
        <w:rPr>
          <w:color w:val="000000"/>
          <w:sz w:val="22"/>
          <w:szCs w:val="22"/>
        </w:rPr>
        <w:t xml:space="preserve"> participants was 6.6 </w:t>
      </w:r>
      <w:r w:rsidR="008D3E27">
        <w:rPr>
          <w:color w:val="000000"/>
          <w:sz w:val="22"/>
          <w:szCs w:val="22"/>
        </w:rPr>
        <w:t xml:space="preserve">(1.6) </w:t>
      </w:r>
      <w:r>
        <w:rPr>
          <w:color w:val="000000"/>
          <w:sz w:val="22"/>
          <w:szCs w:val="22"/>
        </w:rPr>
        <w:t>years old for visit #1, 14.</w:t>
      </w:r>
      <w:r w:rsidR="008D3E27">
        <w:rPr>
          <w:color w:val="000000"/>
          <w:sz w:val="22"/>
          <w:szCs w:val="22"/>
        </w:rPr>
        <w:t>2 (1.8)</w:t>
      </w:r>
      <w:r>
        <w:rPr>
          <w:color w:val="000000"/>
          <w:sz w:val="22"/>
          <w:szCs w:val="22"/>
        </w:rPr>
        <w:t xml:space="preserve"> years old for visit #2 and 14.5</w:t>
      </w:r>
      <w:r w:rsidR="008D3E27">
        <w:rPr>
          <w:color w:val="000000"/>
          <w:sz w:val="22"/>
          <w:szCs w:val="22"/>
        </w:rPr>
        <w:t xml:space="preserve"> (1.8)</w:t>
      </w:r>
      <w:r>
        <w:rPr>
          <w:color w:val="000000"/>
          <w:sz w:val="22"/>
          <w:szCs w:val="22"/>
        </w:rPr>
        <w:t xml:space="preserve"> years old for visit #3. Most participants identified as mestizo in all time points</w:t>
      </w:r>
      <w:r w:rsidR="008D3E27">
        <w:rPr>
          <w:color w:val="000000"/>
          <w:sz w:val="22"/>
          <w:szCs w:val="22"/>
        </w:rPr>
        <w:t>,</w:t>
      </w:r>
      <w:r>
        <w:rPr>
          <w:color w:val="000000"/>
          <w:sz w:val="22"/>
          <w:szCs w:val="22"/>
        </w:rPr>
        <w:t xml:space="preserve"> and approximately half of participants were female. The mean</w:t>
      </w:r>
      <w:r w:rsidR="00E514B0">
        <w:rPr>
          <w:color w:val="000000"/>
          <w:sz w:val="22"/>
          <w:szCs w:val="22"/>
        </w:rPr>
        <w:t xml:space="preserve"> (SD)</w:t>
      </w:r>
      <w:r>
        <w:rPr>
          <w:color w:val="000000"/>
          <w:sz w:val="22"/>
          <w:szCs w:val="22"/>
        </w:rPr>
        <w:t xml:space="preserve"> z-score-height-for-age was -1.</w:t>
      </w:r>
      <w:r w:rsidR="008D3E27">
        <w:rPr>
          <w:color w:val="000000"/>
          <w:sz w:val="22"/>
          <w:szCs w:val="22"/>
        </w:rPr>
        <w:t>2</w:t>
      </w:r>
      <w:r>
        <w:rPr>
          <w:color w:val="000000"/>
          <w:sz w:val="22"/>
          <w:szCs w:val="22"/>
        </w:rPr>
        <w:t xml:space="preserve"> (</w:t>
      </w:r>
      <w:r w:rsidR="008D3E27">
        <w:rPr>
          <w:color w:val="000000"/>
          <w:sz w:val="22"/>
          <w:szCs w:val="22"/>
        </w:rPr>
        <w:t>0.9</w:t>
      </w:r>
      <w:r>
        <w:rPr>
          <w:color w:val="000000"/>
          <w:sz w:val="22"/>
          <w:szCs w:val="22"/>
        </w:rPr>
        <w:t xml:space="preserve">) for visit #1, -1.6 (1.0) for visit #2, and -1.5 (0.9) for visit #3. Participants cohabitating with an agricultural worker </w:t>
      </w:r>
      <w:proofErr w:type="gramStart"/>
      <w:r>
        <w:rPr>
          <w:color w:val="000000"/>
          <w:sz w:val="22"/>
          <w:szCs w:val="22"/>
        </w:rPr>
        <w:t>was</w:t>
      </w:r>
      <w:proofErr w:type="gramEnd"/>
      <w:r>
        <w:rPr>
          <w:color w:val="000000"/>
          <w:sz w:val="22"/>
          <w:szCs w:val="22"/>
        </w:rPr>
        <w:t xml:space="preserve"> reported by 5</w:t>
      </w:r>
      <w:r w:rsidR="00C32B1C">
        <w:rPr>
          <w:color w:val="000000"/>
          <w:sz w:val="22"/>
          <w:szCs w:val="22"/>
        </w:rPr>
        <w:t>5.2</w:t>
      </w:r>
      <w:r>
        <w:rPr>
          <w:color w:val="000000"/>
          <w:sz w:val="22"/>
          <w:szCs w:val="22"/>
        </w:rPr>
        <w:t>% in visit #1, 68</w:t>
      </w:r>
      <w:r w:rsidR="00C32B1C">
        <w:rPr>
          <w:color w:val="000000"/>
          <w:sz w:val="22"/>
          <w:szCs w:val="22"/>
        </w:rPr>
        <w:t>.1</w:t>
      </w:r>
      <w:r>
        <w:rPr>
          <w:color w:val="000000"/>
          <w:sz w:val="22"/>
          <w:szCs w:val="22"/>
        </w:rPr>
        <w:t>% in visit #2, and 6</w:t>
      </w:r>
      <w:r w:rsidR="00C32B1C">
        <w:rPr>
          <w:color w:val="000000"/>
          <w:sz w:val="22"/>
          <w:szCs w:val="22"/>
        </w:rPr>
        <w:t>7.3</w:t>
      </w:r>
      <w:r>
        <w:rPr>
          <w:color w:val="000000"/>
          <w:sz w:val="22"/>
          <w:szCs w:val="22"/>
        </w:rPr>
        <w:t>% in visit #3</w:t>
      </w:r>
      <w:r w:rsidR="00E514B0">
        <w:rPr>
          <w:color w:val="000000"/>
          <w:sz w:val="22"/>
          <w:szCs w:val="22"/>
        </w:rPr>
        <w:t xml:space="preserve"> (Table 2)</w:t>
      </w:r>
      <w:r>
        <w:rPr>
          <w:color w:val="000000"/>
          <w:sz w:val="22"/>
          <w:szCs w:val="22"/>
        </w:rPr>
        <w:t xml:space="preserve">. </w:t>
      </w:r>
    </w:p>
    <w:p w14:paraId="58578A56" w14:textId="77777777" w:rsidR="0054280C" w:rsidRDefault="0054280C">
      <w:pPr>
        <w:jc w:val="both"/>
        <w:rPr>
          <w:color w:val="000000"/>
          <w:sz w:val="22"/>
          <w:szCs w:val="22"/>
        </w:rPr>
      </w:pPr>
    </w:p>
    <w:p w14:paraId="3162DF88" w14:textId="4FE1FBB6" w:rsidR="0054280C" w:rsidRDefault="00B71134">
      <w:pPr>
        <w:jc w:val="both"/>
        <w:rPr>
          <w:b/>
          <w:bCs/>
          <w:color w:val="000000"/>
          <w:sz w:val="22"/>
          <w:szCs w:val="22"/>
        </w:rPr>
      </w:pPr>
      <w:r>
        <w:rPr>
          <w:color w:val="000000"/>
          <w:sz w:val="22"/>
          <w:szCs w:val="22"/>
        </w:rPr>
        <w:t xml:space="preserve">The </w:t>
      </w:r>
      <w:r w:rsidR="00E514B0">
        <w:rPr>
          <w:color w:val="000000"/>
          <w:sz w:val="22"/>
          <w:szCs w:val="22"/>
        </w:rPr>
        <w:t>mean (SD)</w:t>
      </w:r>
      <w:r>
        <w:rPr>
          <w:color w:val="000000"/>
          <w:sz w:val="22"/>
          <w:szCs w:val="22"/>
        </w:rPr>
        <w:t xml:space="preserve"> residential distance to the nearest floricultural greenhouse was 44</w:t>
      </w:r>
      <w:r w:rsidR="00E514B0">
        <w:rPr>
          <w:color w:val="000000"/>
          <w:sz w:val="22"/>
          <w:szCs w:val="22"/>
        </w:rPr>
        <w:t>1.9</w:t>
      </w:r>
      <w:r>
        <w:rPr>
          <w:color w:val="000000"/>
          <w:sz w:val="22"/>
          <w:szCs w:val="22"/>
        </w:rPr>
        <w:t>m (34</w:t>
      </w:r>
      <w:r w:rsidR="00E514B0">
        <w:rPr>
          <w:color w:val="000000"/>
          <w:sz w:val="22"/>
          <w:szCs w:val="22"/>
        </w:rPr>
        <w:t>4.6</w:t>
      </w:r>
      <w:r>
        <w:rPr>
          <w:color w:val="000000"/>
          <w:sz w:val="22"/>
          <w:szCs w:val="22"/>
        </w:rPr>
        <w:t>m), 50</w:t>
      </w:r>
      <w:r w:rsidR="00E514B0">
        <w:rPr>
          <w:color w:val="000000"/>
          <w:sz w:val="22"/>
          <w:szCs w:val="22"/>
        </w:rPr>
        <w:t>4.8</w:t>
      </w:r>
      <w:r>
        <w:rPr>
          <w:color w:val="000000"/>
          <w:sz w:val="22"/>
          <w:szCs w:val="22"/>
        </w:rPr>
        <w:t>m (6</w:t>
      </w:r>
      <w:r w:rsidR="00E514B0">
        <w:rPr>
          <w:color w:val="000000"/>
          <w:sz w:val="22"/>
          <w:szCs w:val="22"/>
        </w:rPr>
        <w:t>18.4</w:t>
      </w:r>
      <w:r>
        <w:rPr>
          <w:color w:val="000000"/>
          <w:sz w:val="22"/>
          <w:szCs w:val="22"/>
        </w:rPr>
        <w:t>m) and 5</w:t>
      </w:r>
      <w:r w:rsidR="00E514B0">
        <w:rPr>
          <w:color w:val="000000"/>
          <w:sz w:val="22"/>
          <w:szCs w:val="22"/>
        </w:rPr>
        <w:t>60.4</w:t>
      </w:r>
      <w:r>
        <w:rPr>
          <w:color w:val="000000"/>
          <w:sz w:val="22"/>
          <w:szCs w:val="22"/>
        </w:rPr>
        <w:t>m (</w:t>
      </w:r>
      <w:r w:rsidR="00E514B0">
        <w:rPr>
          <w:color w:val="000000"/>
          <w:sz w:val="22"/>
          <w:szCs w:val="22"/>
        </w:rPr>
        <w:t>799.3</w:t>
      </w:r>
      <w:r>
        <w:rPr>
          <w:color w:val="000000"/>
          <w:sz w:val="22"/>
          <w:szCs w:val="22"/>
        </w:rPr>
        <w:t>m) in Summer 2008, and Spring and Summer 2016 respectively. Approximately 63% of the cohort at</w:t>
      </w:r>
      <w:r w:rsidR="007A3A46">
        <w:rPr>
          <w:color w:val="000000"/>
          <w:sz w:val="22"/>
          <w:szCs w:val="22"/>
        </w:rPr>
        <w:t xml:space="preserve"> each</w:t>
      </w:r>
      <w:r>
        <w:rPr>
          <w:color w:val="000000"/>
          <w:sz w:val="22"/>
          <w:szCs w:val="22"/>
        </w:rPr>
        <w:t xml:space="preserve"> time point had floricultural greenhouses within 500m of their homes. Scores of Attention/Inhibitory Control, Language, Visuospatial Processing and Social Perception are described by visit in Table 2. </w:t>
      </w:r>
      <w:commentRangeStart w:id="73"/>
      <w:commentRangeStart w:id="74"/>
      <w:commentRangeStart w:id="75"/>
      <w:r>
        <w:rPr>
          <w:color w:val="000000"/>
          <w:sz w:val="22"/>
          <w:szCs w:val="22"/>
        </w:rPr>
        <w:t>In Summer 2008 and 2016, below expected NEPSY scores</w:t>
      </w:r>
      <w:r w:rsidR="00BC6573">
        <w:rPr>
          <w:color w:val="000000"/>
          <w:sz w:val="22"/>
          <w:szCs w:val="22"/>
        </w:rPr>
        <w:t xml:space="preserve"> (&lt;</w:t>
      </w:r>
      <w:r w:rsidR="00A220B4">
        <w:rPr>
          <w:color w:val="000000"/>
          <w:sz w:val="22"/>
          <w:szCs w:val="22"/>
        </w:rPr>
        <w:t>= 7)</w:t>
      </w:r>
      <w:r>
        <w:rPr>
          <w:color w:val="000000"/>
          <w:sz w:val="22"/>
          <w:szCs w:val="22"/>
        </w:rPr>
        <w:t xml:space="preserve"> were reported in Language and Inhibition, while expected scores (8-12) were reported in many of the other categories (Table 2)</w:t>
      </w:r>
      <w:commentRangeEnd w:id="73"/>
      <w:commentRangeEnd w:id="74"/>
      <w:commentRangeEnd w:id="75"/>
      <w:r>
        <w:commentReference w:id="73"/>
      </w:r>
      <w:r>
        <w:commentReference w:id="74"/>
      </w:r>
      <w:r>
        <w:commentReference w:id="75"/>
      </w:r>
      <w:r>
        <w:rPr>
          <w:color w:val="000000"/>
          <w:sz w:val="22"/>
          <w:szCs w:val="22"/>
        </w:rPr>
        <w:t xml:space="preserve">. </w:t>
      </w:r>
      <w:commentRangeStart w:id="76"/>
      <w:r>
        <w:rPr>
          <w:color w:val="000000"/>
          <w:sz w:val="22"/>
          <w:szCs w:val="22"/>
        </w:rPr>
        <w:t>NEPSY-II subscale scores by residential proximity and visit time are described in Supplement</w:t>
      </w:r>
      <w:r w:rsidR="002D4C99">
        <w:rPr>
          <w:color w:val="000000"/>
          <w:sz w:val="22"/>
          <w:szCs w:val="22"/>
        </w:rPr>
        <w:t>al</w:t>
      </w:r>
      <w:r>
        <w:rPr>
          <w:color w:val="000000"/>
          <w:sz w:val="22"/>
          <w:szCs w:val="22"/>
        </w:rPr>
        <w:t xml:space="preserve"> Table 1</w:t>
      </w:r>
      <w:commentRangeEnd w:id="76"/>
      <w:r>
        <w:commentReference w:id="76"/>
      </w:r>
      <w:r>
        <w:rPr>
          <w:color w:val="000000"/>
          <w:sz w:val="22"/>
          <w:szCs w:val="22"/>
        </w:rPr>
        <w:t>.</w:t>
      </w:r>
    </w:p>
    <w:p w14:paraId="02086C90" w14:textId="77777777" w:rsidR="0054280C" w:rsidRDefault="0054280C">
      <w:pPr>
        <w:jc w:val="both"/>
        <w:rPr>
          <w:color w:val="000000"/>
          <w:sz w:val="22"/>
          <w:szCs w:val="22"/>
        </w:rPr>
      </w:pPr>
    </w:p>
    <w:p w14:paraId="18397BA0" w14:textId="6A6031BC" w:rsidR="0054280C" w:rsidRDefault="00B71134">
      <w:pPr>
        <w:jc w:val="both"/>
        <w:rPr>
          <w:color w:val="000000"/>
          <w:sz w:val="22"/>
          <w:szCs w:val="22"/>
        </w:rPr>
      </w:pPr>
      <w:r>
        <w:rPr>
          <w:color w:val="000000"/>
          <w:sz w:val="22"/>
          <w:szCs w:val="22"/>
        </w:rPr>
        <w:t>In</w:t>
      </w:r>
      <w:commentRangeStart w:id="77"/>
      <w:r>
        <w:rPr>
          <w:color w:val="000000"/>
          <w:sz w:val="22"/>
          <w:szCs w:val="22"/>
        </w:rPr>
        <w:t xml:space="preserve"> our </w:t>
      </w:r>
      <w:commentRangeStart w:id="78"/>
      <w:commentRangeEnd w:id="78"/>
      <w:r>
        <w:commentReference w:id="78"/>
      </w:r>
      <w:r>
        <w:rPr>
          <w:color w:val="000000"/>
          <w:sz w:val="22"/>
          <w:szCs w:val="22"/>
        </w:rPr>
        <w:t xml:space="preserve">data analysis, we found that distance from residency to nearest plantation was associated with a few covariates such as Indigenous children in Spring and Summer 2016, </w:t>
      </w:r>
      <w:r w:rsidR="007F417A">
        <w:rPr>
          <w:color w:val="000000"/>
          <w:sz w:val="22"/>
          <w:szCs w:val="22"/>
        </w:rPr>
        <w:t xml:space="preserve">gender in Summer 2016, </w:t>
      </w:r>
      <w:r w:rsidR="00B57757">
        <w:rPr>
          <w:color w:val="000000"/>
          <w:sz w:val="22"/>
          <w:szCs w:val="22"/>
        </w:rPr>
        <w:t xml:space="preserve">scaled salary in Summer 2008, </w:t>
      </w:r>
      <w:r>
        <w:rPr>
          <w:color w:val="000000"/>
          <w:sz w:val="22"/>
          <w:szCs w:val="22"/>
        </w:rPr>
        <w:t xml:space="preserve">and cohabitating with an agricultural worker in Spring 2016 (Table 3). </w:t>
      </w:r>
      <w:commentRangeEnd w:id="77"/>
      <w:r>
        <w:commentReference w:id="77"/>
      </w:r>
    </w:p>
    <w:p w14:paraId="71B4F0D0" w14:textId="77777777" w:rsidR="0054280C" w:rsidRDefault="0054280C">
      <w:pPr>
        <w:jc w:val="both"/>
        <w:rPr>
          <w:b/>
          <w:bCs/>
          <w:color w:val="000000"/>
          <w:sz w:val="22"/>
          <w:szCs w:val="22"/>
        </w:rPr>
      </w:pPr>
    </w:p>
    <w:p w14:paraId="458755B2" w14:textId="77777777" w:rsidR="0054280C" w:rsidRDefault="00B71134">
      <w:pPr>
        <w:jc w:val="both"/>
        <w:rPr>
          <w:color w:val="000000"/>
          <w:sz w:val="22"/>
          <w:szCs w:val="22"/>
        </w:rPr>
      </w:pPr>
      <w:r>
        <w:rPr>
          <w:color w:val="000000"/>
          <w:sz w:val="22"/>
          <w:szCs w:val="22"/>
        </w:rPr>
        <w:t>3.2 Associations</w:t>
      </w:r>
    </w:p>
    <w:p w14:paraId="3D4BC5B5" w14:textId="77777777" w:rsidR="0054280C" w:rsidRDefault="0054280C">
      <w:pPr>
        <w:jc w:val="both"/>
        <w:rPr>
          <w:color w:val="000000"/>
          <w:sz w:val="22"/>
          <w:szCs w:val="22"/>
        </w:rPr>
      </w:pPr>
    </w:p>
    <w:p w14:paraId="1EEC8C18" w14:textId="499B2C06" w:rsidR="0054280C" w:rsidRDefault="00B71134">
      <w:pPr>
        <w:jc w:val="both"/>
        <w:rPr>
          <w:color w:val="000000"/>
          <w:sz w:val="22"/>
          <w:szCs w:val="22"/>
        </w:rPr>
      </w:pPr>
      <w:r>
        <w:rPr>
          <w:color w:val="000000"/>
          <w:sz w:val="22"/>
          <w:szCs w:val="22"/>
        </w:rPr>
        <w:t xml:space="preserve">In our longitudinal analyses, </w:t>
      </w:r>
      <w:commentRangeStart w:id="79"/>
      <w:commentRangeStart w:id="80"/>
      <w:r>
        <w:rPr>
          <w:color w:val="000000"/>
          <w:sz w:val="22"/>
          <w:szCs w:val="22"/>
        </w:rPr>
        <w:t xml:space="preserve">statistically significant associations were found between our pesticide exposure constructs with Inhibition-Inhibition Combined, Inhibition-Switching Combined, </w:t>
      </w:r>
      <w:commentRangeStart w:id="81"/>
      <w:commentRangeStart w:id="82"/>
      <w:r>
        <w:rPr>
          <w:color w:val="000000"/>
          <w:sz w:val="22"/>
          <w:szCs w:val="22"/>
        </w:rPr>
        <w:t>Inhibition subdomain,</w:t>
      </w:r>
      <w:commentRangeEnd w:id="81"/>
      <w:commentRangeEnd w:id="82"/>
      <w:r>
        <w:commentReference w:id="81"/>
      </w:r>
      <w:r>
        <w:commentReference w:id="82"/>
      </w:r>
      <w:r>
        <w:rPr>
          <w:color w:val="000000"/>
          <w:sz w:val="22"/>
          <w:szCs w:val="22"/>
        </w:rPr>
        <w:t xml:space="preserve"> and the Attention/Inhibitory Control domain (Figure 2 and </w:t>
      </w:r>
      <w:commentRangeStart w:id="83"/>
      <w:r>
        <w:rPr>
          <w:color w:val="000000"/>
          <w:sz w:val="22"/>
          <w:szCs w:val="22"/>
        </w:rPr>
        <w:t xml:space="preserve">Supplementary Table </w:t>
      </w:r>
      <w:commentRangeEnd w:id="83"/>
      <w:r w:rsidR="00D17DCF">
        <w:rPr>
          <w:color w:val="000000"/>
          <w:sz w:val="22"/>
          <w:szCs w:val="22"/>
        </w:rPr>
        <w:t>2</w:t>
      </w:r>
      <w:r>
        <w:commentReference w:id="83"/>
      </w:r>
      <w:r>
        <w:rPr>
          <w:color w:val="000000"/>
          <w:sz w:val="22"/>
          <w:szCs w:val="22"/>
        </w:rPr>
        <w:t xml:space="preserve">). </w:t>
      </w:r>
      <w:commentRangeEnd w:id="79"/>
      <w:commentRangeEnd w:id="80"/>
      <w:r>
        <w:commentReference w:id="79"/>
      </w:r>
      <w:r>
        <w:commentReference w:id="80"/>
      </w:r>
      <w:r>
        <w:rPr>
          <w:color w:val="000000"/>
          <w:sz w:val="22"/>
          <w:szCs w:val="22"/>
        </w:rPr>
        <w:t xml:space="preserve">The 95% confidence intervals for the association between distance or crop areas and these neurobehavioral </w:t>
      </w:r>
      <w:commentRangeStart w:id="84"/>
      <w:commentRangeStart w:id="85"/>
      <w:r>
        <w:rPr>
          <w:color w:val="000000"/>
          <w:sz w:val="22"/>
          <w:szCs w:val="22"/>
        </w:rPr>
        <w:t xml:space="preserve">scores </w:t>
      </w:r>
      <w:commentRangeEnd w:id="84"/>
      <w:commentRangeEnd w:id="85"/>
      <w:r>
        <w:commentReference w:id="84"/>
      </w:r>
      <w:r>
        <w:commentReference w:id="85"/>
      </w:r>
      <w:r>
        <w:rPr>
          <w:color w:val="000000"/>
          <w:sz w:val="22"/>
          <w:szCs w:val="22"/>
        </w:rPr>
        <w:t xml:space="preserve">are shown in Figure </w:t>
      </w:r>
      <w:r w:rsidR="00B12B9C">
        <w:rPr>
          <w:color w:val="000000"/>
          <w:sz w:val="22"/>
          <w:szCs w:val="22"/>
        </w:rPr>
        <w:t>2</w:t>
      </w:r>
      <w:r>
        <w:rPr>
          <w:color w:val="000000"/>
          <w:sz w:val="22"/>
          <w:szCs w:val="22"/>
        </w:rPr>
        <w:t xml:space="preserve">. </w:t>
      </w:r>
    </w:p>
    <w:p w14:paraId="43FD4AC3" w14:textId="77777777" w:rsidR="0054280C" w:rsidRDefault="0054280C">
      <w:pPr>
        <w:rPr>
          <w:color w:val="000000"/>
          <w:sz w:val="22"/>
          <w:szCs w:val="22"/>
        </w:rPr>
      </w:pPr>
    </w:p>
    <w:p w14:paraId="6729E398" w14:textId="77777777" w:rsidR="0054280C" w:rsidRDefault="00B71134">
      <w:pPr>
        <w:rPr>
          <w:b/>
          <w:bCs/>
          <w:color w:val="000000"/>
          <w:sz w:val="22"/>
          <w:szCs w:val="22"/>
        </w:rPr>
      </w:pPr>
      <w:r>
        <w:rPr>
          <w:b/>
          <w:bCs/>
          <w:color w:val="000000"/>
          <w:sz w:val="22"/>
          <w:szCs w:val="22"/>
        </w:rPr>
        <w:br w:type="page" w:clear="all"/>
      </w:r>
    </w:p>
    <w:p w14:paraId="4D0D265E" w14:textId="77777777" w:rsidR="0054280C" w:rsidRDefault="00B71134">
      <w:pPr>
        <w:rPr>
          <w:color w:val="000000"/>
          <w:sz w:val="22"/>
          <w:szCs w:val="22"/>
        </w:rPr>
      </w:pPr>
      <w:r>
        <w:rPr>
          <w:b/>
          <w:bCs/>
          <w:color w:val="000000"/>
          <w:sz w:val="22"/>
          <w:szCs w:val="22"/>
        </w:rPr>
        <w:lastRenderedPageBreak/>
        <w:t>Table 2:</w:t>
      </w:r>
      <w:r>
        <w:rPr>
          <w:color w:val="000000"/>
          <w:sz w:val="22"/>
          <w:szCs w:val="22"/>
        </w:rPr>
        <w:t xml:space="preserve"> Participant characteristics by visit</w:t>
      </w:r>
    </w:p>
    <w:tbl>
      <w:tblPr>
        <w:tblStyle w:val="TableGrid"/>
        <w:tblW w:w="0" w:type="auto"/>
        <w:tblLook w:val="04A0" w:firstRow="1" w:lastRow="0" w:firstColumn="1" w:lastColumn="0" w:noHBand="0" w:noVBand="1"/>
      </w:tblPr>
      <w:tblGrid>
        <w:gridCol w:w="4501"/>
        <w:gridCol w:w="1657"/>
        <w:gridCol w:w="1520"/>
        <w:gridCol w:w="1672"/>
      </w:tblGrid>
      <w:tr w:rsidR="0054280C" w14:paraId="7DA42A05" w14:textId="77777777">
        <w:trPr>
          <w:trHeight w:val="520"/>
        </w:trPr>
        <w:tc>
          <w:tcPr>
            <w:tcW w:w="4501" w:type="dxa"/>
            <w:noWrap/>
          </w:tcPr>
          <w:p w14:paraId="0C85D06C" w14:textId="77777777" w:rsidR="0054280C" w:rsidRDefault="00B71134">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Variable</w:t>
            </w:r>
          </w:p>
        </w:tc>
        <w:tc>
          <w:tcPr>
            <w:tcW w:w="1657" w:type="dxa"/>
          </w:tcPr>
          <w:p w14:paraId="049984C6" w14:textId="3CF0A9C2" w:rsidR="0054280C" w:rsidRDefault="00B71134">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1 (Summer 2008)</w:t>
            </w:r>
            <w:r>
              <w:rPr>
                <w:rFonts w:ascii="Times New Roman" w:hAnsi="Times New Roman" w:cs="Times New Roman"/>
                <w:b/>
                <w:bCs/>
                <w:color w:val="000000"/>
                <w:sz w:val="18"/>
                <w:szCs w:val="18"/>
              </w:rPr>
              <w:br/>
              <w:t>(n=</w:t>
            </w:r>
            <w:r w:rsidR="00570EC7">
              <w:rPr>
                <w:rFonts w:ascii="Times New Roman" w:hAnsi="Times New Roman" w:cs="Times New Roman"/>
                <w:b/>
                <w:bCs/>
                <w:color w:val="000000"/>
                <w:sz w:val="18"/>
                <w:szCs w:val="18"/>
              </w:rPr>
              <w:t>290</w:t>
            </w:r>
            <w:r>
              <w:rPr>
                <w:rFonts w:ascii="Times New Roman" w:hAnsi="Times New Roman" w:cs="Times New Roman"/>
                <w:b/>
                <w:bCs/>
                <w:color w:val="000000"/>
                <w:sz w:val="18"/>
                <w:szCs w:val="18"/>
              </w:rPr>
              <w:t>)</w:t>
            </w:r>
          </w:p>
        </w:tc>
        <w:tc>
          <w:tcPr>
            <w:tcW w:w="1520" w:type="dxa"/>
          </w:tcPr>
          <w:p w14:paraId="108742A0" w14:textId="1A8B8066" w:rsidR="0054280C" w:rsidRDefault="00B71134">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2 (Spring 2016)</w:t>
            </w:r>
            <w:r>
              <w:rPr>
                <w:rFonts w:ascii="Times New Roman" w:hAnsi="Times New Roman" w:cs="Times New Roman"/>
                <w:b/>
                <w:bCs/>
                <w:color w:val="000000"/>
                <w:sz w:val="18"/>
                <w:szCs w:val="18"/>
              </w:rPr>
              <w:br/>
              <w:t>(n=3</w:t>
            </w:r>
            <w:r w:rsidR="00673731">
              <w:rPr>
                <w:rFonts w:ascii="Times New Roman" w:hAnsi="Times New Roman" w:cs="Times New Roman"/>
                <w:b/>
                <w:bCs/>
                <w:color w:val="000000"/>
                <w:sz w:val="18"/>
                <w:szCs w:val="18"/>
              </w:rPr>
              <w:t>2</w:t>
            </w:r>
            <w:r>
              <w:rPr>
                <w:rFonts w:ascii="Times New Roman" w:hAnsi="Times New Roman" w:cs="Times New Roman"/>
                <w:b/>
                <w:bCs/>
                <w:color w:val="000000"/>
                <w:sz w:val="18"/>
                <w:szCs w:val="18"/>
              </w:rPr>
              <w:t>0)</w:t>
            </w:r>
          </w:p>
        </w:tc>
        <w:tc>
          <w:tcPr>
            <w:tcW w:w="1672" w:type="dxa"/>
          </w:tcPr>
          <w:p w14:paraId="3013AB6C" w14:textId="1568EE88" w:rsidR="0054280C" w:rsidRDefault="00B71134">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Visit 3 (Summer 2016)</w:t>
            </w:r>
            <w:r>
              <w:rPr>
                <w:rFonts w:ascii="Times New Roman" w:hAnsi="Times New Roman" w:cs="Times New Roman"/>
                <w:b/>
                <w:bCs/>
                <w:color w:val="000000"/>
                <w:sz w:val="18"/>
                <w:szCs w:val="18"/>
              </w:rPr>
              <w:br/>
              <w:t>(n=5</w:t>
            </w:r>
            <w:r w:rsidR="00B8749D">
              <w:rPr>
                <w:rFonts w:ascii="Times New Roman" w:hAnsi="Times New Roman" w:cs="Times New Roman"/>
                <w:b/>
                <w:bCs/>
                <w:color w:val="000000"/>
                <w:sz w:val="18"/>
                <w:szCs w:val="18"/>
              </w:rPr>
              <w:t>23</w:t>
            </w:r>
            <w:r>
              <w:rPr>
                <w:rFonts w:ascii="Times New Roman" w:hAnsi="Times New Roman" w:cs="Times New Roman"/>
                <w:b/>
                <w:bCs/>
                <w:color w:val="000000"/>
                <w:sz w:val="18"/>
                <w:szCs w:val="18"/>
              </w:rPr>
              <w:t>)</w:t>
            </w:r>
          </w:p>
        </w:tc>
      </w:tr>
      <w:tr w:rsidR="00350892" w14:paraId="260FCE2A" w14:textId="77777777" w:rsidTr="002E0F55">
        <w:trPr>
          <w:trHeight w:val="260"/>
        </w:trPr>
        <w:tc>
          <w:tcPr>
            <w:tcW w:w="4501" w:type="dxa"/>
            <w:noWrap/>
          </w:tcPr>
          <w:p w14:paraId="1DECEF37" w14:textId="77777777" w:rsidR="00350892" w:rsidRPr="00DB482A" w:rsidRDefault="00350892" w:rsidP="00350892">
            <w:pPr>
              <w:rPr>
                <w:rFonts w:ascii="Times New Roman" w:hAnsi="Times New Roman" w:cs="Times New Roman"/>
                <w:color w:val="000000"/>
                <w:sz w:val="18"/>
                <w:szCs w:val="18"/>
              </w:rPr>
            </w:pPr>
            <w:r w:rsidRPr="00DB482A">
              <w:rPr>
                <w:rFonts w:ascii="Times New Roman" w:hAnsi="Times New Roman" w:cs="Times New Roman"/>
                <w:color w:val="000000"/>
                <w:sz w:val="18"/>
                <w:szCs w:val="18"/>
              </w:rPr>
              <w:t>Age in years, mean (SD)</w:t>
            </w:r>
          </w:p>
        </w:tc>
        <w:tc>
          <w:tcPr>
            <w:tcW w:w="1657" w:type="dxa"/>
            <w:noWrap/>
            <w:vAlign w:val="bottom"/>
          </w:tcPr>
          <w:p w14:paraId="25A1CBF3" w14:textId="7C4CCA7B"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6.6 (1.6)</w:t>
            </w:r>
          </w:p>
        </w:tc>
        <w:tc>
          <w:tcPr>
            <w:tcW w:w="1520" w:type="dxa"/>
            <w:noWrap/>
            <w:vAlign w:val="bottom"/>
          </w:tcPr>
          <w:p w14:paraId="4B1A013E" w14:textId="1BEDADBC"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14.2 (1.8)</w:t>
            </w:r>
          </w:p>
        </w:tc>
        <w:tc>
          <w:tcPr>
            <w:tcW w:w="1672" w:type="dxa"/>
            <w:noWrap/>
            <w:vAlign w:val="bottom"/>
          </w:tcPr>
          <w:p w14:paraId="3FAE8ACE" w14:textId="041CEDFA"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14.5 (1.8)</w:t>
            </w:r>
          </w:p>
        </w:tc>
      </w:tr>
      <w:tr w:rsidR="0054280C" w14:paraId="1280CDCB" w14:textId="77777777">
        <w:trPr>
          <w:trHeight w:val="260"/>
        </w:trPr>
        <w:tc>
          <w:tcPr>
            <w:tcW w:w="4501" w:type="dxa"/>
            <w:noWrap/>
          </w:tcPr>
          <w:p w14:paraId="4764E61E" w14:textId="77777777" w:rsidR="0054280C" w:rsidRPr="00DB482A" w:rsidRDefault="00B71134">
            <w:pPr>
              <w:rPr>
                <w:rFonts w:ascii="Times New Roman" w:hAnsi="Times New Roman" w:cs="Times New Roman"/>
                <w:color w:val="000000"/>
                <w:sz w:val="18"/>
                <w:szCs w:val="18"/>
              </w:rPr>
            </w:pPr>
            <w:r w:rsidRPr="00DB482A">
              <w:rPr>
                <w:rFonts w:ascii="Times New Roman" w:hAnsi="Times New Roman" w:cs="Times New Roman"/>
                <w:color w:val="000000"/>
                <w:sz w:val="18"/>
                <w:szCs w:val="18"/>
              </w:rPr>
              <w:t>Race, N (%)</w:t>
            </w:r>
          </w:p>
        </w:tc>
        <w:tc>
          <w:tcPr>
            <w:tcW w:w="1657" w:type="dxa"/>
            <w:noWrap/>
          </w:tcPr>
          <w:p w14:paraId="04DCE3F8" w14:textId="77777777" w:rsidR="0054280C" w:rsidRPr="00DB482A" w:rsidRDefault="0054280C">
            <w:pPr>
              <w:jc w:val="center"/>
              <w:rPr>
                <w:rFonts w:ascii="Times New Roman" w:hAnsi="Times New Roman" w:cs="Times New Roman"/>
                <w:color w:val="000000"/>
                <w:sz w:val="18"/>
                <w:szCs w:val="18"/>
              </w:rPr>
            </w:pPr>
          </w:p>
        </w:tc>
        <w:tc>
          <w:tcPr>
            <w:tcW w:w="1520" w:type="dxa"/>
            <w:noWrap/>
          </w:tcPr>
          <w:p w14:paraId="2922571E" w14:textId="77777777" w:rsidR="0054280C" w:rsidRPr="00DB482A" w:rsidRDefault="0054280C">
            <w:pPr>
              <w:jc w:val="center"/>
              <w:rPr>
                <w:rFonts w:ascii="Times New Roman" w:hAnsi="Times New Roman" w:cs="Times New Roman"/>
                <w:color w:val="000000"/>
                <w:sz w:val="18"/>
                <w:szCs w:val="18"/>
              </w:rPr>
            </w:pPr>
          </w:p>
        </w:tc>
        <w:tc>
          <w:tcPr>
            <w:tcW w:w="1672" w:type="dxa"/>
            <w:noWrap/>
          </w:tcPr>
          <w:p w14:paraId="2574F251" w14:textId="77777777" w:rsidR="0054280C" w:rsidRPr="00DB482A" w:rsidRDefault="0054280C">
            <w:pPr>
              <w:jc w:val="center"/>
              <w:rPr>
                <w:rFonts w:ascii="Times New Roman" w:hAnsi="Times New Roman" w:cs="Times New Roman"/>
                <w:color w:val="000000"/>
                <w:sz w:val="18"/>
                <w:szCs w:val="18"/>
              </w:rPr>
            </w:pPr>
          </w:p>
        </w:tc>
      </w:tr>
      <w:tr w:rsidR="00350892" w14:paraId="63386C87" w14:textId="77777777" w:rsidTr="00B53B4C">
        <w:trPr>
          <w:trHeight w:val="260"/>
        </w:trPr>
        <w:tc>
          <w:tcPr>
            <w:tcW w:w="4501" w:type="dxa"/>
            <w:noWrap/>
          </w:tcPr>
          <w:p w14:paraId="72639958" w14:textId="77777777" w:rsidR="00350892" w:rsidRPr="00DB482A" w:rsidRDefault="00350892" w:rsidP="00350892">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Indigenous</w:t>
            </w:r>
          </w:p>
        </w:tc>
        <w:tc>
          <w:tcPr>
            <w:tcW w:w="1657" w:type="dxa"/>
            <w:noWrap/>
            <w:vAlign w:val="bottom"/>
          </w:tcPr>
          <w:p w14:paraId="71FEB270" w14:textId="72F91930"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65 (22.4)</w:t>
            </w:r>
          </w:p>
        </w:tc>
        <w:tc>
          <w:tcPr>
            <w:tcW w:w="1520" w:type="dxa"/>
            <w:noWrap/>
            <w:vAlign w:val="bottom"/>
          </w:tcPr>
          <w:p w14:paraId="53105B10" w14:textId="43694328"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77 (24.1)</w:t>
            </w:r>
          </w:p>
        </w:tc>
        <w:tc>
          <w:tcPr>
            <w:tcW w:w="1672" w:type="dxa"/>
            <w:noWrap/>
            <w:vAlign w:val="bottom"/>
          </w:tcPr>
          <w:p w14:paraId="35824FB4" w14:textId="5F4833DD"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114 (21.8)</w:t>
            </w:r>
          </w:p>
        </w:tc>
      </w:tr>
      <w:tr w:rsidR="00350892" w14:paraId="7159E8B7" w14:textId="77777777" w:rsidTr="00B53B4C">
        <w:trPr>
          <w:trHeight w:val="260"/>
        </w:trPr>
        <w:tc>
          <w:tcPr>
            <w:tcW w:w="4501" w:type="dxa"/>
            <w:noWrap/>
          </w:tcPr>
          <w:p w14:paraId="06A86378" w14:textId="77777777" w:rsidR="00350892" w:rsidRPr="00DB482A" w:rsidRDefault="00350892" w:rsidP="00350892">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Mestizo</w:t>
            </w:r>
          </w:p>
        </w:tc>
        <w:tc>
          <w:tcPr>
            <w:tcW w:w="1657" w:type="dxa"/>
            <w:noWrap/>
            <w:vAlign w:val="bottom"/>
          </w:tcPr>
          <w:p w14:paraId="04FC9FB4" w14:textId="777BA556"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225 (77.6)</w:t>
            </w:r>
          </w:p>
        </w:tc>
        <w:tc>
          <w:tcPr>
            <w:tcW w:w="1520" w:type="dxa"/>
            <w:noWrap/>
            <w:vAlign w:val="bottom"/>
          </w:tcPr>
          <w:p w14:paraId="6A877D34" w14:textId="00255F44"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243 (75.9)</w:t>
            </w:r>
          </w:p>
        </w:tc>
        <w:tc>
          <w:tcPr>
            <w:tcW w:w="1672" w:type="dxa"/>
            <w:noWrap/>
            <w:vAlign w:val="bottom"/>
          </w:tcPr>
          <w:p w14:paraId="6ADB124C" w14:textId="6F5DAE5F"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409 (78.2)</w:t>
            </w:r>
          </w:p>
        </w:tc>
      </w:tr>
      <w:tr w:rsidR="0054280C" w14:paraId="1A6B003F" w14:textId="77777777">
        <w:trPr>
          <w:trHeight w:val="260"/>
        </w:trPr>
        <w:tc>
          <w:tcPr>
            <w:tcW w:w="4501" w:type="dxa"/>
            <w:noWrap/>
          </w:tcPr>
          <w:p w14:paraId="21419F1B" w14:textId="77777777" w:rsidR="0054280C" w:rsidRPr="00DB482A" w:rsidRDefault="00B71134">
            <w:pPr>
              <w:rPr>
                <w:rFonts w:ascii="Times New Roman" w:hAnsi="Times New Roman" w:cs="Times New Roman"/>
                <w:color w:val="000000"/>
                <w:sz w:val="18"/>
                <w:szCs w:val="18"/>
              </w:rPr>
            </w:pPr>
            <w:r w:rsidRPr="00DB482A">
              <w:rPr>
                <w:rFonts w:ascii="Times New Roman" w:hAnsi="Times New Roman" w:cs="Times New Roman"/>
                <w:color w:val="000000"/>
                <w:sz w:val="18"/>
                <w:szCs w:val="18"/>
              </w:rPr>
              <w:t>Sex, N (%)</w:t>
            </w:r>
          </w:p>
        </w:tc>
        <w:tc>
          <w:tcPr>
            <w:tcW w:w="1657" w:type="dxa"/>
            <w:noWrap/>
          </w:tcPr>
          <w:p w14:paraId="6D819490" w14:textId="77777777" w:rsidR="0054280C" w:rsidRPr="00DB482A" w:rsidRDefault="0054280C">
            <w:pPr>
              <w:jc w:val="center"/>
              <w:rPr>
                <w:rFonts w:ascii="Times New Roman" w:hAnsi="Times New Roman" w:cs="Times New Roman"/>
                <w:color w:val="000000"/>
                <w:sz w:val="18"/>
                <w:szCs w:val="18"/>
              </w:rPr>
            </w:pPr>
          </w:p>
        </w:tc>
        <w:tc>
          <w:tcPr>
            <w:tcW w:w="1520" w:type="dxa"/>
            <w:noWrap/>
          </w:tcPr>
          <w:p w14:paraId="1F2D5CA3" w14:textId="77777777" w:rsidR="0054280C" w:rsidRPr="00DB482A" w:rsidRDefault="0054280C">
            <w:pPr>
              <w:jc w:val="center"/>
              <w:rPr>
                <w:rFonts w:ascii="Times New Roman" w:hAnsi="Times New Roman" w:cs="Times New Roman"/>
                <w:color w:val="000000"/>
                <w:sz w:val="18"/>
                <w:szCs w:val="18"/>
              </w:rPr>
            </w:pPr>
          </w:p>
        </w:tc>
        <w:tc>
          <w:tcPr>
            <w:tcW w:w="1672" w:type="dxa"/>
            <w:noWrap/>
          </w:tcPr>
          <w:p w14:paraId="2A47AAAA" w14:textId="77777777" w:rsidR="0054280C" w:rsidRPr="00DB482A" w:rsidRDefault="0054280C">
            <w:pPr>
              <w:jc w:val="center"/>
              <w:rPr>
                <w:rFonts w:ascii="Times New Roman" w:hAnsi="Times New Roman" w:cs="Times New Roman"/>
                <w:color w:val="000000"/>
                <w:sz w:val="18"/>
                <w:szCs w:val="18"/>
              </w:rPr>
            </w:pPr>
          </w:p>
        </w:tc>
      </w:tr>
      <w:tr w:rsidR="00350892" w14:paraId="6383B32F" w14:textId="77777777" w:rsidTr="00132D40">
        <w:trPr>
          <w:trHeight w:val="260"/>
        </w:trPr>
        <w:tc>
          <w:tcPr>
            <w:tcW w:w="4501" w:type="dxa"/>
            <w:noWrap/>
          </w:tcPr>
          <w:p w14:paraId="15F5251D" w14:textId="77777777" w:rsidR="00350892" w:rsidRPr="00DB482A" w:rsidRDefault="00350892" w:rsidP="00350892">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Female</w:t>
            </w:r>
          </w:p>
        </w:tc>
        <w:tc>
          <w:tcPr>
            <w:tcW w:w="1657" w:type="dxa"/>
            <w:noWrap/>
            <w:vAlign w:val="bottom"/>
          </w:tcPr>
          <w:p w14:paraId="789D9429" w14:textId="0A223CC0"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142 (49</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c>
          <w:tcPr>
            <w:tcW w:w="1520" w:type="dxa"/>
            <w:noWrap/>
            <w:vAlign w:val="bottom"/>
          </w:tcPr>
          <w:p w14:paraId="5049E5CD" w14:textId="29826E03"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159 (49.7)</w:t>
            </w:r>
          </w:p>
        </w:tc>
        <w:tc>
          <w:tcPr>
            <w:tcW w:w="1672" w:type="dxa"/>
            <w:noWrap/>
            <w:vAlign w:val="bottom"/>
          </w:tcPr>
          <w:p w14:paraId="3E01BB85" w14:textId="58764979"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268 (51.2)</w:t>
            </w:r>
          </w:p>
        </w:tc>
      </w:tr>
      <w:tr w:rsidR="00350892" w14:paraId="60D20AFE" w14:textId="77777777" w:rsidTr="00132D40">
        <w:trPr>
          <w:trHeight w:val="260"/>
        </w:trPr>
        <w:tc>
          <w:tcPr>
            <w:tcW w:w="4501" w:type="dxa"/>
            <w:noWrap/>
          </w:tcPr>
          <w:p w14:paraId="4E7DF20F" w14:textId="77777777" w:rsidR="00350892" w:rsidRPr="00DB482A" w:rsidRDefault="00350892" w:rsidP="00350892">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Male</w:t>
            </w:r>
          </w:p>
        </w:tc>
        <w:tc>
          <w:tcPr>
            <w:tcW w:w="1657" w:type="dxa"/>
            <w:noWrap/>
            <w:vAlign w:val="bottom"/>
          </w:tcPr>
          <w:p w14:paraId="50BBF713" w14:textId="06336F16"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148 (51</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c>
          <w:tcPr>
            <w:tcW w:w="1520" w:type="dxa"/>
            <w:noWrap/>
            <w:vAlign w:val="bottom"/>
          </w:tcPr>
          <w:p w14:paraId="560274A2" w14:textId="4B75F17C"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161 (50.3)</w:t>
            </w:r>
          </w:p>
        </w:tc>
        <w:tc>
          <w:tcPr>
            <w:tcW w:w="1672" w:type="dxa"/>
            <w:noWrap/>
            <w:vAlign w:val="bottom"/>
          </w:tcPr>
          <w:p w14:paraId="374157CC" w14:textId="404CF275"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255 (48.8)</w:t>
            </w:r>
          </w:p>
        </w:tc>
      </w:tr>
      <w:tr w:rsidR="00350892" w14:paraId="5CE95ECE" w14:textId="77777777" w:rsidTr="00132D40">
        <w:trPr>
          <w:trHeight w:val="260"/>
        </w:trPr>
        <w:tc>
          <w:tcPr>
            <w:tcW w:w="4501" w:type="dxa"/>
            <w:noWrap/>
          </w:tcPr>
          <w:p w14:paraId="74FCA2F6" w14:textId="77777777" w:rsidR="00350892" w:rsidRPr="00DB482A" w:rsidRDefault="00350892" w:rsidP="00350892">
            <w:pPr>
              <w:rPr>
                <w:rFonts w:ascii="Times New Roman" w:hAnsi="Times New Roman" w:cs="Times New Roman"/>
                <w:color w:val="000000"/>
                <w:sz w:val="18"/>
                <w:szCs w:val="18"/>
              </w:rPr>
            </w:pPr>
            <w:r w:rsidRPr="00DB482A">
              <w:rPr>
                <w:rFonts w:ascii="Times New Roman" w:hAnsi="Times New Roman" w:cs="Times New Roman"/>
                <w:color w:val="000000"/>
                <w:sz w:val="18"/>
                <w:szCs w:val="18"/>
              </w:rPr>
              <w:t>Days after Mother's Day harvest, mean (SD)</w:t>
            </w:r>
          </w:p>
        </w:tc>
        <w:tc>
          <w:tcPr>
            <w:tcW w:w="1657" w:type="dxa"/>
            <w:noWrap/>
            <w:vAlign w:val="bottom"/>
          </w:tcPr>
          <w:p w14:paraId="1B04BEC4" w14:textId="51113A26"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84.5 (10.9)</w:t>
            </w:r>
          </w:p>
        </w:tc>
        <w:tc>
          <w:tcPr>
            <w:tcW w:w="1520" w:type="dxa"/>
            <w:noWrap/>
            <w:vAlign w:val="bottom"/>
          </w:tcPr>
          <w:p w14:paraId="2017215F" w14:textId="565DEECB"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-12.7 (5.5)</w:t>
            </w:r>
          </w:p>
        </w:tc>
        <w:tc>
          <w:tcPr>
            <w:tcW w:w="1672" w:type="dxa"/>
            <w:noWrap/>
            <w:vAlign w:val="bottom"/>
          </w:tcPr>
          <w:p w14:paraId="32680DE2" w14:textId="217250F3"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102.1 (18.5)</w:t>
            </w:r>
          </w:p>
        </w:tc>
      </w:tr>
      <w:tr w:rsidR="00350892" w14:paraId="42D3AAA6" w14:textId="77777777" w:rsidTr="00132D40">
        <w:trPr>
          <w:trHeight w:val="260"/>
        </w:trPr>
        <w:tc>
          <w:tcPr>
            <w:tcW w:w="4501" w:type="dxa"/>
            <w:noWrap/>
          </w:tcPr>
          <w:p w14:paraId="7FE6FE84" w14:textId="77777777" w:rsidR="00350892" w:rsidRPr="00DB482A" w:rsidRDefault="00350892" w:rsidP="00350892">
            <w:pPr>
              <w:rPr>
                <w:rFonts w:ascii="Times New Roman" w:hAnsi="Times New Roman" w:cs="Times New Roman"/>
                <w:color w:val="000000"/>
                <w:sz w:val="18"/>
                <w:szCs w:val="18"/>
              </w:rPr>
            </w:pPr>
            <w:r w:rsidRPr="00DB482A">
              <w:rPr>
                <w:rFonts w:ascii="Times New Roman" w:hAnsi="Times New Roman" w:cs="Times New Roman"/>
                <w:color w:val="000000"/>
                <w:sz w:val="18"/>
                <w:szCs w:val="18"/>
              </w:rPr>
              <w:t>Z-score-height-for-age, mean (SD)</w:t>
            </w:r>
          </w:p>
        </w:tc>
        <w:tc>
          <w:tcPr>
            <w:tcW w:w="1657" w:type="dxa"/>
            <w:noWrap/>
            <w:vAlign w:val="bottom"/>
          </w:tcPr>
          <w:p w14:paraId="5BBF0D8E" w14:textId="2105B56C"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-1.2 (0.9)</w:t>
            </w:r>
          </w:p>
        </w:tc>
        <w:tc>
          <w:tcPr>
            <w:tcW w:w="1520" w:type="dxa"/>
            <w:noWrap/>
            <w:vAlign w:val="bottom"/>
          </w:tcPr>
          <w:p w14:paraId="4B77E750" w14:textId="1EBFC576"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-1.6 (1</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c>
          <w:tcPr>
            <w:tcW w:w="1672" w:type="dxa"/>
            <w:noWrap/>
            <w:vAlign w:val="bottom"/>
          </w:tcPr>
          <w:p w14:paraId="51F1C306" w14:textId="021B3A5D"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-1.5 (0.9)</w:t>
            </w:r>
          </w:p>
        </w:tc>
      </w:tr>
      <w:tr w:rsidR="00350892" w14:paraId="6A7DDBAF" w14:textId="77777777" w:rsidTr="00132D40">
        <w:trPr>
          <w:trHeight w:val="260"/>
        </w:trPr>
        <w:tc>
          <w:tcPr>
            <w:tcW w:w="4501" w:type="dxa"/>
            <w:noWrap/>
          </w:tcPr>
          <w:p w14:paraId="7794CEEF" w14:textId="0416C31D" w:rsidR="00350892" w:rsidRPr="00DB482A" w:rsidRDefault="00350892" w:rsidP="00350892">
            <w:pPr>
              <w:rPr>
                <w:rFonts w:ascii="Times New Roman" w:hAnsi="Times New Roman" w:cs="Times New Roman"/>
                <w:color w:val="000000"/>
                <w:sz w:val="18"/>
                <w:szCs w:val="18"/>
              </w:rPr>
            </w:pPr>
            <w:r w:rsidRPr="00DB482A">
              <w:rPr>
                <w:rFonts w:ascii="Times New Roman" w:hAnsi="Times New Roman" w:cs="Times New Roman"/>
                <w:color w:val="000000"/>
                <w:sz w:val="18"/>
                <w:szCs w:val="18"/>
              </w:rPr>
              <w:t>Scled salary, mean (SD)</w:t>
            </w:r>
          </w:p>
        </w:tc>
        <w:tc>
          <w:tcPr>
            <w:tcW w:w="1657" w:type="dxa"/>
            <w:noWrap/>
            <w:vAlign w:val="bottom"/>
          </w:tcPr>
          <w:p w14:paraId="22D38D8E" w14:textId="6DB5CDB2"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3.1 (0.8)</w:t>
            </w:r>
          </w:p>
        </w:tc>
        <w:tc>
          <w:tcPr>
            <w:tcW w:w="1520" w:type="dxa"/>
            <w:noWrap/>
            <w:vAlign w:val="bottom"/>
          </w:tcPr>
          <w:p w14:paraId="28EA3543" w14:textId="28062C20"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4.3 (0.9)</w:t>
            </w:r>
          </w:p>
        </w:tc>
        <w:tc>
          <w:tcPr>
            <w:tcW w:w="1672" w:type="dxa"/>
            <w:noWrap/>
            <w:vAlign w:val="bottom"/>
          </w:tcPr>
          <w:p w14:paraId="3C0A196A" w14:textId="5C82B91C"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4.3 (0.9)</w:t>
            </w:r>
          </w:p>
        </w:tc>
      </w:tr>
      <w:tr w:rsidR="00350892" w14:paraId="2134EA20" w14:textId="77777777" w:rsidTr="00132D40">
        <w:trPr>
          <w:trHeight w:val="260"/>
        </w:trPr>
        <w:tc>
          <w:tcPr>
            <w:tcW w:w="4501" w:type="dxa"/>
            <w:noWrap/>
          </w:tcPr>
          <w:p w14:paraId="4D468A9B" w14:textId="77777777" w:rsidR="00350892" w:rsidRPr="00DB482A" w:rsidRDefault="00350892" w:rsidP="00350892">
            <w:pPr>
              <w:rPr>
                <w:rFonts w:ascii="Times New Roman" w:hAnsi="Times New Roman" w:cs="Times New Roman"/>
                <w:color w:val="000000"/>
                <w:sz w:val="18"/>
                <w:szCs w:val="18"/>
              </w:rPr>
            </w:pPr>
            <w:r w:rsidRPr="00DB482A">
              <w:rPr>
                <w:rFonts w:ascii="Times New Roman" w:hAnsi="Times New Roman" w:cs="Times New Roman"/>
                <w:color w:val="000000"/>
                <w:sz w:val="18"/>
                <w:szCs w:val="18"/>
              </w:rPr>
              <w:t>Parental average education (years), mean (SD)</w:t>
            </w:r>
          </w:p>
        </w:tc>
        <w:tc>
          <w:tcPr>
            <w:tcW w:w="1657" w:type="dxa"/>
            <w:noWrap/>
            <w:vAlign w:val="bottom"/>
          </w:tcPr>
          <w:p w14:paraId="26403028" w14:textId="27B9F9AC"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7.6 (3.7)</w:t>
            </w:r>
          </w:p>
        </w:tc>
        <w:tc>
          <w:tcPr>
            <w:tcW w:w="1520" w:type="dxa"/>
            <w:noWrap/>
            <w:vAlign w:val="bottom"/>
          </w:tcPr>
          <w:p w14:paraId="07842BD4" w14:textId="76EEF783"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8.1 (3.6)</w:t>
            </w:r>
          </w:p>
        </w:tc>
        <w:tc>
          <w:tcPr>
            <w:tcW w:w="1672" w:type="dxa"/>
            <w:noWrap/>
            <w:vAlign w:val="bottom"/>
          </w:tcPr>
          <w:p w14:paraId="74920774" w14:textId="65E95DDA"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8.1 (3.5)</w:t>
            </w:r>
          </w:p>
        </w:tc>
      </w:tr>
      <w:tr w:rsidR="00350892" w14:paraId="7A4B127E" w14:textId="77777777" w:rsidTr="00132D40">
        <w:trPr>
          <w:trHeight w:val="260"/>
        </w:trPr>
        <w:tc>
          <w:tcPr>
            <w:tcW w:w="4501" w:type="dxa"/>
            <w:noWrap/>
          </w:tcPr>
          <w:p w14:paraId="06068035" w14:textId="5E7FFBD6" w:rsidR="00350892" w:rsidRPr="00DB482A" w:rsidRDefault="00350892" w:rsidP="00350892">
            <w:pPr>
              <w:rPr>
                <w:rFonts w:ascii="Times New Roman" w:hAnsi="Times New Roman" w:cs="Times New Roman"/>
                <w:color w:val="000000"/>
                <w:sz w:val="18"/>
                <w:szCs w:val="18"/>
              </w:rPr>
            </w:pPr>
            <w:r w:rsidRPr="00DB482A">
              <w:rPr>
                <w:rFonts w:ascii="Times New Roman" w:hAnsi="Times New Roman" w:cs="Times New Roman"/>
                <w:color w:val="000000"/>
                <w:sz w:val="18"/>
                <w:szCs w:val="18"/>
              </w:rPr>
              <w:t xml:space="preserve">Cohabitation with an agricultural worker, </w:t>
            </w:r>
            <w:r w:rsidR="00386A6A">
              <w:rPr>
                <w:rFonts w:ascii="Times New Roman" w:hAnsi="Times New Roman" w:cs="Times New Roman"/>
                <w:color w:val="000000"/>
                <w:sz w:val="18"/>
                <w:szCs w:val="18"/>
              </w:rPr>
              <w:t>N</w:t>
            </w:r>
            <w:r w:rsidRPr="00DB482A">
              <w:rPr>
                <w:rFonts w:ascii="Times New Roman" w:hAnsi="Times New Roman" w:cs="Times New Roman"/>
                <w:color w:val="000000"/>
                <w:sz w:val="18"/>
                <w:szCs w:val="18"/>
              </w:rPr>
              <w:t xml:space="preserve"> (%)</w:t>
            </w:r>
          </w:p>
        </w:tc>
        <w:tc>
          <w:tcPr>
            <w:tcW w:w="1657" w:type="dxa"/>
            <w:noWrap/>
            <w:vAlign w:val="bottom"/>
          </w:tcPr>
          <w:p w14:paraId="427115AB" w14:textId="701B3FB4"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160 (55.2)</w:t>
            </w:r>
          </w:p>
        </w:tc>
        <w:tc>
          <w:tcPr>
            <w:tcW w:w="1520" w:type="dxa"/>
            <w:noWrap/>
            <w:vAlign w:val="bottom"/>
          </w:tcPr>
          <w:p w14:paraId="0759259B" w14:textId="07F74E0A"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218 (68.1)</w:t>
            </w:r>
          </w:p>
        </w:tc>
        <w:tc>
          <w:tcPr>
            <w:tcW w:w="1672" w:type="dxa"/>
            <w:noWrap/>
            <w:vAlign w:val="bottom"/>
          </w:tcPr>
          <w:p w14:paraId="02044EAE" w14:textId="14E0CE14" w:rsidR="00350892" w:rsidRPr="00DB482A" w:rsidRDefault="00350892" w:rsidP="00350892">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352 (67.3)</w:t>
            </w:r>
          </w:p>
        </w:tc>
      </w:tr>
      <w:tr w:rsidR="00DB482A" w14:paraId="6F13B71E" w14:textId="77777777" w:rsidTr="00507C1C">
        <w:trPr>
          <w:trHeight w:val="260"/>
        </w:trPr>
        <w:tc>
          <w:tcPr>
            <w:tcW w:w="4501" w:type="dxa"/>
            <w:noWrap/>
          </w:tcPr>
          <w:p w14:paraId="2D116F34" w14:textId="77777777" w:rsidR="00DB482A" w:rsidRPr="00DB482A" w:rsidRDefault="00DB482A" w:rsidP="00DB482A">
            <w:pPr>
              <w:rPr>
                <w:rFonts w:ascii="Times New Roman" w:hAnsi="Times New Roman" w:cs="Times New Roman"/>
                <w:color w:val="000000"/>
                <w:sz w:val="18"/>
                <w:szCs w:val="18"/>
              </w:rPr>
            </w:pPr>
            <w:r w:rsidRPr="00DB482A">
              <w:rPr>
                <w:rFonts w:ascii="Times New Roman" w:hAnsi="Times New Roman" w:cs="Times New Roman"/>
                <w:color w:val="000000"/>
                <w:sz w:val="18"/>
                <w:szCs w:val="18"/>
              </w:rPr>
              <w:t>Distance from household to the nearest plantation (meters), mean (SD)</w:t>
            </w:r>
          </w:p>
        </w:tc>
        <w:tc>
          <w:tcPr>
            <w:tcW w:w="1657" w:type="dxa"/>
            <w:noWrap/>
            <w:vAlign w:val="bottom"/>
          </w:tcPr>
          <w:p w14:paraId="10E3D903" w14:textId="7BFA53EE"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441.9 (344.6)</w:t>
            </w:r>
          </w:p>
        </w:tc>
        <w:tc>
          <w:tcPr>
            <w:tcW w:w="1520" w:type="dxa"/>
            <w:noWrap/>
            <w:vAlign w:val="bottom"/>
          </w:tcPr>
          <w:p w14:paraId="100907A2" w14:textId="47CB7C0D"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504.8 (618.4)</w:t>
            </w:r>
          </w:p>
        </w:tc>
        <w:tc>
          <w:tcPr>
            <w:tcW w:w="1672" w:type="dxa"/>
            <w:noWrap/>
            <w:vAlign w:val="bottom"/>
          </w:tcPr>
          <w:p w14:paraId="45768687" w14:textId="41232694"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560.4 (799.3)</w:t>
            </w:r>
          </w:p>
        </w:tc>
      </w:tr>
      <w:tr w:rsidR="0054280C" w14:paraId="1E94D674" w14:textId="77777777">
        <w:trPr>
          <w:trHeight w:val="260"/>
        </w:trPr>
        <w:tc>
          <w:tcPr>
            <w:tcW w:w="4501" w:type="dxa"/>
            <w:noWrap/>
          </w:tcPr>
          <w:p w14:paraId="6264DE13" w14:textId="77777777" w:rsidR="0054280C" w:rsidRPr="00DB482A" w:rsidRDefault="00B71134">
            <w:pPr>
              <w:rPr>
                <w:rFonts w:ascii="Times New Roman" w:hAnsi="Times New Roman" w:cs="Times New Roman"/>
                <w:color w:val="000000"/>
                <w:sz w:val="18"/>
                <w:szCs w:val="18"/>
              </w:rPr>
            </w:pPr>
            <w:commentRangeStart w:id="86"/>
            <w:commentRangeStart w:id="87"/>
            <w:commentRangeStart w:id="88"/>
            <w:r w:rsidRPr="00DB482A">
              <w:rPr>
                <w:rFonts w:ascii="Times New Roman" w:hAnsi="Times New Roman" w:cs="Times New Roman"/>
                <w:color w:val="000000"/>
                <w:sz w:val="18"/>
                <w:szCs w:val="18"/>
              </w:rPr>
              <w:t>Non-zero crop area within a certain radius (m</w:t>
            </w:r>
            <w:r w:rsidRPr="00DB482A">
              <w:rPr>
                <w:rFonts w:ascii="Times New Roman" w:hAnsi="Times New Roman" w:cs="Times New Roman"/>
                <w:color w:val="000000"/>
                <w:sz w:val="18"/>
                <w:szCs w:val="18"/>
                <w:vertAlign w:val="superscript"/>
              </w:rPr>
              <w:t>2</w:t>
            </w:r>
            <w:r w:rsidRPr="00DB482A">
              <w:rPr>
                <w:rFonts w:ascii="Times New Roman" w:hAnsi="Times New Roman" w:cs="Times New Roman"/>
                <w:color w:val="000000"/>
                <w:sz w:val="18"/>
                <w:szCs w:val="18"/>
              </w:rPr>
              <w:t>), N (%)</w:t>
            </w:r>
            <w:commentRangeEnd w:id="86"/>
            <w:commentRangeEnd w:id="87"/>
            <w:commentRangeEnd w:id="88"/>
            <w:r w:rsidRPr="00DB482A">
              <w:rPr>
                <w:rFonts w:ascii="Times New Roman" w:hAnsi="Times New Roman" w:cs="Times New Roman"/>
                <w:sz w:val="18"/>
                <w:szCs w:val="18"/>
              </w:rPr>
              <w:commentReference w:id="86"/>
            </w:r>
            <w:r w:rsidRPr="00DB482A">
              <w:rPr>
                <w:rFonts w:ascii="Times New Roman" w:hAnsi="Times New Roman" w:cs="Times New Roman"/>
                <w:sz w:val="18"/>
                <w:szCs w:val="18"/>
              </w:rPr>
              <w:commentReference w:id="87"/>
            </w:r>
            <w:r w:rsidRPr="00DB482A">
              <w:rPr>
                <w:rFonts w:ascii="Times New Roman" w:hAnsi="Times New Roman" w:cs="Times New Roman"/>
                <w:sz w:val="18"/>
                <w:szCs w:val="18"/>
              </w:rPr>
              <w:commentReference w:id="88"/>
            </w:r>
          </w:p>
        </w:tc>
        <w:tc>
          <w:tcPr>
            <w:tcW w:w="1657" w:type="dxa"/>
            <w:noWrap/>
          </w:tcPr>
          <w:p w14:paraId="29F6A020" w14:textId="77777777" w:rsidR="0054280C" w:rsidRPr="00DB482A" w:rsidRDefault="0054280C">
            <w:pPr>
              <w:jc w:val="center"/>
              <w:rPr>
                <w:rFonts w:ascii="Times New Roman" w:hAnsi="Times New Roman" w:cs="Times New Roman"/>
                <w:color w:val="000000"/>
                <w:sz w:val="18"/>
                <w:szCs w:val="18"/>
              </w:rPr>
            </w:pPr>
          </w:p>
        </w:tc>
        <w:tc>
          <w:tcPr>
            <w:tcW w:w="1520" w:type="dxa"/>
            <w:noWrap/>
          </w:tcPr>
          <w:p w14:paraId="7569AF6F" w14:textId="77777777" w:rsidR="0054280C" w:rsidRPr="00DB482A" w:rsidRDefault="0054280C">
            <w:pPr>
              <w:jc w:val="center"/>
              <w:rPr>
                <w:rFonts w:ascii="Times New Roman" w:hAnsi="Times New Roman" w:cs="Times New Roman"/>
                <w:color w:val="000000"/>
                <w:sz w:val="18"/>
                <w:szCs w:val="18"/>
              </w:rPr>
            </w:pPr>
          </w:p>
        </w:tc>
        <w:tc>
          <w:tcPr>
            <w:tcW w:w="1672" w:type="dxa"/>
            <w:noWrap/>
          </w:tcPr>
          <w:p w14:paraId="727C1DEC" w14:textId="77777777" w:rsidR="0054280C" w:rsidRPr="00DB482A" w:rsidRDefault="0054280C">
            <w:pPr>
              <w:jc w:val="center"/>
              <w:rPr>
                <w:rFonts w:ascii="Times New Roman" w:hAnsi="Times New Roman" w:cs="Times New Roman"/>
                <w:color w:val="000000"/>
                <w:sz w:val="18"/>
                <w:szCs w:val="18"/>
              </w:rPr>
            </w:pPr>
          </w:p>
        </w:tc>
      </w:tr>
      <w:tr w:rsidR="00D03C5E" w14:paraId="3CB03917" w14:textId="77777777" w:rsidTr="00603110">
        <w:trPr>
          <w:trHeight w:val="260"/>
        </w:trPr>
        <w:tc>
          <w:tcPr>
            <w:tcW w:w="4501" w:type="dxa"/>
            <w:noWrap/>
          </w:tcPr>
          <w:p w14:paraId="4EF3F363" w14:textId="77777777" w:rsidR="00D03C5E" w:rsidRPr="00DB482A" w:rsidRDefault="00D03C5E" w:rsidP="00D03C5E">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50m</w:t>
            </w:r>
          </w:p>
        </w:tc>
        <w:tc>
          <w:tcPr>
            <w:tcW w:w="1657" w:type="dxa"/>
            <w:noWrap/>
            <w:vAlign w:val="bottom"/>
          </w:tcPr>
          <w:p w14:paraId="7FCCEF3C" w14:textId="472A4F7B"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17 (5.9)</w:t>
            </w:r>
          </w:p>
        </w:tc>
        <w:tc>
          <w:tcPr>
            <w:tcW w:w="1520" w:type="dxa"/>
            <w:noWrap/>
            <w:vAlign w:val="bottom"/>
          </w:tcPr>
          <w:p w14:paraId="7402BB91" w14:textId="26323DF2"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28 (8.8)</w:t>
            </w:r>
          </w:p>
        </w:tc>
        <w:tc>
          <w:tcPr>
            <w:tcW w:w="1672" w:type="dxa"/>
            <w:noWrap/>
            <w:vAlign w:val="bottom"/>
          </w:tcPr>
          <w:p w14:paraId="27E2A3BC" w14:textId="5A1E3613"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54 (10.3)</w:t>
            </w:r>
          </w:p>
        </w:tc>
      </w:tr>
      <w:tr w:rsidR="00D03C5E" w14:paraId="24A22576" w14:textId="77777777" w:rsidTr="00603110">
        <w:trPr>
          <w:trHeight w:val="260"/>
        </w:trPr>
        <w:tc>
          <w:tcPr>
            <w:tcW w:w="4501" w:type="dxa"/>
            <w:noWrap/>
          </w:tcPr>
          <w:p w14:paraId="4F8B005F" w14:textId="77777777" w:rsidR="00D03C5E" w:rsidRPr="00DB482A" w:rsidRDefault="00D03C5E" w:rsidP="00D03C5E">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100m</w:t>
            </w:r>
          </w:p>
        </w:tc>
        <w:tc>
          <w:tcPr>
            <w:tcW w:w="1657" w:type="dxa"/>
            <w:noWrap/>
            <w:vAlign w:val="bottom"/>
          </w:tcPr>
          <w:p w14:paraId="229A0E43" w14:textId="1E8BD2F0"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38 (13.1)</w:t>
            </w:r>
          </w:p>
        </w:tc>
        <w:tc>
          <w:tcPr>
            <w:tcW w:w="1520" w:type="dxa"/>
            <w:noWrap/>
            <w:vAlign w:val="bottom"/>
          </w:tcPr>
          <w:p w14:paraId="0B21DA57" w14:textId="1C010B7B"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70 (21.9)</w:t>
            </w:r>
          </w:p>
        </w:tc>
        <w:tc>
          <w:tcPr>
            <w:tcW w:w="1672" w:type="dxa"/>
            <w:noWrap/>
            <w:vAlign w:val="bottom"/>
          </w:tcPr>
          <w:p w14:paraId="2CC1DF59" w14:textId="7A06C797"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115 (22</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r>
      <w:tr w:rsidR="00D03C5E" w14:paraId="7474A4A4" w14:textId="77777777" w:rsidTr="00603110">
        <w:trPr>
          <w:trHeight w:val="260"/>
        </w:trPr>
        <w:tc>
          <w:tcPr>
            <w:tcW w:w="4501" w:type="dxa"/>
            <w:noWrap/>
          </w:tcPr>
          <w:p w14:paraId="7B83E852" w14:textId="77777777" w:rsidR="00D03C5E" w:rsidRPr="00DB482A" w:rsidRDefault="00D03C5E" w:rsidP="00D03C5E">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150m</w:t>
            </w:r>
          </w:p>
        </w:tc>
        <w:tc>
          <w:tcPr>
            <w:tcW w:w="1657" w:type="dxa"/>
            <w:noWrap/>
            <w:vAlign w:val="bottom"/>
          </w:tcPr>
          <w:p w14:paraId="0E74846F" w14:textId="3FA4B61F"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53 (18.3)</w:t>
            </w:r>
          </w:p>
        </w:tc>
        <w:tc>
          <w:tcPr>
            <w:tcW w:w="1520" w:type="dxa"/>
            <w:noWrap/>
            <w:vAlign w:val="bottom"/>
          </w:tcPr>
          <w:p w14:paraId="27094681" w14:textId="63561E61"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103 (32.2)</w:t>
            </w:r>
          </w:p>
        </w:tc>
        <w:tc>
          <w:tcPr>
            <w:tcW w:w="1672" w:type="dxa"/>
            <w:noWrap/>
            <w:vAlign w:val="bottom"/>
          </w:tcPr>
          <w:p w14:paraId="29E294D6" w14:textId="19D64BFE"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178 (34</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r>
      <w:tr w:rsidR="00D03C5E" w14:paraId="404D8559" w14:textId="77777777" w:rsidTr="00603110">
        <w:trPr>
          <w:trHeight w:val="260"/>
        </w:trPr>
        <w:tc>
          <w:tcPr>
            <w:tcW w:w="4501" w:type="dxa"/>
            <w:noWrap/>
          </w:tcPr>
          <w:p w14:paraId="39DD0BAF" w14:textId="77777777" w:rsidR="00D03C5E" w:rsidRPr="00DB482A" w:rsidRDefault="00D03C5E" w:rsidP="00D03C5E">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200m</w:t>
            </w:r>
          </w:p>
        </w:tc>
        <w:tc>
          <w:tcPr>
            <w:tcW w:w="1657" w:type="dxa"/>
            <w:noWrap/>
            <w:vAlign w:val="bottom"/>
          </w:tcPr>
          <w:p w14:paraId="701605D3" w14:textId="2F1415C9"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76 (26.2)</w:t>
            </w:r>
          </w:p>
        </w:tc>
        <w:tc>
          <w:tcPr>
            <w:tcW w:w="1520" w:type="dxa"/>
            <w:noWrap/>
            <w:vAlign w:val="bottom"/>
          </w:tcPr>
          <w:p w14:paraId="17EA53E9" w14:textId="4E4A10D4"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130 (40.6)</w:t>
            </w:r>
          </w:p>
        </w:tc>
        <w:tc>
          <w:tcPr>
            <w:tcW w:w="1672" w:type="dxa"/>
            <w:noWrap/>
            <w:vAlign w:val="bottom"/>
          </w:tcPr>
          <w:p w14:paraId="13A1C69F" w14:textId="3093F04F"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212 (40.5)</w:t>
            </w:r>
          </w:p>
        </w:tc>
      </w:tr>
      <w:tr w:rsidR="00D03C5E" w14:paraId="41827B5D" w14:textId="77777777" w:rsidTr="00603110">
        <w:trPr>
          <w:trHeight w:val="260"/>
        </w:trPr>
        <w:tc>
          <w:tcPr>
            <w:tcW w:w="4501" w:type="dxa"/>
            <w:noWrap/>
          </w:tcPr>
          <w:p w14:paraId="79017B06" w14:textId="77777777" w:rsidR="00D03C5E" w:rsidRPr="00DB482A" w:rsidRDefault="00D03C5E" w:rsidP="00D03C5E">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300m</w:t>
            </w:r>
          </w:p>
        </w:tc>
        <w:tc>
          <w:tcPr>
            <w:tcW w:w="1657" w:type="dxa"/>
            <w:noWrap/>
            <w:vAlign w:val="bottom"/>
          </w:tcPr>
          <w:p w14:paraId="48D99143" w14:textId="07211BDF"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125 (43.1)</w:t>
            </w:r>
          </w:p>
        </w:tc>
        <w:tc>
          <w:tcPr>
            <w:tcW w:w="1520" w:type="dxa"/>
            <w:noWrap/>
            <w:vAlign w:val="bottom"/>
          </w:tcPr>
          <w:p w14:paraId="5DA68963" w14:textId="03F9724D"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157 (49.1)</w:t>
            </w:r>
          </w:p>
        </w:tc>
        <w:tc>
          <w:tcPr>
            <w:tcW w:w="1672" w:type="dxa"/>
            <w:noWrap/>
            <w:vAlign w:val="bottom"/>
          </w:tcPr>
          <w:p w14:paraId="58F170D5" w14:textId="5F6C7610"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259 (49.5)</w:t>
            </w:r>
          </w:p>
        </w:tc>
      </w:tr>
      <w:tr w:rsidR="00D03C5E" w14:paraId="660EC7EA" w14:textId="77777777" w:rsidTr="00603110">
        <w:trPr>
          <w:trHeight w:val="260"/>
        </w:trPr>
        <w:tc>
          <w:tcPr>
            <w:tcW w:w="4501" w:type="dxa"/>
            <w:noWrap/>
          </w:tcPr>
          <w:p w14:paraId="45C36C69" w14:textId="77777777" w:rsidR="00D03C5E" w:rsidRPr="00DB482A" w:rsidRDefault="00D03C5E" w:rsidP="00D03C5E">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500m</w:t>
            </w:r>
          </w:p>
        </w:tc>
        <w:tc>
          <w:tcPr>
            <w:tcW w:w="1657" w:type="dxa"/>
            <w:noWrap/>
            <w:vAlign w:val="bottom"/>
          </w:tcPr>
          <w:p w14:paraId="7522D8E0" w14:textId="3FB19A6A"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183 (63.1)</w:t>
            </w:r>
          </w:p>
        </w:tc>
        <w:tc>
          <w:tcPr>
            <w:tcW w:w="1520" w:type="dxa"/>
            <w:noWrap/>
            <w:vAlign w:val="bottom"/>
          </w:tcPr>
          <w:p w14:paraId="54E6F652" w14:textId="3D9994E5"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197 (61.6)</w:t>
            </w:r>
          </w:p>
        </w:tc>
        <w:tc>
          <w:tcPr>
            <w:tcW w:w="1672" w:type="dxa"/>
            <w:noWrap/>
            <w:vAlign w:val="bottom"/>
          </w:tcPr>
          <w:p w14:paraId="3B8485D3" w14:textId="276EB773"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335 (64.1)</w:t>
            </w:r>
          </w:p>
        </w:tc>
      </w:tr>
      <w:tr w:rsidR="00D03C5E" w14:paraId="3645899E" w14:textId="77777777" w:rsidTr="00603110">
        <w:trPr>
          <w:trHeight w:val="260"/>
        </w:trPr>
        <w:tc>
          <w:tcPr>
            <w:tcW w:w="4501" w:type="dxa"/>
            <w:noWrap/>
          </w:tcPr>
          <w:p w14:paraId="60185B29" w14:textId="77777777" w:rsidR="00D03C5E" w:rsidRPr="00DB482A" w:rsidRDefault="00D03C5E" w:rsidP="00D03C5E">
            <w:pPr>
              <w:ind w:firstLine="172"/>
              <w:rPr>
                <w:rFonts w:ascii="Times New Roman" w:hAnsi="Times New Roman" w:cs="Times New Roman"/>
                <w:color w:val="000000"/>
                <w:sz w:val="18"/>
                <w:szCs w:val="18"/>
              </w:rPr>
            </w:pPr>
            <w:r w:rsidRPr="00DB482A">
              <w:rPr>
                <w:rFonts w:ascii="Times New Roman" w:hAnsi="Times New Roman" w:cs="Times New Roman"/>
                <w:color w:val="000000"/>
                <w:sz w:val="18"/>
                <w:szCs w:val="18"/>
              </w:rPr>
              <w:t>1000m</w:t>
            </w:r>
          </w:p>
        </w:tc>
        <w:tc>
          <w:tcPr>
            <w:tcW w:w="1657" w:type="dxa"/>
            <w:noWrap/>
            <w:vAlign w:val="bottom"/>
          </w:tcPr>
          <w:p w14:paraId="216E171A" w14:textId="36C8B666"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261 (90</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c>
          <w:tcPr>
            <w:tcW w:w="1520" w:type="dxa"/>
            <w:noWrap/>
            <w:vAlign w:val="bottom"/>
          </w:tcPr>
          <w:p w14:paraId="177906CE" w14:textId="6BB66251"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280 (87.5)</w:t>
            </w:r>
          </w:p>
        </w:tc>
        <w:tc>
          <w:tcPr>
            <w:tcW w:w="1672" w:type="dxa"/>
            <w:noWrap/>
            <w:vAlign w:val="bottom"/>
          </w:tcPr>
          <w:p w14:paraId="1906D5D2" w14:textId="009BEE24" w:rsidR="00D03C5E" w:rsidRPr="00DB482A" w:rsidRDefault="00D03C5E" w:rsidP="00D03C5E">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451 (86.2)</w:t>
            </w:r>
          </w:p>
        </w:tc>
      </w:tr>
      <w:tr w:rsidR="002D5210" w14:paraId="3982D6B7" w14:textId="77777777" w:rsidTr="007F01A9">
        <w:trPr>
          <w:trHeight w:val="260"/>
        </w:trPr>
        <w:tc>
          <w:tcPr>
            <w:tcW w:w="4501" w:type="dxa"/>
            <w:noWrap/>
          </w:tcPr>
          <w:p w14:paraId="24BD524F" w14:textId="2B800026" w:rsidR="002D5210" w:rsidRPr="00DB482A" w:rsidRDefault="002D5210" w:rsidP="002D5210">
            <w:pPr>
              <w:rPr>
                <w:rFonts w:ascii="Times New Roman" w:hAnsi="Times New Roman" w:cs="Times New Roman"/>
                <w:color w:val="000000"/>
                <w:sz w:val="18"/>
                <w:szCs w:val="18"/>
              </w:rPr>
            </w:pPr>
            <w:r w:rsidRPr="00DB482A">
              <w:rPr>
                <w:rFonts w:ascii="Times New Roman" w:hAnsi="Times New Roman" w:cs="Times New Roman"/>
                <w:color w:val="000000"/>
                <w:sz w:val="18"/>
                <w:szCs w:val="18"/>
              </w:rPr>
              <w:t>NEPSY-II O</w:t>
            </w:r>
            <w:commentRangeStart w:id="89"/>
            <w:commentRangeStart w:id="90"/>
            <w:commentRangeEnd w:id="89"/>
            <w:commentRangeEnd w:id="90"/>
            <w:r w:rsidRPr="00DB482A">
              <w:rPr>
                <w:rFonts w:ascii="Times New Roman" w:hAnsi="Times New Roman" w:cs="Times New Roman"/>
                <w:sz w:val="18"/>
                <w:szCs w:val="18"/>
              </w:rPr>
              <w:commentReference w:id="89"/>
            </w:r>
            <w:r w:rsidRPr="00DB482A">
              <w:rPr>
                <w:rFonts w:ascii="Times New Roman" w:hAnsi="Times New Roman" w:cs="Times New Roman"/>
                <w:sz w:val="18"/>
                <w:szCs w:val="18"/>
              </w:rPr>
              <w:commentReference w:id="90"/>
            </w:r>
            <w:r w:rsidRPr="00DB482A">
              <w:rPr>
                <w:rFonts w:ascii="Times New Roman" w:hAnsi="Times New Roman" w:cs="Times New Roman"/>
                <w:color w:val="000000"/>
                <w:sz w:val="18"/>
                <w:szCs w:val="18"/>
              </w:rPr>
              <w:t>verall score</w:t>
            </w:r>
            <w:r w:rsidR="00386A6A">
              <w:rPr>
                <w:rFonts w:ascii="Times New Roman" w:hAnsi="Times New Roman" w:cs="Times New Roman"/>
                <w:color w:val="000000"/>
                <w:sz w:val="18"/>
                <w:szCs w:val="18"/>
              </w:rPr>
              <w:t>, mean (SD)</w:t>
            </w:r>
          </w:p>
        </w:tc>
        <w:tc>
          <w:tcPr>
            <w:tcW w:w="1657" w:type="dxa"/>
            <w:noWrap/>
            <w:vAlign w:val="bottom"/>
          </w:tcPr>
          <w:p w14:paraId="2EDBC138" w14:textId="72379B0D" w:rsidR="002D5210" w:rsidRPr="002D5210" w:rsidRDefault="002D5210" w:rsidP="002D5210">
            <w:pPr>
              <w:jc w:val="center"/>
              <w:rPr>
                <w:rFonts w:ascii="Times New Roman" w:hAnsi="Times New Roman" w:cs="Times New Roman"/>
                <w:color w:val="000000"/>
                <w:sz w:val="18"/>
                <w:szCs w:val="18"/>
              </w:rPr>
            </w:pPr>
            <w:r w:rsidRPr="002D5210">
              <w:rPr>
                <w:rFonts w:ascii="Times New Roman" w:hAnsi="Times New Roman" w:cs="Times New Roman"/>
                <w:color w:val="000000"/>
                <w:sz w:val="18"/>
                <w:szCs w:val="18"/>
              </w:rPr>
              <w:t>8</w:t>
            </w:r>
            <w:r>
              <w:rPr>
                <w:rFonts w:ascii="Times New Roman" w:hAnsi="Times New Roman" w:cs="Times New Roman"/>
                <w:color w:val="000000"/>
                <w:sz w:val="18"/>
                <w:szCs w:val="18"/>
              </w:rPr>
              <w:t>.0</w:t>
            </w:r>
            <w:r w:rsidRPr="002D5210">
              <w:rPr>
                <w:rFonts w:ascii="Times New Roman" w:hAnsi="Times New Roman" w:cs="Times New Roman"/>
                <w:color w:val="000000"/>
                <w:sz w:val="18"/>
                <w:szCs w:val="18"/>
              </w:rPr>
              <w:t xml:space="preserve"> (1.8)</w:t>
            </w:r>
          </w:p>
        </w:tc>
        <w:tc>
          <w:tcPr>
            <w:tcW w:w="1520" w:type="dxa"/>
            <w:noWrap/>
            <w:vAlign w:val="bottom"/>
          </w:tcPr>
          <w:p w14:paraId="3F903C63" w14:textId="19577071" w:rsidR="002D5210" w:rsidRPr="002D5210" w:rsidRDefault="002D5210" w:rsidP="002D5210">
            <w:pPr>
              <w:jc w:val="center"/>
              <w:rPr>
                <w:rFonts w:ascii="Times New Roman" w:hAnsi="Times New Roman" w:cs="Times New Roman"/>
                <w:color w:val="000000"/>
                <w:sz w:val="18"/>
                <w:szCs w:val="18"/>
              </w:rPr>
            </w:pPr>
            <w:r w:rsidRPr="002D5210">
              <w:rPr>
                <w:rFonts w:ascii="Times New Roman" w:hAnsi="Times New Roman" w:cs="Times New Roman"/>
                <w:color w:val="000000"/>
                <w:sz w:val="18"/>
                <w:szCs w:val="18"/>
              </w:rPr>
              <w:t>8</w:t>
            </w:r>
            <w:r>
              <w:rPr>
                <w:rFonts w:ascii="Times New Roman" w:hAnsi="Times New Roman" w:cs="Times New Roman"/>
                <w:color w:val="000000"/>
                <w:sz w:val="18"/>
                <w:szCs w:val="18"/>
              </w:rPr>
              <w:t>.0</w:t>
            </w:r>
            <w:r w:rsidRPr="002D5210">
              <w:rPr>
                <w:rFonts w:ascii="Times New Roman" w:hAnsi="Times New Roman" w:cs="Times New Roman"/>
                <w:color w:val="000000"/>
                <w:sz w:val="18"/>
                <w:szCs w:val="18"/>
              </w:rPr>
              <w:t xml:space="preserve"> (2.1)</w:t>
            </w:r>
          </w:p>
        </w:tc>
        <w:tc>
          <w:tcPr>
            <w:tcW w:w="1672" w:type="dxa"/>
            <w:noWrap/>
            <w:vAlign w:val="bottom"/>
          </w:tcPr>
          <w:p w14:paraId="1B6980E7" w14:textId="56E34386" w:rsidR="002D5210" w:rsidRPr="002D5210" w:rsidRDefault="002D5210" w:rsidP="002D5210">
            <w:pPr>
              <w:jc w:val="center"/>
              <w:rPr>
                <w:rFonts w:ascii="Times New Roman" w:hAnsi="Times New Roman" w:cs="Times New Roman"/>
                <w:color w:val="000000"/>
                <w:sz w:val="18"/>
                <w:szCs w:val="18"/>
              </w:rPr>
            </w:pPr>
            <w:r w:rsidRPr="002D5210">
              <w:rPr>
                <w:rFonts w:ascii="Times New Roman" w:hAnsi="Times New Roman" w:cs="Times New Roman"/>
                <w:color w:val="000000"/>
                <w:sz w:val="18"/>
                <w:szCs w:val="18"/>
              </w:rPr>
              <w:t>8.1 (1.4)</w:t>
            </w:r>
          </w:p>
        </w:tc>
      </w:tr>
      <w:tr w:rsidR="009C2495" w14:paraId="394089DE" w14:textId="77777777" w:rsidTr="004F52A1">
        <w:trPr>
          <w:trHeight w:val="260"/>
        </w:trPr>
        <w:tc>
          <w:tcPr>
            <w:tcW w:w="4501" w:type="dxa"/>
            <w:noWrap/>
          </w:tcPr>
          <w:p w14:paraId="6B73F82E" w14:textId="2A130562" w:rsidR="009C2495" w:rsidRPr="00DB482A" w:rsidRDefault="009C2495" w:rsidP="009C2495">
            <w:pPr>
              <w:rPr>
                <w:rFonts w:ascii="Times New Roman" w:hAnsi="Times New Roman" w:cs="Times New Roman"/>
                <w:color w:val="000000"/>
                <w:sz w:val="18"/>
                <w:szCs w:val="18"/>
              </w:rPr>
            </w:pPr>
            <w:r w:rsidRPr="00DB482A">
              <w:rPr>
                <w:rFonts w:ascii="Times New Roman" w:hAnsi="Times New Roman" w:cs="Times New Roman"/>
                <w:color w:val="000000"/>
                <w:sz w:val="18"/>
                <w:szCs w:val="18"/>
              </w:rPr>
              <w:t>Attention/Inhibitory Control</w:t>
            </w:r>
            <w:r w:rsidR="00386A6A">
              <w:rPr>
                <w:rFonts w:ascii="Times New Roman" w:hAnsi="Times New Roman" w:cs="Times New Roman"/>
                <w:color w:val="000000"/>
                <w:sz w:val="18"/>
                <w:szCs w:val="18"/>
              </w:rPr>
              <w:t>, mean (SD)</w:t>
            </w:r>
          </w:p>
        </w:tc>
        <w:tc>
          <w:tcPr>
            <w:tcW w:w="1657" w:type="dxa"/>
            <w:noWrap/>
            <w:vAlign w:val="bottom"/>
          </w:tcPr>
          <w:p w14:paraId="5B04E469" w14:textId="4FF8626B"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7.8 (2.2)</w:t>
            </w:r>
          </w:p>
        </w:tc>
        <w:tc>
          <w:tcPr>
            <w:tcW w:w="1520" w:type="dxa"/>
            <w:noWrap/>
            <w:vAlign w:val="bottom"/>
          </w:tcPr>
          <w:p w14:paraId="65BB78F8" w14:textId="43E8160D"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 xml:space="preserve"> (2.1)</w:t>
            </w:r>
          </w:p>
        </w:tc>
        <w:tc>
          <w:tcPr>
            <w:tcW w:w="1672" w:type="dxa"/>
            <w:noWrap/>
            <w:vAlign w:val="bottom"/>
          </w:tcPr>
          <w:p w14:paraId="641CA05A" w14:textId="552D5B31"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8.4 (2.2)</w:t>
            </w:r>
          </w:p>
        </w:tc>
      </w:tr>
      <w:tr w:rsidR="009C2495" w14:paraId="3CD26FF5" w14:textId="77777777" w:rsidTr="004F52A1">
        <w:trPr>
          <w:trHeight w:val="260"/>
        </w:trPr>
        <w:tc>
          <w:tcPr>
            <w:tcW w:w="4501" w:type="dxa"/>
            <w:noWrap/>
          </w:tcPr>
          <w:p w14:paraId="02B97CD8" w14:textId="325DA8C4" w:rsidR="009C2495" w:rsidRPr="00DB482A" w:rsidRDefault="00DB482A" w:rsidP="00DB482A">
            <w:pPr>
              <w:ind w:left="156"/>
              <w:rPr>
                <w:rFonts w:ascii="Times New Roman" w:hAnsi="Times New Roman" w:cs="Times New Roman"/>
                <w:color w:val="000000"/>
                <w:sz w:val="18"/>
                <w:szCs w:val="18"/>
              </w:rPr>
            </w:pPr>
            <w:commentRangeStart w:id="91"/>
            <w:r>
              <w:rPr>
                <w:rFonts w:ascii="Times New Roman" w:hAnsi="Times New Roman" w:cs="Times New Roman"/>
                <w:color w:val="000000"/>
                <w:sz w:val="18"/>
                <w:szCs w:val="18"/>
              </w:rPr>
              <w:t>A</w:t>
            </w:r>
            <w:r w:rsidR="009C2495" w:rsidRPr="00DB482A">
              <w:rPr>
                <w:rFonts w:ascii="Times New Roman" w:hAnsi="Times New Roman" w:cs="Times New Roman"/>
                <w:color w:val="000000"/>
                <w:sz w:val="18"/>
                <w:szCs w:val="18"/>
              </w:rPr>
              <w:t>uditory</w:t>
            </w:r>
            <w:r>
              <w:rPr>
                <w:rFonts w:ascii="Times New Roman" w:hAnsi="Times New Roman" w:cs="Times New Roman"/>
                <w:color w:val="000000"/>
                <w:sz w:val="18"/>
                <w:szCs w:val="18"/>
              </w:rPr>
              <w:t xml:space="preserve"> A</w:t>
            </w:r>
            <w:r w:rsidR="009C2495" w:rsidRPr="00DB482A">
              <w:rPr>
                <w:rFonts w:ascii="Times New Roman" w:hAnsi="Times New Roman" w:cs="Times New Roman"/>
                <w:color w:val="000000"/>
                <w:sz w:val="18"/>
                <w:szCs w:val="18"/>
              </w:rPr>
              <w:t>ttention</w:t>
            </w:r>
            <w:r>
              <w:rPr>
                <w:rFonts w:ascii="Times New Roman" w:hAnsi="Times New Roman" w:cs="Times New Roman"/>
                <w:color w:val="000000"/>
                <w:sz w:val="18"/>
                <w:szCs w:val="18"/>
              </w:rPr>
              <w:t xml:space="preserve"> R</w:t>
            </w:r>
            <w:r w:rsidR="009C2495" w:rsidRPr="00DB482A">
              <w:rPr>
                <w:rFonts w:ascii="Times New Roman" w:hAnsi="Times New Roman" w:cs="Times New Roman"/>
                <w:color w:val="000000"/>
                <w:sz w:val="18"/>
                <w:szCs w:val="18"/>
              </w:rPr>
              <w:t>esponse</w:t>
            </w:r>
            <w:r>
              <w:rPr>
                <w:rFonts w:ascii="Times New Roman" w:hAnsi="Times New Roman" w:cs="Times New Roman"/>
                <w:color w:val="000000"/>
                <w:sz w:val="18"/>
                <w:szCs w:val="18"/>
              </w:rPr>
              <w:t xml:space="preserve"> S</w:t>
            </w:r>
            <w:r w:rsidR="009C2495" w:rsidRPr="00DB482A">
              <w:rPr>
                <w:rFonts w:ascii="Times New Roman" w:hAnsi="Times New Roman" w:cs="Times New Roman"/>
                <w:color w:val="000000"/>
                <w:sz w:val="18"/>
                <w:szCs w:val="18"/>
              </w:rPr>
              <w:t>et</w:t>
            </w:r>
            <w:commentRangeEnd w:id="91"/>
            <w:r w:rsidR="0015186E">
              <w:rPr>
                <w:rStyle w:val="CommentReference"/>
                <w:lang w:eastAsia="en-US"/>
              </w:rPr>
              <w:commentReference w:id="91"/>
            </w:r>
          </w:p>
        </w:tc>
        <w:tc>
          <w:tcPr>
            <w:tcW w:w="1657" w:type="dxa"/>
            <w:noWrap/>
            <w:vAlign w:val="bottom"/>
          </w:tcPr>
          <w:p w14:paraId="20F7233B" w14:textId="48104596"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8.5 (2.9)</w:t>
            </w:r>
          </w:p>
        </w:tc>
        <w:tc>
          <w:tcPr>
            <w:tcW w:w="1520" w:type="dxa"/>
            <w:noWrap/>
            <w:vAlign w:val="bottom"/>
          </w:tcPr>
          <w:p w14:paraId="440F4579" w14:textId="334A5CB7"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8.9 (2.8)</w:t>
            </w:r>
          </w:p>
        </w:tc>
        <w:tc>
          <w:tcPr>
            <w:tcW w:w="1672" w:type="dxa"/>
            <w:noWrap/>
            <w:vAlign w:val="bottom"/>
          </w:tcPr>
          <w:p w14:paraId="18E8FA2E" w14:textId="46D3AE6C"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9.6 (2.5)</w:t>
            </w:r>
          </w:p>
        </w:tc>
      </w:tr>
      <w:tr w:rsidR="009C2495" w14:paraId="748A2596" w14:textId="77777777" w:rsidTr="004F52A1">
        <w:trPr>
          <w:trHeight w:val="260"/>
        </w:trPr>
        <w:tc>
          <w:tcPr>
            <w:tcW w:w="4501" w:type="dxa"/>
            <w:noWrap/>
          </w:tcPr>
          <w:p w14:paraId="7BF5D612" w14:textId="77777777" w:rsidR="009C2495" w:rsidRPr="00DB482A" w:rsidRDefault="009C2495" w:rsidP="009C2495">
            <w:pPr>
              <w:ind w:firstLine="314"/>
              <w:rPr>
                <w:rFonts w:ascii="Times New Roman" w:hAnsi="Times New Roman" w:cs="Times New Roman"/>
                <w:color w:val="000000"/>
                <w:sz w:val="18"/>
                <w:szCs w:val="18"/>
              </w:rPr>
            </w:pPr>
            <w:r w:rsidRPr="00DB482A">
              <w:rPr>
                <w:rFonts w:ascii="Times New Roman" w:hAnsi="Times New Roman" w:cs="Times New Roman"/>
                <w:color w:val="000000"/>
                <w:sz w:val="18"/>
                <w:szCs w:val="18"/>
              </w:rPr>
              <w:t>Auditory attention combined (AAC)</w:t>
            </w:r>
          </w:p>
        </w:tc>
        <w:tc>
          <w:tcPr>
            <w:tcW w:w="1657" w:type="dxa"/>
            <w:noWrap/>
            <w:vAlign w:val="bottom"/>
          </w:tcPr>
          <w:p w14:paraId="21227B3C" w14:textId="7B9296F0"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8.2 (3.4)</w:t>
            </w:r>
          </w:p>
        </w:tc>
        <w:tc>
          <w:tcPr>
            <w:tcW w:w="1520" w:type="dxa"/>
            <w:noWrap/>
            <w:vAlign w:val="bottom"/>
          </w:tcPr>
          <w:p w14:paraId="42DE68AA" w14:textId="6A7C2274"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8.5 (3.8)</w:t>
            </w:r>
          </w:p>
        </w:tc>
        <w:tc>
          <w:tcPr>
            <w:tcW w:w="1672" w:type="dxa"/>
            <w:noWrap/>
            <w:vAlign w:val="bottom"/>
          </w:tcPr>
          <w:p w14:paraId="6962209D" w14:textId="13C50A3A"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9.6 (3.4)</w:t>
            </w:r>
          </w:p>
        </w:tc>
      </w:tr>
      <w:tr w:rsidR="009C2495" w14:paraId="1405BE94" w14:textId="77777777" w:rsidTr="004F52A1">
        <w:trPr>
          <w:trHeight w:val="260"/>
        </w:trPr>
        <w:tc>
          <w:tcPr>
            <w:tcW w:w="4501" w:type="dxa"/>
            <w:noWrap/>
          </w:tcPr>
          <w:p w14:paraId="72D0E3AD" w14:textId="77777777" w:rsidR="009C2495" w:rsidRPr="00DB482A" w:rsidRDefault="009C2495" w:rsidP="009C2495">
            <w:pPr>
              <w:ind w:firstLine="314"/>
              <w:rPr>
                <w:rFonts w:ascii="Times New Roman" w:hAnsi="Times New Roman" w:cs="Times New Roman"/>
                <w:color w:val="000000"/>
                <w:sz w:val="18"/>
                <w:szCs w:val="18"/>
              </w:rPr>
            </w:pPr>
            <w:r w:rsidRPr="00DB482A">
              <w:rPr>
                <w:rFonts w:ascii="Times New Roman" w:hAnsi="Times New Roman" w:cs="Times New Roman"/>
                <w:color w:val="000000"/>
                <w:sz w:val="18"/>
                <w:szCs w:val="18"/>
              </w:rPr>
              <w:t>Response set combined (RSC)</w:t>
            </w:r>
          </w:p>
        </w:tc>
        <w:tc>
          <w:tcPr>
            <w:tcW w:w="1657" w:type="dxa"/>
            <w:noWrap/>
            <w:vAlign w:val="bottom"/>
          </w:tcPr>
          <w:p w14:paraId="52BB4B2C" w14:textId="11466C83"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8.7 (3.1)</w:t>
            </w:r>
          </w:p>
        </w:tc>
        <w:tc>
          <w:tcPr>
            <w:tcW w:w="1520" w:type="dxa"/>
            <w:noWrap/>
            <w:vAlign w:val="bottom"/>
          </w:tcPr>
          <w:p w14:paraId="763FC367" w14:textId="2C6D1FAC"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9.4 (3</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c>
          <w:tcPr>
            <w:tcW w:w="1672" w:type="dxa"/>
            <w:noWrap/>
            <w:vAlign w:val="bottom"/>
          </w:tcPr>
          <w:p w14:paraId="07384041" w14:textId="7200809E"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9.7 (2.8)</w:t>
            </w:r>
          </w:p>
        </w:tc>
      </w:tr>
      <w:tr w:rsidR="009C2495" w14:paraId="31D12FDE" w14:textId="77777777" w:rsidTr="004F52A1">
        <w:trPr>
          <w:trHeight w:val="260"/>
        </w:trPr>
        <w:tc>
          <w:tcPr>
            <w:tcW w:w="4501" w:type="dxa"/>
            <w:noWrap/>
          </w:tcPr>
          <w:p w14:paraId="3CC8C86C" w14:textId="74705FB4" w:rsidR="009C2495" w:rsidRPr="00DB482A" w:rsidRDefault="009C2495" w:rsidP="00DB482A">
            <w:pPr>
              <w:ind w:left="156"/>
              <w:rPr>
                <w:rFonts w:ascii="Times New Roman" w:hAnsi="Times New Roman" w:cs="Times New Roman"/>
                <w:color w:val="000000"/>
                <w:sz w:val="18"/>
                <w:szCs w:val="18"/>
              </w:rPr>
            </w:pPr>
            <w:r w:rsidRPr="00DB482A">
              <w:rPr>
                <w:rFonts w:ascii="Times New Roman" w:hAnsi="Times New Roman" w:cs="Times New Roman"/>
                <w:color w:val="000000"/>
                <w:sz w:val="18"/>
                <w:szCs w:val="18"/>
              </w:rPr>
              <w:t>Inhibition</w:t>
            </w:r>
          </w:p>
        </w:tc>
        <w:tc>
          <w:tcPr>
            <w:tcW w:w="1657" w:type="dxa"/>
            <w:noWrap/>
            <w:vAlign w:val="bottom"/>
          </w:tcPr>
          <w:p w14:paraId="7DBD9BF1" w14:textId="1AF06C07"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 xml:space="preserve"> (2.7)</w:t>
            </w:r>
          </w:p>
        </w:tc>
        <w:tc>
          <w:tcPr>
            <w:tcW w:w="1520" w:type="dxa"/>
            <w:noWrap/>
            <w:vAlign w:val="bottom"/>
          </w:tcPr>
          <w:p w14:paraId="6E145C0B" w14:textId="363504A9"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 xml:space="preserve"> (2.6)</w:t>
            </w:r>
          </w:p>
        </w:tc>
        <w:tc>
          <w:tcPr>
            <w:tcW w:w="1672" w:type="dxa"/>
            <w:noWrap/>
            <w:vAlign w:val="bottom"/>
          </w:tcPr>
          <w:p w14:paraId="1E1BF6A1" w14:textId="482B94BE"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7.1 (2.7)</w:t>
            </w:r>
          </w:p>
        </w:tc>
      </w:tr>
      <w:tr w:rsidR="009C2495" w14:paraId="3136D675" w14:textId="77777777" w:rsidTr="004F52A1">
        <w:trPr>
          <w:trHeight w:val="260"/>
        </w:trPr>
        <w:tc>
          <w:tcPr>
            <w:tcW w:w="4501" w:type="dxa"/>
            <w:noWrap/>
          </w:tcPr>
          <w:p w14:paraId="3B6CF9C0" w14:textId="77777777" w:rsidR="009C2495" w:rsidRPr="00DB482A" w:rsidRDefault="009C2495" w:rsidP="009C2495">
            <w:pPr>
              <w:ind w:firstLine="314"/>
              <w:rPr>
                <w:rFonts w:ascii="Times New Roman" w:hAnsi="Times New Roman" w:cs="Times New Roman"/>
                <w:color w:val="000000"/>
                <w:sz w:val="18"/>
                <w:szCs w:val="18"/>
              </w:rPr>
            </w:pPr>
            <w:r w:rsidRPr="00DB482A">
              <w:rPr>
                <w:rFonts w:ascii="Times New Roman" w:hAnsi="Times New Roman" w:cs="Times New Roman"/>
                <w:color w:val="000000"/>
                <w:sz w:val="18"/>
                <w:szCs w:val="18"/>
              </w:rPr>
              <w:t>Inhibition-inhibition combined (IIC)</w:t>
            </w:r>
          </w:p>
        </w:tc>
        <w:tc>
          <w:tcPr>
            <w:tcW w:w="1657" w:type="dxa"/>
            <w:noWrap/>
            <w:vAlign w:val="bottom"/>
          </w:tcPr>
          <w:p w14:paraId="5EB60740" w14:textId="1EB0403A"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 xml:space="preserve"> (3.1)</w:t>
            </w:r>
          </w:p>
        </w:tc>
        <w:tc>
          <w:tcPr>
            <w:tcW w:w="1520" w:type="dxa"/>
            <w:noWrap/>
            <w:vAlign w:val="bottom"/>
          </w:tcPr>
          <w:p w14:paraId="08410D8D" w14:textId="14FE2BBE"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6.6 (3.2)</w:t>
            </w:r>
          </w:p>
        </w:tc>
        <w:tc>
          <w:tcPr>
            <w:tcW w:w="1672" w:type="dxa"/>
            <w:noWrap/>
            <w:vAlign w:val="bottom"/>
          </w:tcPr>
          <w:p w14:paraId="42B191E5" w14:textId="50190F10"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6.8 (3.2)</w:t>
            </w:r>
          </w:p>
        </w:tc>
      </w:tr>
      <w:tr w:rsidR="009C2495" w14:paraId="20D45761" w14:textId="77777777" w:rsidTr="004F52A1">
        <w:trPr>
          <w:trHeight w:val="260"/>
        </w:trPr>
        <w:tc>
          <w:tcPr>
            <w:tcW w:w="4501" w:type="dxa"/>
            <w:noWrap/>
          </w:tcPr>
          <w:p w14:paraId="1FCE1F4C" w14:textId="77777777" w:rsidR="009C2495" w:rsidRPr="00DB482A" w:rsidRDefault="009C2495" w:rsidP="009C2495">
            <w:pPr>
              <w:ind w:firstLine="314"/>
              <w:rPr>
                <w:rFonts w:ascii="Times New Roman" w:hAnsi="Times New Roman" w:cs="Times New Roman"/>
                <w:color w:val="000000"/>
                <w:sz w:val="18"/>
                <w:szCs w:val="18"/>
              </w:rPr>
            </w:pPr>
            <w:r w:rsidRPr="00DB482A">
              <w:rPr>
                <w:rFonts w:ascii="Times New Roman" w:hAnsi="Times New Roman" w:cs="Times New Roman"/>
                <w:color w:val="000000"/>
                <w:sz w:val="18"/>
                <w:szCs w:val="18"/>
              </w:rPr>
              <w:t>Inhibition-naming combined (INC)</w:t>
            </w:r>
          </w:p>
        </w:tc>
        <w:tc>
          <w:tcPr>
            <w:tcW w:w="1657" w:type="dxa"/>
            <w:noWrap/>
            <w:vAlign w:val="bottom"/>
          </w:tcPr>
          <w:p w14:paraId="41936374" w14:textId="5160D12B"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 xml:space="preserve"> (3.7)</w:t>
            </w:r>
          </w:p>
        </w:tc>
        <w:tc>
          <w:tcPr>
            <w:tcW w:w="1520" w:type="dxa"/>
            <w:noWrap/>
            <w:vAlign w:val="bottom"/>
          </w:tcPr>
          <w:p w14:paraId="4E5B1F7F" w14:textId="2021F3DA"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6.3 (2.8)</w:t>
            </w:r>
          </w:p>
        </w:tc>
        <w:tc>
          <w:tcPr>
            <w:tcW w:w="1672" w:type="dxa"/>
            <w:noWrap/>
            <w:vAlign w:val="bottom"/>
          </w:tcPr>
          <w:p w14:paraId="18D43A7C" w14:textId="4E8D36A1"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6.5 (3</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r>
      <w:tr w:rsidR="009C2495" w14:paraId="60C0F0BA" w14:textId="77777777" w:rsidTr="004F52A1">
        <w:trPr>
          <w:trHeight w:val="260"/>
        </w:trPr>
        <w:tc>
          <w:tcPr>
            <w:tcW w:w="4501" w:type="dxa"/>
            <w:noWrap/>
          </w:tcPr>
          <w:p w14:paraId="0D28DDC9" w14:textId="77777777" w:rsidR="009C2495" w:rsidRPr="00DB482A" w:rsidRDefault="009C2495" w:rsidP="009C2495">
            <w:pPr>
              <w:ind w:firstLine="314"/>
              <w:rPr>
                <w:rFonts w:ascii="Times New Roman" w:hAnsi="Times New Roman" w:cs="Times New Roman"/>
                <w:color w:val="000000"/>
                <w:sz w:val="18"/>
                <w:szCs w:val="18"/>
              </w:rPr>
            </w:pPr>
            <w:r w:rsidRPr="00DB482A">
              <w:rPr>
                <w:rFonts w:ascii="Times New Roman" w:hAnsi="Times New Roman" w:cs="Times New Roman"/>
                <w:color w:val="000000"/>
                <w:sz w:val="18"/>
                <w:szCs w:val="18"/>
              </w:rPr>
              <w:t>Inhibition-switching combined (ISC)</w:t>
            </w:r>
          </w:p>
        </w:tc>
        <w:tc>
          <w:tcPr>
            <w:tcW w:w="1657" w:type="dxa"/>
            <w:noWrap/>
            <w:vAlign w:val="bottom"/>
          </w:tcPr>
          <w:p w14:paraId="73D12EAD" w14:textId="5D1F5317"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7.1 (2.6)</w:t>
            </w:r>
          </w:p>
        </w:tc>
        <w:tc>
          <w:tcPr>
            <w:tcW w:w="1520" w:type="dxa"/>
            <w:noWrap/>
            <w:vAlign w:val="bottom"/>
          </w:tcPr>
          <w:p w14:paraId="3AF887B4" w14:textId="0AF55F7D"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7.5 (2.7)</w:t>
            </w:r>
          </w:p>
        </w:tc>
        <w:tc>
          <w:tcPr>
            <w:tcW w:w="1672" w:type="dxa"/>
            <w:noWrap/>
            <w:vAlign w:val="bottom"/>
          </w:tcPr>
          <w:p w14:paraId="6B7ACABF" w14:textId="42C9A25C"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7.5 (3.2)</w:t>
            </w:r>
          </w:p>
        </w:tc>
      </w:tr>
      <w:tr w:rsidR="009C2495" w14:paraId="04384998" w14:textId="77777777" w:rsidTr="004F52A1">
        <w:trPr>
          <w:trHeight w:val="260"/>
        </w:trPr>
        <w:tc>
          <w:tcPr>
            <w:tcW w:w="4501" w:type="dxa"/>
            <w:noWrap/>
          </w:tcPr>
          <w:p w14:paraId="64E00CC6" w14:textId="481F3AA0" w:rsidR="009C2495" w:rsidRPr="00DB482A" w:rsidRDefault="009C2495" w:rsidP="00DB482A">
            <w:pPr>
              <w:rPr>
                <w:rFonts w:ascii="Times New Roman" w:hAnsi="Times New Roman" w:cs="Times New Roman"/>
                <w:color w:val="000000"/>
                <w:sz w:val="18"/>
                <w:szCs w:val="18"/>
              </w:rPr>
            </w:pPr>
            <w:r w:rsidRPr="00DB482A">
              <w:rPr>
                <w:rFonts w:ascii="Times New Roman" w:hAnsi="Times New Roman" w:cs="Times New Roman"/>
                <w:color w:val="000000"/>
                <w:sz w:val="18"/>
                <w:szCs w:val="18"/>
              </w:rPr>
              <w:t>Language</w:t>
            </w:r>
          </w:p>
        </w:tc>
        <w:tc>
          <w:tcPr>
            <w:tcW w:w="1657" w:type="dxa"/>
            <w:noWrap/>
            <w:vAlign w:val="bottom"/>
          </w:tcPr>
          <w:p w14:paraId="0256F5C7" w14:textId="14DA4542"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6.7 (2.4)</w:t>
            </w:r>
          </w:p>
        </w:tc>
        <w:tc>
          <w:tcPr>
            <w:tcW w:w="1520" w:type="dxa"/>
            <w:noWrap/>
            <w:vAlign w:val="bottom"/>
          </w:tcPr>
          <w:p w14:paraId="5D1F91B5" w14:textId="2D5AA9C4" w:rsidR="009C2495" w:rsidRPr="00DB482A" w:rsidRDefault="00DB482A"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1F25B25D" w14:textId="22325AE3"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w:t>
            </w:r>
            <w:r w:rsidR="00DB482A" w:rsidRPr="00DB482A">
              <w:rPr>
                <w:rFonts w:ascii="Times New Roman" w:hAnsi="Times New Roman" w:cs="Times New Roman"/>
                <w:color w:val="000000"/>
                <w:sz w:val="18"/>
                <w:szCs w:val="18"/>
              </w:rPr>
              <w:t xml:space="preserve">.0 </w:t>
            </w:r>
            <w:r w:rsidRPr="00DB482A">
              <w:rPr>
                <w:rFonts w:ascii="Times New Roman" w:hAnsi="Times New Roman" w:cs="Times New Roman"/>
                <w:color w:val="000000"/>
                <w:sz w:val="18"/>
                <w:szCs w:val="18"/>
              </w:rPr>
              <w:t>(2</w:t>
            </w:r>
            <w:r w:rsidR="00DB482A" w:rsidRPr="00DB482A">
              <w:rPr>
                <w:rFonts w:ascii="Times New Roman" w:hAnsi="Times New Roman" w:cs="Times New Roman"/>
                <w:color w:val="000000"/>
                <w:sz w:val="18"/>
                <w:szCs w:val="18"/>
              </w:rPr>
              <w:t>.0</w:t>
            </w:r>
            <w:r w:rsidRPr="00DB482A">
              <w:rPr>
                <w:rFonts w:ascii="Times New Roman" w:hAnsi="Times New Roman" w:cs="Times New Roman"/>
                <w:color w:val="000000"/>
                <w:sz w:val="18"/>
                <w:szCs w:val="18"/>
              </w:rPr>
              <w:t>)</w:t>
            </w:r>
          </w:p>
        </w:tc>
      </w:tr>
      <w:tr w:rsidR="009C2495" w14:paraId="492FE19E" w14:textId="77777777" w:rsidTr="004F52A1">
        <w:trPr>
          <w:trHeight w:val="260"/>
        </w:trPr>
        <w:tc>
          <w:tcPr>
            <w:tcW w:w="4501" w:type="dxa"/>
            <w:noWrap/>
          </w:tcPr>
          <w:p w14:paraId="7E6BFB58" w14:textId="77777777" w:rsidR="009C2495" w:rsidRPr="00DB482A" w:rsidRDefault="009C2495" w:rsidP="009C2495">
            <w:pPr>
              <w:ind w:left="314"/>
              <w:rPr>
                <w:rFonts w:ascii="Times New Roman" w:hAnsi="Times New Roman" w:cs="Times New Roman"/>
                <w:color w:val="000000"/>
                <w:sz w:val="18"/>
                <w:szCs w:val="18"/>
              </w:rPr>
            </w:pPr>
            <w:r w:rsidRPr="00DB482A">
              <w:rPr>
                <w:rFonts w:ascii="Times New Roman" w:hAnsi="Times New Roman" w:cs="Times New Roman"/>
                <w:color w:val="000000"/>
                <w:sz w:val="18"/>
                <w:szCs w:val="18"/>
              </w:rPr>
              <w:t>Comprehension of instruction total score (CITS)</w:t>
            </w:r>
          </w:p>
        </w:tc>
        <w:tc>
          <w:tcPr>
            <w:tcW w:w="1657" w:type="dxa"/>
            <w:noWrap/>
            <w:vAlign w:val="bottom"/>
          </w:tcPr>
          <w:p w14:paraId="0F9668D7" w14:textId="502972C9"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7.3 (2.9)</w:t>
            </w:r>
          </w:p>
        </w:tc>
        <w:tc>
          <w:tcPr>
            <w:tcW w:w="1520" w:type="dxa"/>
            <w:noWrap/>
            <w:vAlign w:val="bottom"/>
          </w:tcPr>
          <w:p w14:paraId="1840BBFA" w14:textId="05C0114B" w:rsidR="009C2495" w:rsidRPr="00DB482A" w:rsidRDefault="00DB482A"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06781E52" w14:textId="63405BC2" w:rsidR="009C2495" w:rsidRPr="00DB482A" w:rsidRDefault="009C2495" w:rsidP="009C2495">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6.3 (2.6)</w:t>
            </w:r>
          </w:p>
        </w:tc>
      </w:tr>
      <w:tr w:rsidR="00DB482A" w14:paraId="4D058B04" w14:textId="77777777" w:rsidTr="004E17D5">
        <w:trPr>
          <w:trHeight w:val="260"/>
        </w:trPr>
        <w:tc>
          <w:tcPr>
            <w:tcW w:w="4501" w:type="dxa"/>
            <w:noWrap/>
          </w:tcPr>
          <w:p w14:paraId="4CEF3C38" w14:textId="77777777" w:rsidR="00DB482A" w:rsidRPr="00DB482A" w:rsidRDefault="00DB482A" w:rsidP="00DB482A">
            <w:pPr>
              <w:ind w:left="314"/>
              <w:rPr>
                <w:rFonts w:ascii="Times New Roman" w:hAnsi="Times New Roman" w:cs="Times New Roman"/>
                <w:color w:val="000000"/>
                <w:sz w:val="18"/>
                <w:szCs w:val="18"/>
              </w:rPr>
            </w:pPr>
            <w:r w:rsidRPr="00DB482A">
              <w:rPr>
                <w:rFonts w:ascii="Times New Roman" w:hAnsi="Times New Roman" w:cs="Times New Roman"/>
                <w:color w:val="000000"/>
                <w:sz w:val="18"/>
                <w:szCs w:val="18"/>
              </w:rPr>
              <w:t>Speed naming combined (SNC)</w:t>
            </w:r>
          </w:p>
        </w:tc>
        <w:tc>
          <w:tcPr>
            <w:tcW w:w="1657" w:type="dxa"/>
            <w:noWrap/>
            <w:vAlign w:val="bottom"/>
          </w:tcPr>
          <w:p w14:paraId="10E617AC" w14:textId="1E41F4DE"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6.0 (3.0)</w:t>
            </w:r>
          </w:p>
        </w:tc>
        <w:tc>
          <w:tcPr>
            <w:tcW w:w="1520" w:type="dxa"/>
            <w:noWrap/>
          </w:tcPr>
          <w:p w14:paraId="6626E777" w14:textId="1AB10FC3"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7D8AB318" w14:textId="14EB7D71"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7.7 (2.9)</w:t>
            </w:r>
          </w:p>
        </w:tc>
      </w:tr>
      <w:tr w:rsidR="00DB482A" w14:paraId="03F76799" w14:textId="77777777" w:rsidTr="004E17D5">
        <w:trPr>
          <w:trHeight w:val="260"/>
        </w:trPr>
        <w:tc>
          <w:tcPr>
            <w:tcW w:w="4501" w:type="dxa"/>
            <w:noWrap/>
          </w:tcPr>
          <w:p w14:paraId="68B2F67C" w14:textId="77777777" w:rsidR="00DB482A" w:rsidRPr="00DB482A" w:rsidRDefault="00DB482A" w:rsidP="00DB482A">
            <w:pPr>
              <w:rPr>
                <w:rFonts w:ascii="Times New Roman" w:hAnsi="Times New Roman" w:cs="Times New Roman"/>
                <w:color w:val="000000"/>
                <w:sz w:val="18"/>
                <w:szCs w:val="18"/>
              </w:rPr>
            </w:pPr>
            <w:r w:rsidRPr="00DB482A">
              <w:rPr>
                <w:rFonts w:ascii="Times New Roman" w:hAnsi="Times New Roman" w:cs="Times New Roman"/>
                <w:color w:val="000000"/>
                <w:sz w:val="18"/>
                <w:szCs w:val="18"/>
              </w:rPr>
              <w:t>Memory/Learning</w:t>
            </w:r>
          </w:p>
        </w:tc>
        <w:tc>
          <w:tcPr>
            <w:tcW w:w="1657" w:type="dxa"/>
            <w:noWrap/>
            <w:vAlign w:val="bottom"/>
          </w:tcPr>
          <w:p w14:paraId="34A6F1AD" w14:textId="65221718"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8.1 (2.3)</w:t>
            </w:r>
          </w:p>
        </w:tc>
        <w:tc>
          <w:tcPr>
            <w:tcW w:w="1520" w:type="dxa"/>
            <w:noWrap/>
          </w:tcPr>
          <w:p w14:paraId="039252A4" w14:textId="0FEC5E2E"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1F791A6C" w14:textId="6850C537"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8.3 (2.3)</w:t>
            </w:r>
          </w:p>
        </w:tc>
      </w:tr>
      <w:tr w:rsidR="00DB482A" w14:paraId="39E8E5EC" w14:textId="77777777" w:rsidTr="004E17D5">
        <w:trPr>
          <w:trHeight w:val="260"/>
        </w:trPr>
        <w:tc>
          <w:tcPr>
            <w:tcW w:w="4501" w:type="dxa"/>
            <w:noWrap/>
          </w:tcPr>
          <w:p w14:paraId="454DFB33" w14:textId="77777777" w:rsidR="00DB482A" w:rsidRPr="00DB482A" w:rsidRDefault="00DB482A" w:rsidP="00DB482A">
            <w:pPr>
              <w:ind w:left="314"/>
              <w:rPr>
                <w:rFonts w:ascii="Times New Roman" w:hAnsi="Times New Roman" w:cs="Times New Roman"/>
                <w:color w:val="000000"/>
                <w:sz w:val="18"/>
                <w:szCs w:val="18"/>
              </w:rPr>
            </w:pPr>
            <w:r w:rsidRPr="00DB482A">
              <w:rPr>
                <w:rFonts w:ascii="Times New Roman" w:hAnsi="Times New Roman" w:cs="Times New Roman"/>
                <w:color w:val="000000"/>
                <w:sz w:val="18"/>
                <w:szCs w:val="18"/>
              </w:rPr>
              <w:t>Memory for faces total score (MFFTS)</w:t>
            </w:r>
          </w:p>
        </w:tc>
        <w:tc>
          <w:tcPr>
            <w:tcW w:w="1657" w:type="dxa"/>
            <w:noWrap/>
            <w:vAlign w:val="bottom"/>
          </w:tcPr>
          <w:p w14:paraId="5BAAAA38" w14:textId="1C345740"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7.5 (2.8)</w:t>
            </w:r>
          </w:p>
        </w:tc>
        <w:tc>
          <w:tcPr>
            <w:tcW w:w="1520" w:type="dxa"/>
            <w:noWrap/>
          </w:tcPr>
          <w:p w14:paraId="3D510641" w14:textId="7DF4A6A6"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6869B245" w14:textId="7E6B1F04"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8.1 (2.7)</w:t>
            </w:r>
          </w:p>
        </w:tc>
      </w:tr>
      <w:tr w:rsidR="00DB482A" w14:paraId="3F196908" w14:textId="77777777" w:rsidTr="004E17D5">
        <w:trPr>
          <w:trHeight w:val="260"/>
        </w:trPr>
        <w:tc>
          <w:tcPr>
            <w:tcW w:w="4501" w:type="dxa"/>
            <w:noWrap/>
          </w:tcPr>
          <w:p w14:paraId="36C954F1" w14:textId="77777777" w:rsidR="00DB482A" w:rsidRPr="00DB482A" w:rsidRDefault="00DB482A" w:rsidP="00DB482A">
            <w:pPr>
              <w:ind w:left="314"/>
              <w:rPr>
                <w:rFonts w:ascii="Times New Roman" w:hAnsi="Times New Roman" w:cs="Times New Roman"/>
                <w:color w:val="000000"/>
                <w:sz w:val="18"/>
                <w:szCs w:val="18"/>
              </w:rPr>
            </w:pPr>
            <w:r w:rsidRPr="00DB482A">
              <w:rPr>
                <w:rFonts w:ascii="Times New Roman" w:hAnsi="Times New Roman" w:cs="Times New Roman"/>
                <w:color w:val="000000"/>
                <w:sz w:val="18"/>
                <w:szCs w:val="18"/>
              </w:rPr>
              <w:t>Memory for faces delayed total score (MFFDTS)</w:t>
            </w:r>
          </w:p>
        </w:tc>
        <w:tc>
          <w:tcPr>
            <w:tcW w:w="1657" w:type="dxa"/>
            <w:noWrap/>
            <w:vAlign w:val="bottom"/>
          </w:tcPr>
          <w:p w14:paraId="64CC82F5" w14:textId="6A1BE99C"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8.6 (2.9)</w:t>
            </w:r>
          </w:p>
        </w:tc>
        <w:tc>
          <w:tcPr>
            <w:tcW w:w="1520" w:type="dxa"/>
            <w:noWrap/>
          </w:tcPr>
          <w:p w14:paraId="14C8CFF1" w14:textId="747C4655"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76DE0958" w14:textId="66747619"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8.4 (2.8)</w:t>
            </w:r>
          </w:p>
        </w:tc>
      </w:tr>
      <w:tr w:rsidR="00DB482A" w14:paraId="7FCC3F69" w14:textId="77777777" w:rsidTr="004E17D5">
        <w:trPr>
          <w:trHeight w:val="260"/>
        </w:trPr>
        <w:tc>
          <w:tcPr>
            <w:tcW w:w="4501" w:type="dxa"/>
            <w:noWrap/>
          </w:tcPr>
          <w:p w14:paraId="4CDF3FAE" w14:textId="77777777" w:rsidR="00DB482A" w:rsidRPr="00DB482A" w:rsidRDefault="00DB482A" w:rsidP="00DB482A">
            <w:pPr>
              <w:rPr>
                <w:rFonts w:ascii="Times New Roman" w:hAnsi="Times New Roman" w:cs="Times New Roman"/>
                <w:color w:val="000000"/>
                <w:sz w:val="18"/>
                <w:szCs w:val="18"/>
              </w:rPr>
            </w:pPr>
            <w:r w:rsidRPr="00DB482A">
              <w:rPr>
                <w:rFonts w:ascii="Times New Roman" w:hAnsi="Times New Roman" w:cs="Times New Roman"/>
                <w:color w:val="000000"/>
                <w:sz w:val="18"/>
                <w:szCs w:val="18"/>
              </w:rPr>
              <w:t>Visuospatial Processing</w:t>
            </w:r>
          </w:p>
        </w:tc>
        <w:tc>
          <w:tcPr>
            <w:tcW w:w="1657" w:type="dxa"/>
            <w:noWrap/>
            <w:vAlign w:val="bottom"/>
          </w:tcPr>
          <w:p w14:paraId="2B9AE601" w14:textId="0ABC876E"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9.6 (3.0)</w:t>
            </w:r>
          </w:p>
        </w:tc>
        <w:tc>
          <w:tcPr>
            <w:tcW w:w="1520" w:type="dxa"/>
            <w:noWrap/>
          </w:tcPr>
          <w:p w14:paraId="70768E80" w14:textId="3481F8C2"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0F45B20C" w14:textId="7DF6D15A"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8.7 (2.3)</w:t>
            </w:r>
          </w:p>
        </w:tc>
      </w:tr>
      <w:tr w:rsidR="00DB482A" w14:paraId="5B2FBD95" w14:textId="77777777" w:rsidTr="004E17D5">
        <w:trPr>
          <w:trHeight w:val="260"/>
        </w:trPr>
        <w:tc>
          <w:tcPr>
            <w:tcW w:w="4501" w:type="dxa"/>
            <w:noWrap/>
          </w:tcPr>
          <w:p w14:paraId="59A9A32B" w14:textId="77777777" w:rsidR="00DB482A" w:rsidRPr="00DB482A" w:rsidRDefault="00DB482A" w:rsidP="00DB482A">
            <w:pPr>
              <w:ind w:firstLine="314"/>
              <w:rPr>
                <w:rFonts w:ascii="Times New Roman" w:hAnsi="Times New Roman" w:cs="Times New Roman"/>
                <w:color w:val="000000"/>
                <w:sz w:val="18"/>
                <w:szCs w:val="18"/>
              </w:rPr>
            </w:pPr>
            <w:r w:rsidRPr="00DB482A">
              <w:rPr>
                <w:rFonts w:ascii="Times New Roman" w:hAnsi="Times New Roman" w:cs="Times New Roman"/>
                <w:color w:val="000000"/>
                <w:sz w:val="18"/>
                <w:szCs w:val="18"/>
              </w:rPr>
              <w:t>Design copying process total score (DCGTS)</w:t>
            </w:r>
          </w:p>
        </w:tc>
        <w:tc>
          <w:tcPr>
            <w:tcW w:w="1657" w:type="dxa"/>
            <w:noWrap/>
            <w:vAlign w:val="bottom"/>
          </w:tcPr>
          <w:p w14:paraId="5BE5848F" w14:textId="6FCC1432"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10.6 (4.9)</w:t>
            </w:r>
          </w:p>
        </w:tc>
        <w:tc>
          <w:tcPr>
            <w:tcW w:w="1520" w:type="dxa"/>
            <w:noWrap/>
          </w:tcPr>
          <w:p w14:paraId="0F1B36EC" w14:textId="68AA8728"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2216AE77" w14:textId="487C9D0C"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9.5 (3.6)</w:t>
            </w:r>
          </w:p>
        </w:tc>
      </w:tr>
      <w:tr w:rsidR="00DB482A" w14:paraId="2EA482FA" w14:textId="77777777" w:rsidTr="004E17D5">
        <w:trPr>
          <w:trHeight w:val="260"/>
        </w:trPr>
        <w:tc>
          <w:tcPr>
            <w:tcW w:w="4501" w:type="dxa"/>
            <w:noWrap/>
          </w:tcPr>
          <w:p w14:paraId="5188D95D" w14:textId="77777777" w:rsidR="00DB482A" w:rsidRPr="00DB482A" w:rsidRDefault="00DB482A" w:rsidP="00DB482A">
            <w:pPr>
              <w:ind w:firstLine="314"/>
              <w:rPr>
                <w:rFonts w:ascii="Times New Roman" w:hAnsi="Times New Roman" w:cs="Times New Roman"/>
                <w:color w:val="000000"/>
                <w:sz w:val="18"/>
                <w:szCs w:val="18"/>
              </w:rPr>
            </w:pPr>
            <w:r w:rsidRPr="00DB482A">
              <w:rPr>
                <w:rFonts w:ascii="Times New Roman" w:hAnsi="Times New Roman" w:cs="Times New Roman"/>
                <w:color w:val="000000"/>
                <w:sz w:val="18"/>
                <w:szCs w:val="18"/>
              </w:rPr>
              <w:t>Geometric puzzles total score (GPTS)</w:t>
            </w:r>
          </w:p>
        </w:tc>
        <w:tc>
          <w:tcPr>
            <w:tcW w:w="1657" w:type="dxa"/>
            <w:noWrap/>
            <w:vAlign w:val="bottom"/>
          </w:tcPr>
          <w:p w14:paraId="0A07B5A1" w14:textId="29D37D4E"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8.6 (3.3)</w:t>
            </w:r>
          </w:p>
        </w:tc>
        <w:tc>
          <w:tcPr>
            <w:tcW w:w="1520" w:type="dxa"/>
            <w:noWrap/>
          </w:tcPr>
          <w:p w14:paraId="64CFAA18" w14:textId="0BC02C19"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NA</w:t>
            </w:r>
          </w:p>
        </w:tc>
        <w:tc>
          <w:tcPr>
            <w:tcW w:w="1672" w:type="dxa"/>
            <w:noWrap/>
            <w:vAlign w:val="bottom"/>
          </w:tcPr>
          <w:p w14:paraId="0DBD34F0" w14:textId="05B74705" w:rsidR="00DB482A" w:rsidRPr="00DB482A" w:rsidRDefault="00DB482A" w:rsidP="00DB482A">
            <w:pPr>
              <w:jc w:val="center"/>
              <w:rPr>
                <w:rFonts w:ascii="Times New Roman" w:hAnsi="Times New Roman" w:cs="Times New Roman"/>
                <w:color w:val="000000"/>
                <w:sz w:val="18"/>
                <w:szCs w:val="18"/>
              </w:rPr>
            </w:pPr>
            <w:r w:rsidRPr="00DB482A">
              <w:rPr>
                <w:rFonts w:ascii="Times New Roman" w:hAnsi="Times New Roman" w:cs="Times New Roman"/>
                <w:color w:val="000000"/>
                <w:sz w:val="18"/>
                <w:szCs w:val="18"/>
              </w:rPr>
              <w:t>7.8 (2.4)</w:t>
            </w:r>
          </w:p>
        </w:tc>
      </w:tr>
    </w:tbl>
    <w:p w14:paraId="452ABD75" w14:textId="77777777" w:rsidR="0054280C" w:rsidRDefault="00B71134">
      <w:pPr>
        <w:rPr>
          <w:color w:val="000000"/>
          <w:sz w:val="16"/>
          <w:szCs w:val="16"/>
        </w:rPr>
      </w:pPr>
      <w:r>
        <w:rPr>
          <w:color w:val="000000"/>
          <w:sz w:val="16"/>
          <w:szCs w:val="16"/>
        </w:rPr>
        <w:t xml:space="preserve">For NEPSY-II, </w:t>
      </w:r>
      <w:commentRangeStart w:id="92"/>
      <w:commentRangeStart w:id="93"/>
      <w:commentRangeStart w:id="94"/>
      <w:r>
        <w:rPr>
          <w:color w:val="000000"/>
          <w:sz w:val="16"/>
          <w:szCs w:val="16"/>
        </w:rPr>
        <w:t xml:space="preserve">scores have the following classification label. 13-19 is above expected, 8-12 is at expected, 6-7 is slightly below expected, 4-5 is below expected, and 1-3 is well below expected for each domain. </w:t>
      </w:r>
      <w:commentRangeEnd w:id="92"/>
      <w:commentRangeEnd w:id="93"/>
      <w:commentRangeEnd w:id="94"/>
      <w:r>
        <w:commentReference w:id="92"/>
      </w:r>
      <w:r>
        <w:commentReference w:id="93"/>
      </w:r>
      <w:r>
        <w:commentReference w:id="94"/>
      </w:r>
    </w:p>
    <w:p w14:paraId="1B157D35" w14:textId="77777777" w:rsidR="0054280C" w:rsidRDefault="0054280C">
      <w:pPr>
        <w:rPr>
          <w:color w:val="000000"/>
          <w:sz w:val="22"/>
          <w:szCs w:val="22"/>
        </w:rPr>
      </w:pPr>
    </w:p>
    <w:p w14:paraId="2271117A" w14:textId="77777777" w:rsidR="0054280C" w:rsidRDefault="0054280C">
      <w:pPr>
        <w:jc w:val="both"/>
        <w:rPr>
          <w:color w:val="000000"/>
          <w:sz w:val="22"/>
          <w:szCs w:val="22"/>
        </w:rPr>
      </w:pPr>
    </w:p>
    <w:p w14:paraId="66B84A23" w14:textId="77777777" w:rsidR="0054280C" w:rsidRDefault="00B71134">
      <w:pPr>
        <w:rPr>
          <w:b/>
          <w:bCs/>
          <w:color w:val="000000"/>
          <w:sz w:val="22"/>
          <w:szCs w:val="22"/>
        </w:rPr>
      </w:pPr>
      <w:r>
        <w:rPr>
          <w:b/>
          <w:bCs/>
          <w:color w:val="000000"/>
          <w:sz w:val="22"/>
          <w:szCs w:val="22"/>
        </w:rPr>
        <w:br w:type="page" w:clear="all"/>
      </w:r>
    </w:p>
    <w:p w14:paraId="4701123B" w14:textId="02F40155" w:rsidR="0054280C" w:rsidRPr="006D0CAA" w:rsidRDefault="00B71134">
      <w:pPr>
        <w:jc w:val="both"/>
        <w:rPr>
          <w:color w:val="000000"/>
          <w:sz w:val="18"/>
          <w:szCs w:val="18"/>
        </w:rPr>
      </w:pPr>
      <w:r w:rsidRPr="006D0CAA">
        <w:rPr>
          <w:b/>
          <w:bCs/>
          <w:color w:val="000000"/>
          <w:sz w:val="18"/>
          <w:szCs w:val="18"/>
        </w:rPr>
        <w:lastRenderedPageBreak/>
        <w:t>Table 3:</w:t>
      </w:r>
      <w:r w:rsidRPr="006D0CAA">
        <w:rPr>
          <w:color w:val="000000"/>
          <w:sz w:val="18"/>
          <w:szCs w:val="18"/>
        </w:rPr>
        <w:t xml:space="preserve"> Summary of covariates stratified by distance from residency to nearest plantation. Continuous variables have their mean (SD) reported, and categorical variables have their </w:t>
      </w:r>
      <w:r w:rsidR="002C079E" w:rsidRPr="006D0CAA">
        <w:rPr>
          <w:color w:val="000000"/>
          <w:sz w:val="18"/>
          <w:szCs w:val="18"/>
        </w:rPr>
        <w:t>count (%)</w:t>
      </w:r>
      <w:r w:rsidRPr="006D0CAA">
        <w:rPr>
          <w:color w:val="000000"/>
          <w:sz w:val="18"/>
          <w:szCs w:val="18"/>
        </w:rPr>
        <w:t xml:space="preserve"> reported. One-way </w:t>
      </w:r>
      <w:commentRangeStart w:id="95"/>
      <w:commentRangeStart w:id="96"/>
      <w:commentRangeStart w:id="97"/>
      <w:commentRangeStart w:id="98"/>
      <w:commentRangeStart w:id="99"/>
      <w:r w:rsidRPr="006D0CAA">
        <w:rPr>
          <w:color w:val="000000"/>
          <w:sz w:val="18"/>
          <w:szCs w:val="18"/>
        </w:rPr>
        <w:t>ANOVA tests and chi-squared goodness-of-fit tests</w:t>
      </w:r>
      <w:commentRangeEnd w:id="95"/>
      <w:commentRangeEnd w:id="96"/>
      <w:commentRangeEnd w:id="97"/>
      <w:r w:rsidRPr="006D0CAA">
        <w:rPr>
          <w:sz w:val="18"/>
          <w:szCs w:val="18"/>
        </w:rPr>
        <w:commentReference w:id="95"/>
      </w:r>
      <w:r w:rsidRPr="006D0CAA">
        <w:rPr>
          <w:sz w:val="18"/>
          <w:szCs w:val="18"/>
        </w:rPr>
        <w:commentReference w:id="96"/>
      </w:r>
      <w:r w:rsidRPr="006D0CAA">
        <w:rPr>
          <w:sz w:val="18"/>
          <w:szCs w:val="18"/>
        </w:rPr>
        <w:commentReference w:id="97"/>
      </w:r>
      <w:r w:rsidRPr="006D0CAA">
        <w:rPr>
          <w:color w:val="000000"/>
          <w:sz w:val="18"/>
          <w:szCs w:val="18"/>
        </w:rPr>
        <w:t xml:space="preserve"> and are used to calculate P-values for continuous and categorical variables respectively.</w:t>
      </w:r>
      <w:commentRangeEnd w:id="98"/>
      <w:commentRangeEnd w:id="99"/>
      <w:r w:rsidRPr="006D0CAA">
        <w:rPr>
          <w:sz w:val="18"/>
          <w:szCs w:val="18"/>
        </w:rPr>
        <w:commentReference w:id="98"/>
      </w:r>
      <w:r w:rsidRPr="006D0CAA">
        <w:rPr>
          <w:sz w:val="18"/>
          <w:szCs w:val="18"/>
        </w:rPr>
        <w:commentReference w:id="99"/>
      </w:r>
    </w:p>
    <w:p w14:paraId="27E210EC" w14:textId="77777777" w:rsidR="0054280C" w:rsidRDefault="0054280C">
      <w:pPr>
        <w:rPr>
          <w:color w:val="000000"/>
          <w:sz w:val="22"/>
          <w:szCs w:val="22"/>
        </w:rPr>
      </w:pPr>
    </w:p>
    <w:tbl>
      <w:tblPr>
        <w:tblStyle w:val="TableGrid"/>
        <w:tblW w:w="9625" w:type="dxa"/>
        <w:tblLook w:val="04A0" w:firstRow="1" w:lastRow="0" w:firstColumn="1" w:lastColumn="0" w:noHBand="0" w:noVBand="1"/>
      </w:tblPr>
      <w:tblGrid>
        <w:gridCol w:w="1938"/>
        <w:gridCol w:w="1297"/>
        <w:gridCol w:w="1440"/>
        <w:gridCol w:w="1350"/>
        <w:gridCol w:w="1350"/>
        <w:gridCol w:w="1350"/>
        <w:gridCol w:w="900"/>
      </w:tblGrid>
      <w:tr w:rsidR="0093094B" w14:paraId="3076037B" w14:textId="77777777" w:rsidTr="000F27F9">
        <w:tc>
          <w:tcPr>
            <w:tcW w:w="1938" w:type="dxa"/>
          </w:tcPr>
          <w:p w14:paraId="26B000C2" w14:textId="77777777" w:rsidR="0093094B" w:rsidRPr="003E0FC9" w:rsidRDefault="0093094B">
            <w:pPr>
              <w:jc w:val="center"/>
              <w:rPr>
                <w:rFonts w:ascii="Times New Roman" w:hAnsi="Times New Roman" w:cs="Times New Roman"/>
                <w:b/>
                <w:bCs/>
                <w:color w:val="000000"/>
                <w:sz w:val="18"/>
                <w:szCs w:val="18"/>
              </w:rPr>
            </w:pPr>
          </w:p>
        </w:tc>
        <w:tc>
          <w:tcPr>
            <w:tcW w:w="1297" w:type="dxa"/>
          </w:tcPr>
          <w:p w14:paraId="4919CFD8" w14:textId="77777777" w:rsidR="0093094B" w:rsidRPr="003E0FC9" w:rsidRDefault="0093094B">
            <w:pPr>
              <w:jc w:val="center"/>
              <w:rPr>
                <w:rFonts w:ascii="Times New Roman" w:hAnsi="Times New Roman" w:cs="Times New Roman"/>
                <w:b/>
                <w:bCs/>
                <w:color w:val="000000"/>
                <w:sz w:val="18"/>
                <w:szCs w:val="18"/>
              </w:rPr>
            </w:pPr>
          </w:p>
        </w:tc>
        <w:tc>
          <w:tcPr>
            <w:tcW w:w="5490" w:type="dxa"/>
            <w:gridSpan w:val="4"/>
          </w:tcPr>
          <w:p w14:paraId="1390B706" w14:textId="77777777" w:rsidR="0093094B" w:rsidRPr="003E0FC9" w:rsidRDefault="0093094B">
            <w:pPr>
              <w:jc w:val="center"/>
              <w:rPr>
                <w:rFonts w:ascii="Times New Roman" w:hAnsi="Times New Roman" w:cs="Times New Roman"/>
                <w:b/>
                <w:bCs/>
                <w:color w:val="000000"/>
                <w:sz w:val="18"/>
                <w:szCs w:val="18"/>
              </w:rPr>
            </w:pPr>
            <w:r w:rsidRPr="003E0FC9">
              <w:rPr>
                <w:rFonts w:ascii="Times New Roman" w:hAnsi="Times New Roman" w:cs="Times New Roman"/>
                <w:b/>
                <w:bCs/>
                <w:color w:val="000000"/>
                <w:sz w:val="18"/>
                <w:szCs w:val="18"/>
              </w:rPr>
              <w:t>Residential distance to the nearest crop</w:t>
            </w:r>
          </w:p>
        </w:tc>
        <w:tc>
          <w:tcPr>
            <w:tcW w:w="900" w:type="dxa"/>
          </w:tcPr>
          <w:p w14:paraId="31CA1435" w14:textId="77777777" w:rsidR="0093094B" w:rsidRPr="003E0FC9" w:rsidRDefault="0093094B">
            <w:pPr>
              <w:jc w:val="center"/>
              <w:rPr>
                <w:rFonts w:ascii="Times New Roman" w:hAnsi="Times New Roman" w:cs="Times New Roman"/>
                <w:b/>
                <w:bCs/>
                <w:color w:val="000000"/>
                <w:sz w:val="18"/>
                <w:szCs w:val="18"/>
              </w:rPr>
            </w:pPr>
          </w:p>
        </w:tc>
      </w:tr>
      <w:tr w:rsidR="0093094B" w14:paraId="6BD5D5E0" w14:textId="77777777" w:rsidTr="000F27F9">
        <w:tc>
          <w:tcPr>
            <w:tcW w:w="1938" w:type="dxa"/>
          </w:tcPr>
          <w:p w14:paraId="3A705170" w14:textId="77777777" w:rsidR="0093094B" w:rsidRPr="003E0FC9" w:rsidRDefault="0093094B">
            <w:pPr>
              <w:jc w:val="center"/>
              <w:rPr>
                <w:rFonts w:ascii="Times New Roman" w:hAnsi="Times New Roman" w:cs="Times New Roman"/>
                <w:b/>
                <w:bCs/>
                <w:color w:val="000000"/>
                <w:sz w:val="18"/>
                <w:szCs w:val="18"/>
              </w:rPr>
            </w:pPr>
            <w:r w:rsidRPr="003E0FC9">
              <w:rPr>
                <w:rFonts w:ascii="Times New Roman" w:hAnsi="Times New Roman" w:cs="Times New Roman"/>
                <w:b/>
                <w:bCs/>
                <w:color w:val="000000"/>
                <w:sz w:val="18"/>
                <w:szCs w:val="18"/>
              </w:rPr>
              <w:t>Variable</w:t>
            </w:r>
          </w:p>
        </w:tc>
        <w:tc>
          <w:tcPr>
            <w:tcW w:w="1297" w:type="dxa"/>
          </w:tcPr>
          <w:p w14:paraId="01F101AB" w14:textId="77777777" w:rsidR="0093094B" w:rsidRPr="003E0FC9" w:rsidRDefault="0093094B">
            <w:pPr>
              <w:jc w:val="center"/>
              <w:rPr>
                <w:rFonts w:ascii="Times New Roman" w:hAnsi="Times New Roman" w:cs="Times New Roman"/>
                <w:b/>
                <w:bCs/>
                <w:color w:val="000000"/>
                <w:sz w:val="18"/>
                <w:szCs w:val="18"/>
              </w:rPr>
            </w:pPr>
            <w:r w:rsidRPr="003E0FC9">
              <w:rPr>
                <w:rFonts w:ascii="Times New Roman" w:hAnsi="Times New Roman" w:cs="Times New Roman"/>
                <w:b/>
                <w:bCs/>
                <w:color w:val="000000"/>
                <w:sz w:val="18"/>
                <w:szCs w:val="18"/>
              </w:rPr>
              <w:t>Visit Time</w:t>
            </w:r>
          </w:p>
        </w:tc>
        <w:tc>
          <w:tcPr>
            <w:tcW w:w="1440" w:type="dxa"/>
          </w:tcPr>
          <w:p w14:paraId="5C66E319" w14:textId="77777777" w:rsidR="0093094B" w:rsidRPr="003E0FC9" w:rsidRDefault="0093094B">
            <w:pPr>
              <w:jc w:val="center"/>
              <w:rPr>
                <w:rFonts w:ascii="Times New Roman" w:hAnsi="Times New Roman" w:cs="Times New Roman"/>
                <w:b/>
                <w:bCs/>
                <w:color w:val="000000"/>
                <w:sz w:val="18"/>
                <w:szCs w:val="18"/>
              </w:rPr>
            </w:pPr>
            <w:r w:rsidRPr="003E0FC9">
              <w:rPr>
                <w:rFonts w:ascii="Times New Roman" w:hAnsi="Times New Roman" w:cs="Times New Roman"/>
                <w:b/>
                <w:bCs/>
                <w:color w:val="000000"/>
                <w:sz w:val="18"/>
                <w:szCs w:val="18"/>
              </w:rPr>
              <w:t>1</w:t>
            </w:r>
            <w:r w:rsidRPr="003E0FC9">
              <w:rPr>
                <w:rFonts w:ascii="Times New Roman" w:hAnsi="Times New Roman" w:cs="Times New Roman"/>
                <w:b/>
                <w:bCs/>
                <w:color w:val="000000"/>
                <w:sz w:val="18"/>
                <w:szCs w:val="18"/>
                <w:vertAlign w:val="superscript"/>
              </w:rPr>
              <w:t>st</w:t>
            </w:r>
            <w:r w:rsidRPr="003E0FC9">
              <w:rPr>
                <w:rFonts w:ascii="Times New Roman" w:hAnsi="Times New Roman" w:cs="Times New Roman"/>
                <w:b/>
                <w:bCs/>
                <w:color w:val="000000"/>
                <w:sz w:val="18"/>
                <w:szCs w:val="18"/>
              </w:rPr>
              <w:t xml:space="preserve"> quartile</w:t>
            </w:r>
          </w:p>
        </w:tc>
        <w:tc>
          <w:tcPr>
            <w:tcW w:w="1350" w:type="dxa"/>
          </w:tcPr>
          <w:p w14:paraId="722322BA" w14:textId="77777777" w:rsidR="0093094B" w:rsidRPr="003E0FC9" w:rsidRDefault="0093094B">
            <w:pPr>
              <w:jc w:val="center"/>
              <w:rPr>
                <w:rFonts w:ascii="Times New Roman" w:hAnsi="Times New Roman" w:cs="Times New Roman"/>
                <w:b/>
                <w:bCs/>
                <w:color w:val="000000"/>
                <w:sz w:val="18"/>
                <w:szCs w:val="18"/>
              </w:rPr>
            </w:pPr>
            <w:r w:rsidRPr="003E0FC9">
              <w:rPr>
                <w:rFonts w:ascii="Times New Roman" w:hAnsi="Times New Roman" w:cs="Times New Roman"/>
                <w:b/>
                <w:bCs/>
                <w:color w:val="000000"/>
                <w:sz w:val="18"/>
                <w:szCs w:val="18"/>
              </w:rPr>
              <w:t>2</w:t>
            </w:r>
            <w:r w:rsidRPr="003E0FC9">
              <w:rPr>
                <w:rFonts w:ascii="Times New Roman" w:hAnsi="Times New Roman" w:cs="Times New Roman"/>
                <w:b/>
                <w:bCs/>
                <w:color w:val="000000"/>
                <w:sz w:val="18"/>
                <w:szCs w:val="18"/>
                <w:vertAlign w:val="superscript"/>
              </w:rPr>
              <w:t>nd</w:t>
            </w:r>
            <w:r w:rsidRPr="003E0FC9">
              <w:rPr>
                <w:rFonts w:ascii="Times New Roman" w:hAnsi="Times New Roman" w:cs="Times New Roman"/>
                <w:b/>
                <w:bCs/>
                <w:color w:val="000000"/>
                <w:sz w:val="18"/>
                <w:szCs w:val="18"/>
              </w:rPr>
              <w:t xml:space="preserve"> quartile</w:t>
            </w:r>
          </w:p>
        </w:tc>
        <w:tc>
          <w:tcPr>
            <w:tcW w:w="1350" w:type="dxa"/>
          </w:tcPr>
          <w:p w14:paraId="48F821F2" w14:textId="77777777" w:rsidR="0093094B" w:rsidRPr="003E0FC9" w:rsidRDefault="0093094B">
            <w:pPr>
              <w:jc w:val="center"/>
              <w:rPr>
                <w:rFonts w:ascii="Times New Roman" w:hAnsi="Times New Roman" w:cs="Times New Roman"/>
                <w:b/>
                <w:bCs/>
                <w:color w:val="000000"/>
                <w:sz w:val="18"/>
                <w:szCs w:val="18"/>
              </w:rPr>
            </w:pPr>
            <w:r w:rsidRPr="003E0FC9">
              <w:rPr>
                <w:rFonts w:ascii="Times New Roman" w:hAnsi="Times New Roman" w:cs="Times New Roman"/>
                <w:b/>
                <w:bCs/>
                <w:color w:val="000000"/>
                <w:sz w:val="18"/>
                <w:szCs w:val="18"/>
              </w:rPr>
              <w:t>3</w:t>
            </w:r>
            <w:r w:rsidRPr="003E0FC9">
              <w:rPr>
                <w:rFonts w:ascii="Times New Roman" w:hAnsi="Times New Roman" w:cs="Times New Roman"/>
                <w:b/>
                <w:bCs/>
                <w:color w:val="000000"/>
                <w:sz w:val="18"/>
                <w:szCs w:val="18"/>
                <w:vertAlign w:val="superscript"/>
              </w:rPr>
              <w:t>rd</w:t>
            </w:r>
            <w:r w:rsidRPr="003E0FC9">
              <w:rPr>
                <w:rFonts w:ascii="Times New Roman" w:hAnsi="Times New Roman" w:cs="Times New Roman"/>
                <w:b/>
                <w:bCs/>
                <w:color w:val="000000"/>
                <w:sz w:val="18"/>
                <w:szCs w:val="18"/>
              </w:rPr>
              <w:t xml:space="preserve"> quartile</w:t>
            </w:r>
          </w:p>
        </w:tc>
        <w:tc>
          <w:tcPr>
            <w:tcW w:w="1350" w:type="dxa"/>
          </w:tcPr>
          <w:p w14:paraId="723B1BCD" w14:textId="77777777" w:rsidR="0093094B" w:rsidRPr="003E0FC9" w:rsidRDefault="0093094B">
            <w:pPr>
              <w:jc w:val="center"/>
              <w:rPr>
                <w:rFonts w:ascii="Times New Roman" w:hAnsi="Times New Roman" w:cs="Times New Roman"/>
                <w:b/>
                <w:bCs/>
                <w:color w:val="000000"/>
                <w:sz w:val="18"/>
                <w:szCs w:val="18"/>
              </w:rPr>
            </w:pPr>
            <w:r w:rsidRPr="003E0FC9">
              <w:rPr>
                <w:rFonts w:ascii="Times New Roman" w:hAnsi="Times New Roman" w:cs="Times New Roman"/>
                <w:b/>
                <w:bCs/>
                <w:color w:val="000000"/>
                <w:sz w:val="18"/>
                <w:szCs w:val="18"/>
              </w:rPr>
              <w:t>4</w:t>
            </w:r>
            <w:r w:rsidRPr="003E0FC9">
              <w:rPr>
                <w:rFonts w:ascii="Times New Roman" w:hAnsi="Times New Roman" w:cs="Times New Roman"/>
                <w:b/>
                <w:bCs/>
                <w:color w:val="000000"/>
                <w:sz w:val="18"/>
                <w:szCs w:val="18"/>
                <w:vertAlign w:val="superscript"/>
              </w:rPr>
              <w:t>th</w:t>
            </w:r>
            <w:r w:rsidRPr="003E0FC9">
              <w:rPr>
                <w:rFonts w:ascii="Times New Roman" w:hAnsi="Times New Roman" w:cs="Times New Roman"/>
                <w:b/>
                <w:bCs/>
                <w:color w:val="000000"/>
                <w:sz w:val="18"/>
                <w:szCs w:val="18"/>
              </w:rPr>
              <w:t xml:space="preserve"> quartile</w:t>
            </w:r>
          </w:p>
        </w:tc>
        <w:tc>
          <w:tcPr>
            <w:tcW w:w="900" w:type="dxa"/>
          </w:tcPr>
          <w:p w14:paraId="60A66DF9" w14:textId="4312EC5D" w:rsidR="0093094B" w:rsidRPr="003E0FC9" w:rsidRDefault="0093094B">
            <w:pPr>
              <w:jc w:val="center"/>
              <w:rPr>
                <w:rFonts w:ascii="Times New Roman" w:hAnsi="Times New Roman" w:cs="Times New Roman"/>
                <w:b/>
                <w:bCs/>
                <w:color w:val="000000"/>
                <w:sz w:val="18"/>
                <w:szCs w:val="18"/>
              </w:rPr>
            </w:pPr>
            <w:r>
              <w:rPr>
                <w:rFonts w:ascii="Times New Roman" w:hAnsi="Times New Roman" w:cs="Times New Roman"/>
                <w:b/>
                <w:bCs/>
                <w:color w:val="000000"/>
                <w:sz w:val="18"/>
                <w:szCs w:val="18"/>
              </w:rPr>
              <w:t>p</w:t>
            </w:r>
            <w:r w:rsidRPr="003E0FC9">
              <w:rPr>
                <w:rFonts w:ascii="Times New Roman" w:hAnsi="Times New Roman" w:cs="Times New Roman"/>
                <w:b/>
                <w:bCs/>
                <w:color w:val="000000"/>
                <w:sz w:val="18"/>
                <w:szCs w:val="18"/>
              </w:rPr>
              <w:t>-value</w:t>
            </w:r>
          </w:p>
        </w:tc>
      </w:tr>
      <w:tr w:rsidR="00EE402C" w14:paraId="5DC54088" w14:textId="77777777" w:rsidTr="000F27F9">
        <w:tc>
          <w:tcPr>
            <w:tcW w:w="1938" w:type="dxa"/>
            <w:vMerge w:val="restart"/>
            <w:vAlign w:val="center"/>
          </w:tcPr>
          <w:p w14:paraId="057AEC36" w14:textId="77777777" w:rsidR="00EE402C" w:rsidRPr="003E0FC9" w:rsidRDefault="00EE402C" w:rsidP="00EE402C">
            <w:pPr>
              <w:jc w:val="center"/>
              <w:rPr>
                <w:rFonts w:ascii="Times New Roman" w:hAnsi="Times New Roman" w:cs="Times New Roman"/>
                <w:color w:val="000000"/>
                <w:sz w:val="18"/>
                <w:szCs w:val="18"/>
              </w:rPr>
            </w:pPr>
            <w:r w:rsidRPr="003E0FC9">
              <w:rPr>
                <w:rFonts w:ascii="Times New Roman" w:hAnsi="Times New Roman" w:cs="Times New Roman"/>
                <w:color w:val="000000"/>
                <w:sz w:val="18"/>
                <w:szCs w:val="18"/>
              </w:rPr>
              <w:t>Age, years, mean (SD)</w:t>
            </w:r>
          </w:p>
        </w:tc>
        <w:tc>
          <w:tcPr>
            <w:tcW w:w="1297" w:type="dxa"/>
          </w:tcPr>
          <w:p w14:paraId="57C49494"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2008</w:t>
            </w:r>
          </w:p>
        </w:tc>
        <w:tc>
          <w:tcPr>
            <w:tcW w:w="1440" w:type="dxa"/>
            <w:vAlign w:val="bottom"/>
          </w:tcPr>
          <w:p w14:paraId="2349CB0A" w14:textId="7516D0CD"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6.62 (1.61)</w:t>
            </w:r>
          </w:p>
        </w:tc>
        <w:tc>
          <w:tcPr>
            <w:tcW w:w="1350" w:type="dxa"/>
            <w:vAlign w:val="bottom"/>
          </w:tcPr>
          <w:p w14:paraId="60FF0391" w14:textId="6C003B8B"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6.44 (1.44)</w:t>
            </w:r>
          </w:p>
        </w:tc>
        <w:tc>
          <w:tcPr>
            <w:tcW w:w="1350" w:type="dxa"/>
            <w:vAlign w:val="bottom"/>
          </w:tcPr>
          <w:p w14:paraId="3238AFB6" w14:textId="7631780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6.98 (1.64)</w:t>
            </w:r>
          </w:p>
        </w:tc>
        <w:tc>
          <w:tcPr>
            <w:tcW w:w="1350" w:type="dxa"/>
            <w:vAlign w:val="bottom"/>
          </w:tcPr>
          <w:p w14:paraId="43B9B162" w14:textId="512FC9D7"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6.41 (1.61)</w:t>
            </w:r>
          </w:p>
        </w:tc>
        <w:tc>
          <w:tcPr>
            <w:tcW w:w="900" w:type="dxa"/>
            <w:vAlign w:val="bottom"/>
          </w:tcPr>
          <w:p w14:paraId="45D6D564" w14:textId="2892ACFE"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0.625</w:t>
            </w:r>
          </w:p>
        </w:tc>
      </w:tr>
      <w:tr w:rsidR="00EE402C" w14:paraId="5AC12468" w14:textId="77777777" w:rsidTr="000F27F9">
        <w:tc>
          <w:tcPr>
            <w:tcW w:w="1938" w:type="dxa"/>
            <w:vMerge/>
            <w:vAlign w:val="center"/>
          </w:tcPr>
          <w:p w14:paraId="73498E20"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67DE50F7"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Spring 2016</w:t>
            </w:r>
          </w:p>
        </w:tc>
        <w:tc>
          <w:tcPr>
            <w:tcW w:w="1440" w:type="dxa"/>
            <w:vAlign w:val="bottom"/>
          </w:tcPr>
          <w:p w14:paraId="46F78EAB" w14:textId="009FB8AC"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14.27 (1.82)</w:t>
            </w:r>
          </w:p>
        </w:tc>
        <w:tc>
          <w:tcPr>
            <w:tcW w:w="1350" w:type="dxa"/>
            <w:vAlign w:val="bottom"/>
          </w:tcPr>
          <w:p w14:paraId="22291AE7" w14:textId="5E193F4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14.17 (1.91)</w:t>
            </w:r>
          </w:p>
        </w:tc>
        <w:tc>
          <w:tcPr>
            <w:tcW w:w="1350" w:type="dxa"/>
            <w:vAlign w:val="bottom"/>
          </w:tcPr>
          <w:p w14:paraId="1DF9CF29" w14:textId="6FAA6C72"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14.32 (1.83)</w:t>
            </w:r>
          </w:p>
        </w:tc>
        <w:tc>
          <w:tcPr>
            <w:tcW w:w="1350" w:type="dxa"/>
            <w:vAlign w:val="bottom"/>
          </w:tcPr>
          <w:p w14:paraId="138D1710" w14:textId="7AFAD75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14.15 (1.80)</w:t>
            </w:r>
          </w:p>
        </w:tc>
        <w:tc>
          <w:tcPr>
            <w:tcW w:w="900" w:type="dxa"/>
            <w:vAlign w:val="bottom"/>
          </w:tcPr>
          <w:p w14:paraId="26BA7903" w14:textId="742FE9CC"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0.842</w:t>
            </w:r>
          </w:p>
        </w:tc>
      </w:tr>
      <w:tr w:rsidR="00EE402C" w14:paraId="479650D3" w14:textId="77777777" w:rsidTr="000F27F9">
        <w:tc>
          <w:tcPr>
            <w:tcW w:w="1938" w:type="dxa"/>
            <w:vMerge/>
            <w:vAlign w:val="center"/>
          </w:tcPr>
          <w:p w14:paraId="3E9E8C16"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63710DD1"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2016</w:t>
            </w:r>
          </w:p>
        </w:tc>
        <w:tc>
          <w:tcPr>
            <w:tcW w:w="1440" w:type="dxa"/>
            <w:vAlign w:val="bottom"/>
          </w:tcPr>
          <w:p w14:paraId="4AD66C9E" w14:textId="5DA6D2FD"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14.18 (1.84)</w:t>
            </w:r>
          </w:p>
        </w:tc>
        <w:tc>
          <w:tcPr>
            <w:tcW w:w="1350" w:type="dxa"/>
            <w:vAlign w:val="bottom"/>
          </w:tcPr>
          <w:p w14:paraId="1F11CD35" w14:textId="660CBF5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14.54 (1.74)</w:t>
            </w:r>
          </w:p>
        </w:tc>
        <w:tc>
          <w:tcPr>
            <w:tcW w:w="1350" w:type="dxa"/>
            <w:vAlign w:val="bottom"/>
          </w:tcPr>
          <w:p w14:paraId="08FA32A3" w14:textId="6561DB1D"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14.52 (1.81)</w:t>
            </w:r>
          </w:p>
        </w:tc>
        <w:tc>
          <w:tcPr>
            <w:tcW w:w="1350" w:type="dxa"/>
            <w:vAlign w:val="bottom"/>
          </w:tcPr>
          <w:p w14:paraId="01755C87" w14:textId="3E412F6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14.57 (1.65)</w:t>
            </w:r>
          </w:p>
        </w:tc>
        <w:tc>
          <w:tcPr>
            <w:tcW w:w="900" w:type="dxa"/>
            <w:vAlign w:val="bottom"/>
          </w:tcPr>
          <w:p w14:paraId="0E6B5B32" w14:textId="3CB777BF"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0.098</w:t>
            </w:r>
          </w:p>
        </w:tc>
      </w:tr>
      <w:tr w:rsidR="00EE402C" w14:paraId="6590D939" w14:textId="77777777" w:rsidTr="000F27F9">
        <w:tc>
          <w:tcPr>
            <w:tcW w:w="1938" w:type="dxa"/>
            <w:vMerge w:val="restart"/>
            <w:vAlign w:val="center"/>
          </w:tcPr>
          <w:p w14:paraId="6CA794D1" w14:textId="7B34AEAF" w:rsidR="00EE402C" w:rsidRPr="003E0FC9" w:rsidRDefault="00EE402C" w:rsidP="00EE402C">
            <w:pPr>
              <w:jc w:val="center"/>
              <w:rPr>
                <w:rFonts w:ascii="Times New Roman" w:hAnsi="Times New Roman" w:cs="Times New Roman"/>
                <w:color w:val="000000"/>
                <w:sz w:val="18"/>
                <w:szCs w:val="18"/>
              </w:rPr>
            </w:pPr>
            <w:r w:rsidRPr="003E0FC9">
              <w:rPr>
                <w:rFonts w:ascii="Times New Roman" w:hAnsi="Times New Roman" w:cs="Times New Roman"/>
                <w:color w:val="000000"/>
                <w:sz w:val="18"/>
                <w:szCs w:val="18"/>
              </w:rPr>
              <w:t xml:space="preserve">Race, Indigenous, </w:t>
            </w:r>
            <w:r w:rsidR="00732B67">
              <w:rPr>
                <w:rFonts w:ascii="Times New Roman" w:hAnsi="Times New Roman" w:cs="Times New Roman"/>
                <w:color w:val="000000"/>
                <w:sz w:val="18"/>
                <w:szCs w:val="18"/>
              </w:rPr>
              <w:t>N (%)</w:t>
            </w:r>
          </w:p>
        </w:tc>
        <w:tc>
          <w:tcPr>
            <w:tcW w:w="1297" w:type="dxa"/>
          </w:tcPr>
          <w:p w14:paraId="7404F621"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2008</w:t>
            </w:r>
          </w:p>
        </w:tc>
        <w:tc>
          <w:tcPr>
            <w:tcW w:w="1440" w:type="dxa"/>
            <w:vAlign w:val="bottom"/>
          </w:tcPr>
          <w:p w14:paraId="6755AA8B" w14:textId="0A121A97"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21 (28.77)</w:t>
            </w:r>
          </w:p>
        </w:tc>
        <w:tc>
          <w:tcPr>
            <w:tcW w:w="1350" w:type="dxa"/>
            <w:vAlign w:val="bottom"/>
          </w:tcPr>
          <w:p w14:paraId="5C7C8B9C" w14:textId="602E83CB"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18 (25.00)</w:t>
            </w:r>
          </w:p>
        </w:tc>
        <w:tc>
          <w:tcPr>
            <w:tcW w:w="1350" w:type="dxa"/>
            <w:vAlign w:val="bottom"/>
          </w:tcPr>
          <w:p w14:paraId="3104B5D7" w14:textId="7E60B7A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13 (18.06)</w:t>
            </w:r>
          </w:p>
        </w:tc>
        <w:tc>
          <w:tcPr>
            <w:tcW w:w="1350" w:type="dxa"/>
            <w:vAlign w:val="bottom"/>
          </w:tcPr>
          <w:p w14:paraId="1CC0CE9A" w14:textId="38E9BB2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13 (17.81)</w:t>
            </w:r>
          </w:p>
        </w:tc>
        <w:tc>
          <w:tcPr>
            <w:tcW w:w="900" w:type="dxa"/>
            <w:vAlign w:val="bottom"/>
          </w:tcPr>
          <w:p w14:paraId="2BC2A717" w14:textId="01EC69CC"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0.072</w:t>
            </w:r>
          </w:p>
        </w:tc>
      </w:tr>
      <w:tr w:rsidR="00EE402C" w14:paraId="1FCBCEC1" w14:textId="77777777" w:rsidTr="000F27F9">
        <w:tc>
          <w:tcPr>
            <w:tcW w:w="1938" w:type="dxa"/>
            <w:vMerge/>
            <w:vAlign w:val="center"/>
          </w:tcPr>
          <w:p w14:paraId="00EA3E92"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356F18DE"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Spring 2016</w:t>
            </w:r>
          </w:p>
        </w:tc>
        <w:tc>
          <w:tcPr>
            <w:tcW w:w="1440" w:type="dxa"/>
            <w:vAlign w:val="bottom"/>
          </w:tcPr>
          <w:p w14:paraId="3312C463" w14:textId="4A6D807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11 (13.92)</w:t>
            </w:r>
          </w:p>
        </w:tc>
        <w:tc>
          <w:tcPr>
            <w:tcW w:w="1350" w:type="dxa"/>
            <w:vAlign w:val="bottom"/>
          </w:tcPr>
          <w:p w14:paraId="7204C7EE" w14:textId="40512E52"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27 (33.33)</w:t>
            </w:r>
          </w:p>
        </w:tc>
        <w:tc>
          <w:tcPr>
            <w:tcW w:w="1350" w:type="dxa"/>
            <w:vAlign w:val="bottom"/>
          </w:tcPr>
          <w:p w14:paraId="3C76EE9F" w14:textId="6EBBAC34"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13 (16.25)</w:t>
            </w:r>
          </w:p>
        </w:tc>
        <w:tc>
          <w:tcPr>
            <w:tcW w:w="1350" w:type="dxa"/>
            <w:vAlign w:val="bottom"/>
          </w:tcPr>
          <w:p w14:paraId="39AD18A9" w14:textId="565C0BFC"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26 (32.50)</w:t>
            </w:r>
          </w:p>
        </w:tc>
        <w:tc>
          <w:tcPr>
            <w:tcW w:w="900" w:type="dxa"/>
            <w:vAlign w:val="bottom"/>
          </w:tcPr>
          <w:p w14:paraId="4097EF80" w14:textId="4912EDCE"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0.005</w:t>
            </w:r>
            <w:r w:rsidR="00732B67">
              <w:rPr>
                <w:rFonts w:ascii="Times New Roman" w:hAnsi="Times New Roman" w:cs="Times New Roman"/>
                <w:color w:val="000000"/>
                <w:sz w:val="18"/>
                <w:szCs w:val="18"/>
              </w:rPr>
              <w:t>*</w:t>
            </w:r>
          </w:p>
        </w:tc>
      </w:tr>
      <w:tr w:rsidR="00EE402C" w14:paraId="0D95CD9B" w14:textId="77777777" w:rsidTr="000F27F9">
        <w:tc>
          <w:tcPr>
            <w:tcW w:w="1938" w:type="dxa"/>
            <w:vMerge/>
            <w:vAlign w:val="center"/>
          </w:tcPr>
          <w:p w14:paraId="68C78000"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4886818D"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2016</w:t>
            </w:r>
          </w:p>
        </w:tc>
        <w:tc>
          <w:tcPr>
            <w:tcW w:w="1440" w:type="dxa"/>
            <w:vAlign w:val="bottom"/>
          </w:tcPr>
          <w:p w14:paraId="7FD50BBB" w14:textId="7C3B0D5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13 (9.92)</w:t>
            </w:r>
          </w:p>
        </w:tc>
        <w:tc>
          <w:tcPr>
            <w:tcW w:w="1350" w:type="dxa"/>
            <w:vAlign w:val="bottom"/>
          </w:tcPr>
          <w:p w14:paraId="2B300058" w14:textId="2FDA8A3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32 (24.62)</w:t>
            </w:r>
          </w:p>
        </w:tc>
        <w:tc>
          <w:tcPr>
            <w:tcW w:w="1350" w:type="dxa"/>
            <w:vAlign w:val="bottom"/>
          </w:tcPr>
          <w:p w14:paraId="6B89E9BC" w14:textId="67F0B22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26 (19.85)</w:t>
            </w:r>
          </w:p>
        </w:tc>
        <w:tc>
          <w:tcPr>
            <w:tcW w:w="1350" w:type="dxa"/>
            <w:vAlign w:val="bottom"/>
          </w:tcPr>
          <w:p w14:paraId="24D8D339" w14:textId="2CC1960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43 (32.82)</w:t>
            </w:r>
          </w:p>
        </w:tc>
        <w:tc>
          <w:tcPr>
            <w:tcW w:w="900" w:type="dxa"/>
            <w:vAlign w:val="bottom"/>
          </w:tcPr>
          <w:p w14:paraId="2D2C0A59" w14:textId="0AC8813E" w:rsidR="00EE402C" w:rsidRPr="00732B67" w:rsidRDefault="00732B67" w:rsidP="00EE402C">
            <w:pPr>
              <w:rPr>
                <w:rFonts w:ascii="Times New Roman" w:hAnsi="Times New Roman" w:cs="Times New Roman"/>
                <w:color w:val="000000"/>
                <w:sz w:val="18"/>
                <w:szCs w:val="18"/>
              </w:rPr>
            </w:pPr>
            <w:r>
              <w:rPr>
                <w:rFonts w:ascii="Times New Roman" w:hAnsi="Times New Roman" w:cs="Times New Roman"/>
                <w:color w:val="000000"/>
                <w:sz w:val="18"/>
                <w:szCs w:val="18"/>
              </w:rPr>
              <w:t>&lt;0.001</w:t>
            </w:r>
          </w:p>
        </w:tc>
      </w:tr>
      <w:tr w:rsidR="00EE402C" w14:paraId="69ABA666" w14:textId="77777777" w:rsidTr="000F27F9">
        <w:tc>
          <w:tcPr>
            <w:tcW w:w="1938" w:type="dxa"/>
            <w:vMerge w:val="restart"/>
            <w:vAlign w:val="center"/>
          </w:tcPr>
          <w:p w14:paraId="46FD5B8C" w14:textId="7C5BC06C" w:rsidR="00EE402C" w:rsidRPr="003E0FC9" w:rsidRDefault="00EE402C" w:rsidP="00EE402C">
            <w:pPr>
              <w:jc w:val="center"/>
              <w:rPr>
                <w:rFonts w:ascii="Times New Roman" w:hAnsi="Times New Roman" w:cs="Times New Roman"/>
                <w:color w:val="000000"/>
                <w:sz w:val="18"/>
                <w:szCs w:val="18"/>
              </w:rPr>
            </w:pPr>
            <w:r w:rsidRPr="003E0FC9">
              <w:rPr>
                <w:rFonts w:ascii="Times New Roman" w:hAnsi="Times New Roman" w:cs="Times New Roman"/>
                <w:color w:val="000000"/>
                <w:sz w:val="18"/>
                <w:szCs w:val="18"/>
              </w:rPr>
              <w:t xml:space="preserve">Sex, female, </w:t>
            </w:r>
            <w:r w:rsidR="00732B67">
              <w:rPr>
                <w:rFonts w:ascii="Times New Roman" w:hAnsi="Times New Roman" w:cs="Times New Roman"/>
                <w:color w:val="000000"/>
                <w:sz w:val="18"/>
                <w:szCs w:val="18"/>
              </w:rPr>
              <w:t>N (%)</w:t>
            </w:r>
          </w:p>
        </w:tc>
        <w:tc>
          <w:tcPr>
            <w:tcW w:w="1297" w:type="dxa"/>
          </w:tcPr>
          <w:p w14:paraId="00ADD218"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2008</w:t>
            </w:r>
          </w:p>
        </w:tc>
        <w:tc>
          <w:tcPr>
            <w:tcW w:w="1440" w:type="dxa"/>
            <w:vAlign w:val="bottom"/>
          </w:tcPr>
          <w:p w14:paraId="6661471C" w14:textId="3D34C171"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35 (47.95)</w:t>
            </w:r>
          </w:p>
        </w:tc>
        <w:tc>
          <w:tcPr>
            <w:tcW w:w="1350" w:type="dxa"/>
            <w:vAlign w:val="bottom"/>
          </w:tcPr>
          <w:p w14:paraId="3CF1F1F3" w14:textId="5F9F18C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33 (45.83)</w:t>
            </w:r>
          </w:p>
        </w:tc>
        <w:tc>
          <w:tcPr>
            <w:tcW w:w="1350" w:type="dxa"/>
            <w:vAlign w:val="bottom"/>
          </w:tcPr>
          <w:p w14:paraId="28DBC14F" w14:textId="1969976A"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37 (51.39)</w:t>
            </w:r>
          </w:p>
        </w:tc>
        <w:tc>
          <w:tcPr>
            <w:tcW w:w="1350" w:type="dxa"/>
            <w:vAlign w:val="bottom"/>
          </w:tcPr>
          <w:p w14:paraId="1193B8DC" w14:textId="47A75C1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37 (50.68)</w:t>
            </w:r>
          </w:p>
        </w:tc>
        <w:tc>
          <w:tcPr>
            <w:tcW w:w="900" w:type="dxa"/>
            <w:vAlign w:val="bottom"/>
          </w:tcPr>
          <w:p w14:paraId="6B279C7F" w14:textId="555E0801"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0.259</w:t>
            </w:r>
          </w:p>
        </w:tc>
      </w:tr>
      <w:tr w:rsidR="00EE402C" w14:paraId="24B06088" w14:textId="77777777" w:rsidTr="000F27F9">
        <w:tc>
          <w:tcPr>
            <w:tcW w:w="1938" w:type="dxa"/>
            <w:vMerge/>
            <w:vAlign w:val="center"/>
          </w:tcPr>
          <w:p w14:paraId="791B9767"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328C5064"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Spring 2016</w:t>
            </w:r>
          </w:p>
        </w:tc>
        <w:tc>
          <w:tcPr>
            <w:tcW w:w="1440" w:type="dxa"/>
            <w:vAlign w:val="bottom"/>
          </w:tcPr>
          <w:p w14:paraId="0BE1604C" w14:textId="48BA96DB"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41 (51.90)</w:t>
            </w:r>
          </w:p>
        </w:tc>
        <w:tc>
          <w:tcPr>
            <w:tcW w:w="1350" w:type="dxa"/>
            <w:vAlign w:val="bottom"/>
          </w:tcPr>
          <w:p w14:paraId="60380851" w14:textId="05089A1D"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39 (48.15)</w:t>
            </w:r>
          </w:p>
        </w:tc>
        <w:tc>
          <w:tcPr>
            <w:tcW w:w="1350" w:type="dxa"/>
            <w:vAlign w:val="bottom"/>
          </w:tcPr>
          <w:p w14:paraId="60A3FAEB" w14:textId="2AE9D13B"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43 (53.75)</w:t>
            </w:r>
          </w:p>
        </w:tc>
        <w:tc>
          <w:tcPr>
            <w:tcW w:w="1350" w:type="dxa"/>
            <w:vAlign w:val="bottom"/>
          </w:tcPr>
          <w:p w14:paraId="0DDDEE01" w14:textId="6671DF8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36 (45.00)</w:t>
            </w:r>
          </w:p>
        </w:tc>
        <w:tc>
          <w:tcPr>
            <w:tcW w:w="900" w:type="dxa"/>
            <w:vAlign w:val="bottom"/>
          </w:tcPr>
          <w:p w14:paraId="16004DAB" w14:textId="36FE407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0.431</w:t>
            </w:r>
          </w:p>
        </w:tc>
      </w:tr>
      <w:tr w:rsidR="00EE402C" w14:paraId="44AA73BC" w14:textId="77777777" w:rsidTr="000F27F9">
        <w:tc>
          <w:tcPr>
            <w:tcW w:w="1938" w:type="dxa"/>
            <w:vMerge/>
            <w:vAlign w:val="center"/>
          </w:tcPr>
          <w:p w14:paraId="1D73F8DB"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051EACEC"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2016</w:t>
            </w:r>
          </w:p>
        </w:tc>
        <w:tc>
          <w:tcPr>
            <w:tcW w:w="1440" w:type="dxa"/>
            <w:vAlign w:val="bottom"/>
          </w:tcPr>
          <w:p w14:paraId="1DD42EC3" w14:textId="1ED42A8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76 (58.02)</w:t>
            </w:r>
          </w:p>
        </w:tc>
        <w:tc>
          <w:tcPr>
            <w:tcW w:w="1350" w:type="dxa"/>
            <w:vAlign w:val="bottom"/>
          </w:tcPr>
          <w:p w14:paraId="7012BFC3" w14:textId="5FBB345E"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66 (50.77)</w:t>
            </w:r>
          </w:p>
        </w:tc>
        <w:tc>
          <w:tcPr>
            <w:tcW w:w="1350" w:type="dxa"/>
            <w:vAlign w:val="bottom"/>
          </w:tcPr>
          <w:p w14:paraId="1A537C46" w14:textId="232530EC"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68 (51.91)</w:t>
            </w:r>
          </w:p>
        </w:tc>
        <w:tc>
          <w:tcPr>
            <w:tcW w:w="1350" w:type="dxa"/>
            <w:vAlign w:val="bottom"/>
          </w:tcPr>
          <w:p w14:paraId="0FD35A95" w14:textId="7EF2556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58 (44.27)</w:t>
            </w:r>
          </w:p>
        </w:tc>
        <w:tc>
          <w:tcPr>
            <w:tcW w:w="900" w:type="dxa"/>
            <w:vAlign w:val="bottom"/>
          </w:tcPr>
          <w:p w14:paraId="3A46AEBE" w14:textId="7639E03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0.024</w:t>
            </w:r>
            <w:r w:rsidR="00732B67">
              <w:rPr>
                <w:rFonts w:ascii="Times New Roman" w:hAnsi="Times New Roman" w:cs="Times New Roman"/>
                <w:color w:val="000000"/>
                <w:sz w:val="18"/>
                <w:szCs w:val="18"/>
              </w:rPr>
              <w:t>*</w:t>
            </w:r>
          </w:p>
        </w:tc>
      </w:tr>
      <w:tr w:rsidR="00EE402C" w14:paraId="3966F9E4" w14:textId="77777777" w:rsidTr="000F27F9">
        <w:tc>
          <w:tcPr>
            <w:tcW w:w="1938" w:type="dxa"/>
            <w:vMerge w:val="restart"/>
            <w:vAlign w:val="center"/>
          </w:tcPr>
          <w:p w14:paraId="5A26BC6D" w14:textId="77777777" w:rsidR="00EE402C" w:rsidRPr="003E0FC9" w:rsidRDefault="00EE402C" w:rsidP="00EE402C">
            <w:pPr>
              <w:jc w:val="center"/>
              <w:rPr>
                <w:rFonts w:ascii="Times New Roman" w:hAnsi="Times New Roman" w:cs="Times New Roman"/>
                <w:color w:val="000000"/>
                <w:sz w:val="18"/>
                <w:szCs w:val="18"/>
              </w:rPr>
            </w:pPr>
            <w:r w:rsidRPr="003E0FC9">
              <w:rPr>
                <w:rFonts w:ascii="Times New Roman" w:hAnsi="Times New Roman" w:cs="Times New Roman"/>
                <w:color w:val="000000"/>
                <w:sz w:val="18"/>
                <w:szCs w:val="18"/>
              </w:rPr>
              <w:t>Days after Mother’s Day harvest, mean (SD)</w:t>
            </w:r>
          </w:p>
        </w:tc>
        <w:tc>
          <w:tcPr>
            <w:tcW w:w="1297" w:type="dxa"/>
          </w:tcPr>
          <w:p w14:paraId="1B17863B"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2008</w:t>
            </w:r>
          </w:p>
        </w:tc>
        <w:tc>
          <w:tcPr>
            <w:tcW w:w="1440" w:type="dxa"/>
            <w:vAlign w:val="bottom"/>
          </w:tcPr>
          <w:p w14:paraId="4191B811" w14:textId="291A708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85.16 (8.01)</w:t>
            </w:r>
          </w:p>
        </w:tc>
        <w:tc>
          <w:tcPr>
            <w:tcW w:w="1350" w:type="dxa"/>
            <w:vAlign w:val="bottom"/>
          </w:tcPr>
          <w:p w14:paraId="0E4F4210" w14:textId="31DA9D24"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83.39 (8.13)</w:t>
            </w:r>
          </w:p>
        </w:tc>
        <w:tc>
          <w:tcPr>
            <w:tcW w:w="1350" w:type="dxa"/>
            <w:vAlign w:val="bottom"/>
          </w:tcPr>
          <w:p w14:paraId="11A62A25" w14:textId="4F1507C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88.53 (8.20)</w:t>
            </w:r>
          </w:p>
        </w:tc>
        <w:tc>
          <w:tcPr>
            <w:tcW w:w="1350" w:type="dxa"/>
            <w:vAlign w:val="bottom"/>
          </w:tcPr>
          <w:p w14:paraId="2EAB881D" w14:textId="1FC8EA1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80.90 (15.82)</w:t>
            </w:r>
          </w:p>
        </w:tc>
        <w:tc>
          <w:tcPr>
            <w:tcW w:w="900" w:type="dxa"/>
            <w:vAlign w:val="bottom"/>
          </w:tcPr>
          <w:p w14:paraId="05917CA2" w14:textId="314F92FD"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0.098</w:t>
            </w:r>
          </w:p>
        </w:tc>
      </w:tr>
      <w:tr w:rsidR="00EE402C" w14:paraId="6330DC58" w14:textId="77777777" w:rsidTr="000F27F9">
        <w:tc>
          <w:tcPr>
            <w:tcW w:w="1938" w:type="dxa"/>
            <w:vMerge/>
            <w:vAlign w:val="center"/>
          </w:tcPr>
          <w:p w14:paraId="3E8D6BA8"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5267DEFA"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Spring 2016</w:t>
            </w:r>
          </w:p>
        </w:tc>
        <w:tc>
          <w:tcPr>
            <w:tcW w:w="1440" w:type="dxa"/>
            <w:vAlign w:val="bottom"/>
          </w:tcPr>
          <w:p w14:paraId="79309E05" w14:textId="67D6272E"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-12.24 (5.81)</w:t>
            </w:r>
          </w:p>
        </w:tc>
        <w:tc>
          <w:tcPr>
            <w:tcW w:w="1350" w:type="dxa"/>
            <w:vAlign w:val="bottom"/>
          </w:tcPr>
          <w:p w14:paraId="592B1E60" w14:textId="1F961CAA"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-12.35 (4.74)</w:t>
            </w:r>
          </w:p>
        </w:tc>
        <w:tc>
          <w:tcPr>
            <w:tcW w:w="1350" w:type="dxa"/>
            <w:vAlign w:val="bottom"/>
          </w:tcPr>
          <w:p w14:paraId="66392CC1" w14:textId="2AB3703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-10.81 (6.15)</w:t>
            </w:r>
          </w:p>
        </w:tc>
        <w:tc>
          <w:tcPr>
            <w:tcW w:w="1350" w:type="dxa"/>
            <w:vAlign w:val="bottom"/>
          </w:tcPr>
          <w:p w14:paraId="3A76C6D3" w14:textId="2CF66BB1"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-15.47 (3.86)</w:t>
            </w:r>
          </w:p>
        </w:tc>
        <w:tc>
          <w:tcPr>
            <w:tcW w:w="900" w:type="dxa"/>
            <w:vAlign w:val="bottom"/>
          </w:tcPr>
          <w:p w14:paraId="79B656E7" w14:textId="5D7E37C1"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0.146</w:t>
            </w:r>
          </w:p>
        </w:tc>
      </w:tr>
      <w:tr w:rsidR="00EE402C" w14:paraId="0C1B3CC5" w14:textId="77777777" w:rsidTr="000F27F9">
        <w:tc>
          <w:tcPr>
            <w:tcW w:w="1938" w:type="dxa"/>
            <w:vMerge/>
            <w:vAlign w:val="center"/>
          </w:tcPr>
          <w:p w14:paraId="648202B2"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6AAE41A0"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2016</w:t>
            </w:r>
          </w:p>
        </w:tc>
        <w:tc>
          <w:tcPr>
            <w:tcW w:w="1440" w:type="dxa"/>
            <w:vAlign w:val="bottom"/>
          </w:tcPr>
          <w:p w14:paraId="59A3A385" w14:textId="4BCBE843"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101.79 (17.93)</w:t>
            </w:r>
          </w:p>
        </w:tc>
        <w:tc>
          <w:tcPr>
            <w:tcW w:w="1350" w:type="dxa"/>
            <w:vAlign w:val="bottom"/>
          </w:tcPr>
          <w:p w14:paraId="75C4F929" w14:textId="7D36370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97.65 (15.22)</w:t>
            </w:r>
          </w:p>
        </w:tc>
        <w:tc>
          <w:tcPr>
            <w:tcW w:w="1350" w:type="dxa"/>
            <w:vAlign w:val="bottom"/>
          </w:tcPr>
          <w:p w14:paraId="20977D8D" w14:textId="6EE2C14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103.34 (22.09)</w:t>
            </w:r>
          </w:p>
        </w:tc>
        <w:tc>
          <w:tcPr>
            <w:tcW w:w="1350" w:type="dxa"/>
            <w:vAlign w:val="bottom"/>
          </w:tcPr>
          <w:p w14:paraId="6EB8542D" w14:textId="61B1A4D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105.60 (17.53)</w:t>
            </w:r>
          </w:p>
        </w:tc>
        <w:tc>
          <w:tcPr>
            <w:tcW w:w="900" w:type="dxa"/>
            <w:vAlign w:val="bottom"/>
          </w:tcPr>
          <w:p w14:paraId="308226E7" w14:textId="6FA4855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0.082</w:t>
            </w:r>
          </w:p>
        </w:tc>
      </w:tr>
      <w:tr w:rsidR="00EE402C" w14:paraId="034992BA" w14:textId="77777777" w:rsidTr="000F27F9">
        <w:tc>
          <w:tcPr>
            <w:tcW w:w="1938" w:type="dxa"/>
            <w:vMerge w:val="restart"/>
            <w:vAlign w:val="center"/>
          </w:tcPr>
          <w:p w14:paraId="0BF704AC" w14:textId="77777777" w:rsidR="00EE402C" w:rsidRPr="003E0FC9" w:rsidRDefault="00EE402C" w:rsidP="00EE402C">
            <w:pPr>
              <w:jc w:val="center"/>
              <w:rPr>
                <w:rFonts w:ascii="Times New Roman" w:hAnsi="Times New Roman" w:cs="Times New Roman"/>
                <w:color w:val="000000"/>
                <w:sz w:val="18"/>
                <w:szCs w:val="18"/>
              </w:rPr>
            </w:pPr>
            <w:r w:rsidRPr="003E0FC9">
              <w:rPr>
                <w:rFonts w:ascii="Times New Roman" w:hAnsi="Times New Roman" w:cs="Times New Roman"/>
                <w:color w:val="000000"/>
                <w:sz w:val="18"/>
                <w:szCs w:val="18"/>
              </w:rPr>
              <w:t>Z-score-height-for-age, mean (SD)</w:t>
            </w:r>
          </w:p>
        </w:tc>
        <w:tc>
          <w:tcPr>
            <w:tcW w:w="1297" w:type="dxa"/>
          </w:tcPr>
          <w:p w14:paraId="1E7AE951"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2008</w:t>
            </w:r>
          </w:p>
        </w:tc>
        <w:tc>
          <w:tcPr>
            <w:tcW w:w="1440" w:type="dxa"/>
            <w:vAlign w:val="bottom"/>
          </w:tcPr>
          <w:p w14:paraId="29845BCE" w14:textId="024A162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-1.47 (0.93)</w:t>
            </w:r>
          </w:p>
        </w:tc>
        <w:tc>
          <w:tcPr>
            <w:tcW w:w="1350" w:type="dxa"/>
            <w:vAlign w:val="bottom"/>
          </w:tcPr>
          <w:p w14:paraId="55C2A4E8" w14:textId="730AF07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-1.15 (1.00)</w:t>
            </w:r>
          </w:p>
        </w:tc>
        <w:tc>
          <w:tcPr>
            <w:tcW w:w="1350" w:type="dxa"/>
            <w:vAlign w:val="bottom"/>
          </w:tcPr>
          <w:p w14:paraId="273D4587" w14:textId="03195E0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-1.32 (0.92)</w:t>
            </w:r>
          </w:p>
        </w:tc>
        <w:tc>
          <w:tcPr>
            <w:tcW w:w="1350" w:type="dxa"/>
            <w:vAlign w:val="bottom"/>
          </w:tcPr>
          <w:p w14:paraId="74A11F6F" w14:textId="37CE15E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-1.04 (0.87)</w:t>
            </w:r>
          </w:p>
        </w:tc>
        <w:tc>
          <w:tcPr>
            <w:tcW w:w="900" w:type="dxa"/>
            <w:vAlign w:val="bottom"/>
          </w:tcPr>
          <w:p w14:paraId="643FEBE5" w14:textId="1FDEBE2E"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0.223</w:t>
            </w:r>
          </w:p>
        </w:tc>
      </w:tr>
      <w:tr w:rsidR="00EE402C" w14:paraId="195C902B" w14:textId="77777777" w:rsidTr="000F27F9">
        <w:tc>
          <w:tcPr>
            <w:tcW w:w="1938" w:type="dxa"/>
            <w:vMerge/>
            <w:vAlign w:val="center"/>
          </w:tcPr>
          <w:p w14:paraId="388E9794"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5159D079"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Spring 2016</w:t>
            </w:r>
          </w:p>
        </w:tc>
        <w:tc>
          <w:tcPr>
            <w:tcW w:w="1440" w:type="dxa"/>
            <w:vAlign w:val="bottom"/>
          </w:tcPr>
          <w:p w14:paraId="6F3B4654" w14:textId="164CCDB2"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-1.51 (1.01)</w:t>
            </w:r>
          </w:p>
        </w:tc>
        <w:tc>
          <w:tcPr>
            <w:tcW w:w="1350" w:type="dxa"/>
            <w:vAlign w:val="bottom"/>
          </w:tcPr>
          <w:p w14:paraId="5005EC24" w14:textId="7A823D8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-1.65 (0.89)</w:t>
            </w:r>
          </w:p>
        </w:tc>
        <w:tc>
          <w:tcPr>
            <w:tcW w:w="1350" w:type="dxa"/>
            <w:vAlign w:val="bottom"/>
          </w:tcPr>
          <w:p w14:paraId="0E410303" w14:textId="34B30FAF"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-1.61 (0.87)</w:t>
            </w:r>
          </w:p>
        </w:tc>
        <w:tc>
          <w:tcPr>
            <w:tcW w:w="1350" w:type="dxa"/>
            <w:vAlign w:val="bottom"/>
          </w:tcPr>
          <w:p w14:paraId="6F1D4D13" w14:textId="072C74CE"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-1.59 (1.05)</w:t>
            </w:r>
          </w:p>
        </w:tc>
        <w:tc>
          <w:tcPr>
            <w:tcW w:w="900" w:type="dxa"/>
            <w:vAlign w:val="bottom"/>
          </w:tcPr>
          <w:p w14:paraId="5222BA94" w14:textId="73C48E7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0.509</w:t>
            </w:r>
          </w:p>
        </w:tc>
      </w:tr>
      <w:tr w:rsidR="00EE402C" w14:paraId="2A40CA4B" w14:textId="77777777" w:rsidTr="000F27F9">
        <w:tc>
          <w:tcPr>
            <w:tcW w:w="1938" w:type="dxa"/>
            <w:vMerge/>
            <w:vAlign w:val="center"/>
          </w:tcPr>
          <w:p w14:paraId="0F137147"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77ED7859"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2016</w:t>
            </w:r>
          </w:p>
        </w:tc>
        <w:tc>
          <w:tcPr>
            <w:tcW w:w="1440" w:type="dxa"/>
            <w:vAlign w:val="bottom"/>
          </w:tcPr>
          <w:p w14:paraId="5C7112E5" w14:textId="01FD9AB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-1.41 (0.91)</w:t>
            </w:r>
          </w:p>
        </w:tc>
        <w:tc>
          <w:tcPr>
            <w:tcW w:w="1350" w:type="dxa"/>
            <w:vAlign w:val="bottom"/>
          </w:tcPr>
          <w:p w14:paraId="78EECF1A" w14:textId="77DC0F1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-1.46 (0.87)</w:t>
            </w:r>
          </w:p>
        </w:tc>
        <w:tc>
          <w:tcPr>
            <w:tcW w:w="1350" w:type="dxa"/>
            <w:vAlign w:val="bottom"/>
          </w:tcPr>
          <w:p w14:paraId="7C8C1892" w14:textId="7DE631B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-1.49 (0.82)</w:t>
            </w:r>
          </w:p>
        </w:tc>
        <w:tc>
          <w:tcPr>
            <w:tcW w:w="1350" w:type="dxa"/>
            <w:vAlign w:val="bottom"/>
          </w:tcPr>
          <w:p w14:paraId="25978A42" w14:textId="4ED4196E"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-1.59 (1.00)</w:t>
            </w:r>
          </w:p>
        </w:tc>
        <w:tc>
          <w:tcPr>
            <w:tcW w:w="900" w:type="dxa"/>
            <w:vAlign w:val="bottom"/>
          </w:tcPr>
          <w:p w14:paraId="419FCB23" w14:textId="6FD8D561"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0.173</w:t>
            </w:r>
          </w:p>
        </w:tc>
      </w:tr>
      <w:tr w:rsidR="00EE402C" w14:paraId="10658504" w14:textId="77777777" w:rsidTr="000F27F9">
        <w:tc>
          <w:tcPr>
            <w:tcW w:w="1938" w:type="dxa"/>
            <w:vMerge w:val="restart"/>
            <w:vAlign w:val="center"/>
          </w:tcPr>
          <w:p w14:paraId="129D6B27" w14:textId="77777777" w:rsidR="00EE402C" w:rsidRPr="003E0FC9" w:rsidRDefault="00EE402C" w:rsidP="00EE402C">
            <w:pPr>
              <w:jc w:val="center"/>
              <w:rPr>
                <w:rFonts w:ascii="Times New Roman" w:hAnsi="Times New Roman" w:cs="Times New Roman"/>
                <w:color w:val="000000"/>
                <w:sz w:val="18"/>
                <w:szCs w:val="18"/>
              </w:rPr>
            </w:pPr>
            <w:r w:rsidRPr="003E0FC9">
              <w:rPr>
                <w:rFonts w:ascii="Times New Roman" w:hAnsi="Times New Roman" w:cs="Times New Roman"/>
                <w:color w:val="000000"/>
                <w:sz w:val="18"/>
                <w:szCs w:val="18"/>
              </w:rPr>
              <w:t>Scaled salary, mean (SD)</w:t>
            </w:r>
          </w:p>
        </w:tc>
        <w:tc>
          <w:tcPr>
            <w:tcW w:w="1297" w:type="dxa"/>
          </w:tcPr>
          <w:p w14:paraId="3C246AB8"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2008</w:t>
            </w:r>
          </w:p>
        </w:tc>
        <w:tc>
          <w:tcPr>
            <w:tcW w:w="1440" w:type="dxa"/>
            <w:vAlign w:val="bottom"/>
          </w:tcPr>
          <w:p w14:paraId="29898351" w14:textId="5B5F498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3.17 (0.76)</w:t>
            </w:r>
          </w:p>
        </w:tc>
        <w:tc>
          <w:tcPr>
            <w:tcW w:w="1350" w:type="dxa"/>
            <w:vAlign w:val="bottom"/>
          </w:tcPr>
          <w:p w14:paraId="1B7F8907" w14:textId="65BC170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3.31 (0.94)</w:t>
            </w:r>
          </w:p>
        </w:tc>
        <w:tc>
          <w:tcPr>
            <w:tcW w:w="1350" w:type="dxa"/>
            <w:vAlign w:val="bottom"/>
          </w:tcPr>
          <w:p w14:paraId="06B899C7" w14:textId="62014BCB"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3.19 (0.85)</w:t>
            </w:r>
          </w:p>
        </w:tc>
        <w:tc>
          <w:tcPr>
            <w:tcW w:w="1350" w:type="dxa"/>
            <w:vAlign w:val="bottom"/>
          </w:tcPr>
          <w:p w14:paraId="72F01EAA" w14:textId="471C8AE2"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2.79 (0.60)</w:t>
            </w:r>
          </w:p>
        </w:tc>
        <w:tc>
          <w:tcPr>
            <w:tcW w:w="900" w:type="dxa"/>
            <w:vAlign w:val="bottom"/>
          </w:tcPr>
          <w:p w14:paraId="00D54284" w14:textId="255B526F"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0.048</w:t>
            </w:r>
            <w:r w:rsidR="00732B67">
              <w:rPr>
                <w:rFonts w:ascii="Times New Roman" w:hAnsi="Times New Roman" w:cs="Times New Roman"/>
                <w:color w:val="000000"/>
                <w:sz w:val="18"/>
                <w:szCs w:val="18"/>
              </w:rPr>
              <w:t>*</w:t>
            </w:r>
          </w:p>
        </w:tc>
      </w:tr>
      <w:tr w:rsidR="00EE402C" w14:paraId="124B6F80" w14:textId="77777777" w:rsidTr="000F27F9">
        <w:tc>
          <w:tcPr>
            <w:tcW w:w="1938" w:type="dxa"/>
            <w:vMerge/>
            <w:vAlign w:val="center"/>
          </w:tcPr>
          <w:p w14:paraId="21ACB3BD"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79780AFF"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Spring 2016</w:t>
            </w:r>
          </w:p>
        </w:tc>
        <w:tc>
          <w:tcPr>
            <w:tcW w:w="1440" w:type="dxa"/>
            <w:vAlign w:val="bottom"/>
          </w:tcPr>
          <w:p w14:paraId="0C0FEA83" w14:textId="481D8953"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4.35 (0.86)</w:t>
            </w:r>
          </w:p>
        </w:tc>
        <w:tc>
          <w:tcPr>
            <w:tcW w:w="1350" w:type="dxa"/>
            <w:vAlign w:val="bottom"/>
          </w:tcPr>
          <w:p w14:paraId="59A45770" w14:textId="5A48A407"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4.25 (0.89)</w:t>
            </w:r>
          </w:p>
        </w:tc>
        <w:tc>
          <w:tcPr>
            <w:tcW w:w="1350" w:type="dxa"/>
            <w:vAlign w:val="bottom"/>
          </w:tcPr>
          <w:p w14:paraId="10BB5834" w14:textId="61F835C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4.36 (0.96)</w:t>
            </w:r>
          </w:p>
        </w:tc>
        <w:tc>
          <w:tcPr>
            <w:tcW w:w="1350" w:type="dxa"/>
            <w:vAlign w:val="bottom"/>
          </w:tcPr>
          <w:p w14:paraId="7E3387AC" w14:textId="13769DBF"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4.15 (0.84)</w:t>
            </w:r>
          </w:p>
        </w:tc>
        <w:tc>
          <w:tcPr>
            <w:tcW w:w="900" w:type="dxa"/>
            <w:vAlign w:val="bottom"/>
          </w:tcPr>
          <w:p w14:paraId="19E8C7F3" w14:textId="1C71D067"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0.298</w:t>
            </w:r>
          </w:p>
        </w:tc>
      </w:tr>
      <w:tr w:rsidR="00EE402C" w14:paraId="0388B5DC" w14:textId="77777777" w:rsidTr="000F27F9">
        <w:tc>
          <w:tcPr>
            <w:tcW w:w="1938" w:type="dxa"/>
            <w:vMerge/>
            <w:vAlign w:val="center"/>
          </w:tcPr>
          <w:p w14:paraId="73013A25"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11208392"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2016</w:t>
            </w:r>
          </w:p>
        </w:tc>
        <w:tc>
          <w:tcPr>
            <w:tcW w:w="1440" w:type="dxa"/>
            <w:vAlign w:val="bottom"/>
          </w:tcPr>
          <w:p w14:paraId="4C391258" w14:textId="2F3177EA"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4.27 (0.92)</w:t>
            </w:r>
          </w:p>
        </w:tc>
        <w:tc>
          <w:tcPr>
            <w:tcW w:w="1350" w:type="dxa"/>
            <w:vAlign w:val="bottom"/>
          </w:tcPr>
          <w:p w14:paraId="44819B27" w14:textId="71A162EB"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4.38 (0.85)</w:t>
            </w:r>
          </w:p>
        </w:tc>
        <w:tc>
          <w:tcPr>
            <w:tcW w:w="1350" w:type="dxa"/>
            <w:vAlign w:val="bottom"/>
          </w:tcPr>
          <w:p w14:paraId="3B29F133" w14:textId="1D8215EE"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4.43 (0.90)</w:t>
            </w:r>
          </w:p>
        </w:tc>
        <w:tc>
          <w:tcPr>
            <w:tcW w:w="1350" w:type="dxa"/>
            <w:vAlign w:val="bottom"/>
          </w:tcPr>
          <w:p w14:paraId="5316F6AF" w14:textId="0AC95CA1"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4.17 (0.83)</w:t>
            </w:r>
          </w:p>
        </w:tc>
        <w:tc>
          <w:tcPr>
            <w:tcW w:w="900" w:type="dxa"/>
            <w:vAlign w:val="bottom"/>
          </w:tcPr>
          <w:p w14:paraId="33028A84" w14:textId="3300E2E1"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0.703</w:t>
            </w:r>
          </w:p>
        </w:tc>
      </w:tr>
      <w:tr w:rsidR="00EE402C" w14:paraId="798D9DD3" w14:textId="77777777" w:rsidTr="000F27F9">
        <w:tc>
          <w:tcPr>
            <w:tcW w:w="1938" w:type="dxa"/>
            <w:vMerge w:val="restart"/>
            <w:vAlign w:val="center"/>
          </w:tcPr>
          <w:p w14:paraId="2EB56C79" w14:textId="77777777" w:rsidR="00EE402C" w:rsidRPr="003E0FC9" w:rsidRDefault="00EE402C" w:rsidP="00EE402C">
            <w:pPr>
              <w:jc w:val="center"/>
              <w:rPr>
                <w:rFonts w:ascii="Times New Roman" w:hAnsi="Times New Roman" w:cs="Times New Roman"/>
                <w:color w:val="000000"/>
                <w:sz w:val="18"/>
                <w:szCs w:val="18"/>
              </w:rPr>
            </w:pPr>
            <w:r w:rsidRPr="003E0FC9">
              <w:rPr>
                <w:rFonts w:ascii="Times New Roman" w:hAnsi="Times New Roman" w:cs="Times New Roman"/>
                <w:color w:val="000000"/>
                <w:sz w:val="18"/>
                <w:szCs w:val="18"/>
              </w:rPr>
              <w:t>Parental average education, years, mean (SD)</w:t>
            </w:r>
          </w:p>
        </w:tc>
        <w:tc>
          <w:tcPr>
            <w:tcW w:w="1297" w:type="dxa"/>
          </w:tcPr>
          <w:p w14:paraId="010F369A"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2008</w:t>
            </w:r>
          </w:p>
        </w:tc>
        <w:tc>
          <w:tcPr>
            <w:tcW w:w="1440" w:type="dxa"/>
            <w:vAlign w:val="bottom"/>
          </w:tcPr>
          <w:p w14:paraId="1FC659CC" w14:textId="3356130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7.02 (3.01)</w:t>
            </w:r>
          </w:p>
        </w:tc>
        <w:tc>
          <w:tcPr>
            <w:tcW w:w="1350" w:type="dxa"/>
            <w:vAlign w:val="bottom"/>
          </w:tcPr>
          <w:p w14:paraId="176FBACF" w14:textId="5F0E654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9.06 (4.06)</w:t>
            </w:r>
          </w:p>
        </w:tc>
        <w:tc>
          <w:tcPr>
            <w:tcW w:w="1350" w:type="dxa"/>
            <w:vAlign w:val="bottom"/>
          </w:tcPr>
          <w:p w14:paraId="345E468E" w14:textId="662BEEE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7.71 (3.65)</w:t>
            </w:r>
          </w:p>
        </w:tc>
        <w:tc>
          <w:tcPr>
            <w:tcW w:w="1350" w:type="dxa"/>
            <w:vAlign w:val="bottom"/>
          </w:tcPr>
          <w:p w14:paraId="1FC587A2" w14:textId="373085C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6.77 (3.56)</w:t>
            </w:r>
          </w:p>
        </w:tc>
        <w:tc>
          <w:tcPr>
            <w:tcW w:w="900" w:type="dxa"/>
            <w:vAlign w:val="bottom"/>
          </w:tcPr>
          <w:p w14:paraId="77F127B7" w14:textId="2B05FC5A"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0.935</w:t>
            </w:r>
          </w:p>
        </w:tc>
      </w:tr>
      <w:tr w:rsidR="00EE402C" w14:paraId="38EA5ED5" w14:textId="77777777" w:rsidTr="000F27F9">
        <w:tc>
          <w:tcPr>
            <w:tcW w:w="1938" w:type="dxa"/>
            <w:vMerge/>
            <w:vAlign w:val="center"/>
          </w:tcPr>
          <w:p w14:paraId="48EC9BB7"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381EA342"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Spring 2016</w:t>
            </w:r>
          </w:p>
        </w:tc>
        <w:tc>
          <w:tcPr>
            <w:tcW w:w="1440" w:type="dxa"/>
            <w:vAlign w:val="bottom"/>
          </w:tcPr>
          <w:p w14:paraId="1B6C43EC" w14:textId="129D1A4C"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8.12 (3.50)</w:t>
            </w:r>
          </w:p>
        </w:tc>
        <w:tc>
          <w:tcPr>
            <w:tcW w:w="1350" w:type="dxa"/>
            <w:vAlign w:val="bottom"/>
          </w:tcPr>
          <w:p w14:paraId="23767BEB" w14:textId="09B1158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8.21 (3.98)</w:t>
            </w:r>
          </w:p>
        </w:tc>
        <w:tc>
          <w:tcPr>
            <w:tcW w:w="1350" w:type="dxa"/>
            <w:vAlign w:val="bottom"/>
          </w:tcPr>
          <w:p w14:paraId="137CAF48" w14:textId="65926FCB"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8.78 (3.76)</w:t>
            </w:r>
          </w:p>
        </w:tc>
        <w:tc>
          <w:tcPr>
            <w:tcW w:w="1350" w:type="dxa"/>
            <w:vAlign w:val="bottom"/>
          </w:tcPr>
          <w:p w14:paraId="315D0685" w14:textId="16723CB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7.38 (3.00)</w:t>
            </w:r>
          </w:p>
        </w:tc>
        <w:tc>
          <w:tcPr>
            <w:tcW w:w="900" w:type="dxa"/>
            <w:vAlign w:val="bottom"/>
          </w:tcPr>
          <w:p w14:paraId="58CFD9FB" w14:textId="2B2C21E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0.41</w:t>
            </w:r>
            <w:r w:rsidR="00732B67">
              <w:rPr>
                <w:rFonts w:ascii="Times New Roman" w:hAnsi="Times New Roman" w:cs="Times New Roman"/>
                <w:color w:val="000000"/>
                <w:sz w:val="18"/>
                <w:szCs w:val="18"/>
              </w:rPr>
              <w:t>0</w:t>
            </w:r>
          </w:p>
        </w:tc>
      </w:tr>
      <w:tr w:rsidR="00EE402C" w14:paraId="2BF121FD" w14:textId="77777777" w:rsidTr="000F27F9">
        <w:tc>
          <w:tcPr>
            <w:tcW w:w="1938" w:type="dxa"/>
            <w:vMerge/>
            <w:vAlign w:val="center"/>
          </w:tcPr>
          <w:p w14:paraId="1244D365" w14:textId="77777777" w:rsidR="00EE402C" w:rsidRPr="003E0FC9" w:rsidRDefault="00EE402C" w:rsidP="00EE402C">
            <w:pPr>
              <w:jc w:val="center"/>
              <w:rPr>
                <w:rFonts w:ascii="Times New Roman" w:hAnsi="Times New Roman" w:cs="Times New Roman"/>
                <w:color w:val="000000"/>
                <w:sz w:val="18"/>
                <w:szCs w:val="18"/>
              </w:rPr>
            </w:pPr>
          </w:p>
        </w:tc>
        <w:tc>
          <w:tcPr>
            <w:tcW w:w="1297" w:type="dxa"/>
          </w:tcPr>
          <w:p w14:paraId="756E7E23"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2016</w:t>
            </w:r>
          </w:p>
        </w:tc>
        <w:tc>
          <w:tcPr>
            <w:tcW w:w="1440" w:type="dxa"/>
            <w:vAlign w:val="bottom"/>
          </w:tcPr>
          <w:p w14:paraId="6FA5F349" w14:textId="7FCC165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8.11 (3.48)</w:t>
            </w:r>
          </w:p>
        </w:tc>
        <w:tc>
          <w:tcPr>
            <w:tcW w:w="1350" w:type="dxa"/>
            <w:vAlign w:val="bottom"/>
          </w:tcPr>
          <w:p w14:paraId="4C7337F2" w14:textId="3363016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8.02 (3.54)</w:t>
            </w:r>
          </w:p>
        </w:tc>
        <w:tc>
          <w:tcPr>
            <w:tcW w:w="1350" w:type="dxa"/>
            <w:vAlign w:val="bottom"/>
          </w:tcPr>
          <w:p w14:paraId="7B3625A3" w14:textId="5D5A56B3"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8.60 (3.75)</w:t>
            </w:r>
          </w:p>
        </w:tc>
        <w:tc>
          <w:tcPr>
            <w:tcW w:w="1350" w:type="dxa"/>
            <w:vAlign w:val="bottom"/>
          </w:tcPr>
          <w:p w14:paraId="674EDF8A" w14:textId="03F8536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7.63 (3.00)</w:t>
            </w:r>
          </w:p>
        </w:tc>
        <w:tc>
          <w:tcPr>
            <w:tcW w:w="900" w:type="dxa"/>
            <w:vAlign w:val="bottom"/>
          </w:tcPr>
          <w:p w14:paraId="57E29EC0" w14:textId="0CA929A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0.921</w:t>
            </w:r>
          </w:p>
        </w:tc>
      </w:tr>
      <w:tr w:rsidR="00EE402C" w14:paraId="6590BFDD" w14:textId="77777777" w:rsidTr="000F27F9">
        <w:tc>
          <w:tcPr>
            <w:tcW w:w="1938" w:type="dxa"/>
            <w:vMerge w:val="restart"/>
            <w:vAlign w:val="center"/>
          </w:tcPr>
          <w:p w14:paraId="5CB1B283" w14:textId="0A464363" w:rsidR="00EE402C" w:rsidRPr="003E0FC9" w:rsidRDefault="00EE402C" w:rsidP="00EE402C">
            <w:pPr>
              <w:jc w:val="center"/>
              <w:rPr>
                <w:rFonts w:ascii="Times New Roman" w:hAnsi="Times New Roman" w:cs="Times New Roman"/>
                <w:color w:val="000000"/>
                <w:sz w:val="18"/>
                <w:szCs w:val="18"/>
              </w:rPr>
            </w:pPr>
            <w:r w:rsidRPr="003E0FC9">
              <w:rPr>
                <w:rFonts w:ascii="Times New Roman" w:hAnsi="Times New Roman" w:cs="Times New Roman"/>
                <w:color w:val="000000"/>
                <w:sz w:val="18"/>
                <w:szCs w:val="18"/>
              </w:rPr>
              <w:t xml:space="preserve">Cohabitating with an agricultural worker, </w:t>
            </w:r>
            <w:r w:rsidR="00732B67">
              <w:rPr>
                <w:rFonts w:ascii="Times New Roman" w:hAnsi="Times New Roman" w:cs="Times New Roman"/>
                <w:color w:val="000000"/>
                <w:sz w:val="18"/>
                <w:szCs w:val="18"/>
              </w:rPr>
              <w:t>N (%)</w:t>
            </w:r>
          </w:p>
        </w:tc>
        <w:tc>
          <w:tcPr>
            <w:tcW w:w="1297" w:type="dxa"/>
          </w:tcPr>
          <w:p w14:paraId="281A2FFF"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2008</w:t>
            </w:r>
          </w:p>
        </w:tc>
        <w:tc>
          <w:tcPr>
            <w:tcW w:w="1440" w:type="dxa"/>
            <w:vAlign w:val="bottom"/>
          </w:tcPr>
          <w:p w14:paraId="6FD878D2" w14:textId="71CE5AF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46 (63.01)</w:t>
            </w:r>
          </w:p>
        </w:tc>
        <w:tc>
          <w:tcPr>
            <w:tcW w:w="1350" w:type="dxa"/>
            <w:vAlign w:val="bottom"/>
          </w:tcPr>
          <w:p w14:paraId="5EA01356" w14:textId="483D9EC5"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38 (52.78)</w:t>
            </w:r>
          </w:p>
        </w:tc>
        <w:tc>
          <w:tcPr>
            <w:tcW w:w="1350" w:type="dxa"/>
            <w:vAlign w:val="bottom"/>
          </w:tcPr>
          <w:p w14:paraId="3E12BE9B" w14:textId="5BC19707"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35 (48.61)</w:t>
            </w:r>
          </w:p>
        </w:tc>
        <w:tc>
          <w:tcPr>
            <w:tcW w:w="1350" w:type="dxa"/>
            <w:vAlign w:val="bottom"/>
          </w:tcPr>
          <w:p w14:paraId="70271D84" w14:textId="246CA8BC"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41 (56.16)</w:t>
            </w:r>
          </w:p>
        </w:tc>
        <w:tc>
          <w:tcPr>
            <w:tcW w:w="900" w:type="dxa"/>
            <w:vAlign w:val="bottom"/>
          </w:tcPr>
          <w:p w14:paraId="27A44FA9" w14:textId="366C467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0.183</w:t>
            </w:r>
          </w:p>
        </w:tc>
      </w:tr>
      <w:tr w:rsidR="00EE402C" w14:paraId="372567BB" w14:textId="77777777" w:rsidTr="000F27F9">
        <w:tc>
          <w:tcPr>
            <w:tcW w:w="1938" w:type="dxa"/>
            <w:vMerge/>
            <w:vAlign w:val="bottom"/>
          </w:tcPr>
          <w:p w14:paraId="7D1D6756" w14:textId="77777777" w:rsidR="00EE402C" w:rsidRPr="003E0FC9" w:rsidRDefault="00EE402C" w:rsidP="00EE402C">
            <w:pPr>
              <w:rPr>
                <w:rFonts w:ascii="Times New Roman" w:hAnsi="Times New Roman" w:cs="Times New Roman"/>
                <w:color w:val="000000"/>
                <w:sz w:val="18"/>
                <w:szCs w:val="18"/>
              </w:rPr>
            </w:pPr>
          </w:p>
        </w:tc>
        <w:tc>
          <w:tcPr>
            <w:tcW w:w="1297" w:type="dxa"/>
          </w:tcPr>
          <w:p w14:paraId="6C123737"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Spring 2016</w:t>
            </w:r>
          </w:p>
        </w:tc>
        <w:tc>
          <w:tcPr>
            <w:tcW w:w="1440" w:type="dxa"/>
            <w:vAlign w:val="bottom"/>
          </w:tcPr>
          <w:p w14:paraId="6BEAF438" w14:textId="6003E7BD"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42 (53.16)</w:t>
            </w:r>
          </w:p>
        </w:tc>
        <w:tc>
          <w:tcPr>
            <w:tcW w:w="1350" w:type="dxa"/>
            <w:vAlign w:val="bottom"/>
          </w:tcPr>
          <w:p w14:paraId="2FA7FEBB" w14:textId="344C4EC2"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62 (76.54)</w:t>
            </w:r>
          </w:p>
        </w:tc>
        <w:tc>
          <w:tcPr>
            <w:tcW w:w="1350" w:type="dxa"/>
            <w:vAlign w:val="bottom"/>
          </w:tcPr>
          <w:p w14:paraId="5AE42579" w14:textId="47FDC491"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56 (70.00)</w:t>
            </w:r>
          </w:p>
        </w:tc>
        <w:tc>
          <w:tcPr>
            <w:tcW w:w="1350" w:type="dxa"/>
            <w:vAlign w:val="bottom"/>
          </w:tcPr>
          <w:p w14:paraId="7D7E6F1E" w14:textId="3392CD86"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58 (72.50)</w:t>
            </w:r>
          </w:p>
        </w:tc>
        <w:tc>
          <w:tcPr>
            <w:tcW w:w="900" w:type="dxa"/>
            <w:vAlign w:val="bottom"/>
          </w:tcPr>
          <w:p w14:paraId="7679BBC5" w14:textId="6C2D914D"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0.021</w:t>
            </w:r>
            <w:r w:rsidR="00732B67">
              <w:rPr>
                <w:rFonts w:ascii="Times New Roman" w:hAnsi="Times New Roman" w:cs="Times New Roman"/>
                <w:color w:val="000000"/>
                <w:sz w:val="18"/>
                <w:szCs w:val="18"/>
              </w:rPr>
              <w:t>*</w:t>
            </w:r>
          </w:p>
        </w:tc>
      </w:tr>
      <w:tr w:rsidR="00EE402C" w14:paraId="06EC3BF3" w14:textId="77777777" w:rsidTr="000F27F9">
        <w:tc>
          <w:tcPr>
            <w:tcW w:w="1938" w:type="dxa"/>
            <w:vMerge/>
            <w:vAlign w:val="bottom"/>
          </w:tcPr>
          <w:p w14:paraId="310951D1" w14:textId="77777777" w:rsidR="00EE402C" w:rsidRPr="003E0FC9" w:rsidRDefault="00EE402C" w:rsidP="00EE402C">
            <w:pPr>
              <w:rPr>
                <w:rFonts w:ascii="Times New Roman" w:hAnsi="Times New Roman" w:cs="Times New Roman"/>
                <w:color w:val="000000"/>
                <w:sz w:val="18"/>
                <w:szCs w:val="18"/>
              </w:rPr>
            </w:pPr>
          </w:p>
        </w:tc>
        <w:tc>
          <w:tcPr>
            <w:tcW w:w="1297" w:type="dxa"/>
          </w:tcPr>
          <w:p w14:paraId="4D949372" w14:textId="77777777" w:rsidR="00EE402C" w:rsidRPr="003E0FC9" w:rsidRDefault="00EE402C" w:rsidP="00EE402C">
            <w:pPr>
              <w:rPr>
                <w:rFonts w:ascii="Times New Roman" w:hAnsi="Times New Roman" w:cs="Times New Roman"/>
                <w:color w:val="000000"/>
                <w:sz w:val="18"/>
                <w:szCs w:val="18"/>
              </w:rPr>
            </w:pPr>
            <w:r w:rsidRPr="003E0FC9">
              <w:rPr>
                <w:rFonts w:ascii="Times New Roman" w:hAnsi="Times New Roman" w:cs="Times New Roman"/>
                <w:color w:val="000000"/>
                <w:sz w:val="18"/>
                <w:szCs w:val="18"/>
              </w:rPr>
              <w:t>Summer 2016</w:t>
            </w:r>
          </w:p>
        </w:tc>
        <w:tc>
          <w:tcPr>
            <w:tcW w:w="1440" w:type="dxa"/>
            <w:vAlign w:val="bottom"/>
          </w:tcPr>
          <w:p w14:paraId="2CFDD487" w14:textId="64091C38"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77 (58.78)</w:t>
            </w:r>
          </w:p>
        </w:tc>
        <w:tc>
          <w:tcPr>
            <w:tcW w:w="1350" w:type="dxa"/>
            <w:vAlign w:val="bottom"/>
          </w:tcPr>
          <w:p w14:paraId="20CF1909" w14:textId="44BDBD1F"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91 (70.00)</w:t>
            </w:r>
          </w:p>
        </w:tc>
        <w:tc>
          <w:tcPr>
            <w:tcW w:w="1350" w:type="dxa"/>
            <w:vAlign w:val="bottom"/>
          </w:tcPr>
          <w:p w14:paraId="44002784" w14:textId="1A1E7B3D"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93 (70.99)</w:t>
            </w:r>
          </w:p>
        </w:tc>
        <w:tc>
          <w:tcPr>
            <w:tcW w:w="1350" w:type="dxa"/>
            <w:vAlign w:val="bottom"/>
          </w:tcPr>
          <w:p w14:paraId="54F8C419" w14:textId="7C22BA30"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91 (69.47)</w:t>
            </w:r>
          </w:p>
        </w:tc>
        <w:tc>
          <w:tcPr>
            <w:tcW w:w="900" w:type="dxa"/>
            <w:vAlign w:val="bottom"/>
          </w:tcPr>
          <w:p w14:paraId="6687E86B" w14:textId="4B2A3769" w:rsidR="00EE402C" w:rsidRPr="00732B67" w:rsidRDefault="00EE402C" w:rsidP="00EE402C">
            <w:pPr>
              <w:rPr>
                <w:rFonts w:ascii="Times New Roman" w:hAnsi="Times New Roman" w:cs="Times New Roman"/>
                <w:color w:val="000000"/>
                <w:sz w:val="18"/>
                <w:szCs w:val="18"/>
              </w:rPr>
            </w:pPr>
            <w:r w:rsidRPr="00732B67">
              <w:rPr>
                <w:rFonts w:ascii="Times New Roman" w:hAnsi="Times New Roman" w:cs="Times New Roman"/>
                <w:color w:val="000000"/>
                <w:sz w:val="18"/>
                <w:szCs w:val="18"/>
              </w:rPr>
              <w:t>0.2</w:t>
            </w:r>
            <w:r w:rsidR="00732B67">
              <w:rPr>
                <w:rFonts w:ascii="Times New Roman" w:hAnsi="Times New Roman" w:cs="Times New Roman"/>
                <w:color w:val="000000"/>
                <w:sz w:val="18"/>
                <w:szCs w:val="18"/>
              </w:rPr>
              <w:t>00</w:t>
            </w:r>
          </w:p>
        </w:tc>
      </w:tr>
    </w:tbl>
    <w:p w14:paraId="2FC47C0C" w14:textId="2F268189" w:rsidR="0054280C" w:rsidRPr="003E0FC9" w:rsidRDefault="00B71134">
      <w:pPr>
        <w:rPr>
          <w:color w:val="000000"/>
          <w:sz w:val="18"/>
          <w:szCs w:val="18"/>
        </w:rPr>
      </w:pPr>
      <w:r w:rsidRPr="003E0FC9">
        <w:rPr>
          <w:color w:val="000000"/>
          <w:sz w:val="18"/>
          <w:szCs w:val="18"/>
        </w:rPr>
        <w:t>* Significant value (p</w:t>
      </w:r>
      <w:r w:rsidR="003E0FC9">
        <w:rPr>
          <w:color w:val="000000"/>
          <w:sz w:val="18"/>
          <w:szCs w:val="18"/>
        </w:rPr>
        <w:t xml:space="preserve">-value </w:t>
      </w:r>
      <w:r w:rsidRPr="003E0FC9">
        <w:rPr>
          <w:color w:val="000000"/>
          <w:sz w:val="18"/>
          <w:szCs w:val="18"/>
        </w:rPr>
        <w:t>&lt;</w:t>
      </w:r>
      <w:r w:rsidR="003E0FC9">
        <w:rPr>
          <w:color w:val="000000"/>
          <w:sz w:val="18"/>
          <w:szCs w:val="18"/>
        </w:rPr>
        <w:t xml:space="preserve"> </w:t>
      </w:r>
      <w:r w:rsidRPr="003E0FC9">
        <w:rPr>
          <w:color w:val="000000"/>
          <w:sz w:val="18"/>
          <w:szCs w:val="18"/>
        </w:rPr>
        <w:t>0.05)</w:t>
      </w:r>
    </w:p>
    <w:p w14:paraId="1FD796A1" w14:textId="77777777" w:rsidR="0054280C" w:rsidRDefault="0054280C">
      <w:pPr>
        <w:rPr>
          <w:color w:val="000000"/>
          <w:sz w:val="22"/>
          <w:szCs w:val="22"/>
        </w:rPr>
      </w:pPr>
    </w:p>
    <w:p w14:paraId="2CBA4FCB" w14:textId="77777777" w:rsidR="0054280C" w:rsidRDefault="00B71134">
      <w:pPr>
        <w:rPr>
          <w:color w:val="000000"/>
          <w:sz w:val="22"/>
          <w:szCs w:val="22"/>
        </w:rPr>
      </w:pPr>
      <w:r>
        <w:rPr>
          <w:color w:val="000000"/>
          <w:sz w:val="22"/>
          <w:szCs w:val="22"/>
        </w:rPr>
        <w:br w:type="page" w:clear="all"/>
      </w:r>
    </w:p>
    <w:p w14:paraId="0293E628" w14:textId="2ED734C3" w:rsidR="0054280C" w:rsidRDefault="00B71134">
      <w:pPr>
        <w:jc w:val="both"/>
        <w:rPr>
          <w:color w:val="000000"/>
          <w:sz w:val="22"/>
          <w:szCs w:val="22"/>
        </w:rPr>
      </w:pPr>
      <w:r>
        <w:rPr>
          <w:color w:val="000000"/>
          <w:sz w:val="22"/>
          <w:szCs w:val="22"/>
        </w:rPr>
        <w:lastRenderedPageBreak/>
        <w:t>The NEPSY-II Attention/Inhibitory Control domain score was significantly associated with distance from residency to nearest plantation and all crop area variables between 100 and 500m (Figure 2). Doubling the area</w:t>
      </w:r>
      <w:commentRangeStart w:id="100"/>
      <w:commentRangeStart w:id="101"/>
      <w:r>
        <w:rPr>
          <w:color w:val="000000"/>
          <w:sz w:val="22"/>
          <w:szCs w:val="22"/>
        </w:rPr>
        <w:t xml:space="preserve"> of plantation </w:t>
      </w:r>
      <w:commentRangeStart w:id="102"/>
      <w:commentRangeEnd w:id="102"/>
      <w:r>
        <w:commentReference w:id="102"/>
      </w:r>
      <w:r>
        <w:rPr>
          <w:color w:val="000000"/>
          <w:sz w:val="22"/>
          <w:szCs w:val="22"/>
        </w:rPr>
        <w:t>is associated with the largest decrease in Attention/</w:t>
      </w:r>
      <w:r w:rsidRPr="005B68C9">
        <w:rPr>
          <w:color w:val="000000"/>
          <w:sz w:val="22"/>
          <w:szCs w:val="22"/>
        </w:rPr>
        <w:t xml:space="preserve">Inhibition scores within 100m of the home, as indicated by the lowest point estimate </w:t>
      </w:r>
      <w:commentRangeEnd w:id="100"/>
      <w:commentRangeEnd w:id="101"/>
      <w:r w:rsidRPr="005B68C9">
        <w:rPr>
          <w:sz w:val="22"/>
          <w:szCs w:val="22"/>
        </w:rPr>
        <w:commentReference w:id="100"/>
      </w:r>
      <w:r w:rsidRPr="005B68C9">
        <w:rPr>
          <w:sz w:val="22"/>
          <w:szCs w:val="22"/>
        </w:rPr>
        <w:commentReference w:id="101"/>
      </w:r>
      <w:r w:rsidRPr="005B68C9">
        <w:rPr>
          <w:color w:val="000000"/>
          <w:sz w:val="22"/>
          <w:szCs w:val="22"/>
        </w:rPr>
        <w:t>(Figure 2)</w:t>
      </w:r>
      <w:r w:rsidR="00A859C9" w:rsidRPr="005B68C9">
        <w:rPr>
          <w:color w:val="000000"/>
          <w:sz w:val="22"/>
          <w:szCs w:val="22"/>
        </w:rPr>
        <w:t xml:space="preserve"> with </w:t>
      </w:r>
      <w:r w:rsidR="002D5D17" w:rsidRPr="005B68C9">
        <w:rPr>
          <w:color w:val="000000"/>
          <w:sz w:val="22"/>
          <w:szCs w:val="22"/>
        </w:rPr>
        <w:t>a</w:t>
      </w:r>
      <w:r w:rsidR="00824F7C">
        <w:rPr>
          <w:color w:val="000000"/>
          <w:sz w:val="22"/>
          <w:szCs w:val="22"/>
        </w:rPr>
        <w:t>n estimate of</w:t>
      </w:r>
      <w:r w:rsidR="005B68C9" w:rsidRPr="005B68C9">
        <w:rPr>
          <w:color w:val="000000"/>
          <w:sz w:val="22"/>
          <w:szCs w:val="22"/>
        </w:rPr>
        <w:t xml:space="preserve"> -0.035 (</w:t>
      </w:r>
      <w:r w:rsidR="00824F7C">
        <w:rPr>
          <w:color w:val="000000"/>
          <w:sz w:val="22"/>
          <w:szCs w:val="22"/>
        </w:rPr>
        <w:t xml:space="preserve">95% CI: </w:t>
      </w:r>
      <w:r w:rsidR="005B68C9" w:rsidRPr="005B68C9">
        <w:rPr>
          <w:color w:val="000000"/>
          <w:sz w:val="22"/>
          <w:szCs w:val="22"/>
        </w:rPr>
        <w:t>-0.063, -0.006)</w:t>
      </w:r>
      <w:r w:rsidRPr="005B68C9">
        <w:rPr>
          <w:color w:val="000000"/>
          <w:sz w:val="22"/>
          <w:szCs w:val="22"/>
        </w:rPr>
        <w:t xml:space="preserve">. Doubling distance from the child’s home to the nearest crop is </w:t>
      </w:r>
      <w:r w:rsidR="005C4511">
        <w:rPr>
          <w:color w:val="000000"/>
          <w:sz w:val="22"/>
          <w:szCs w:val="22"/>
        </w:rPr>
        <w:t>associated with an</w:t>
      </w:r>
      <w:r w:rsidRPr="005B68C9">
        <w:rPr>
          <w:color w:val="000000"/>
          <w:sz w:val="22"/>
          <w:szCs w:val="22"/>
        </w:rPr>
        <w:t xml:space="preserve"> increase</w:t>
      </w:r>
      <w:r>
        <w:rPr>
          <w:color w:val="000000"/>
          <w:sz w:val="22"/>
          <w:szCs w:val="22"/>
        </w:rPr>
        <w:t xml:space="preserve"> </w:t>
      </w:r>
      <w:r w:rsidR="005C4511">
        <w:rPr>
          <w:color w:val="000000"/>
          <w:sz w:val="22"/>
          <w:szCs w:val="22"/>
        </w:rPr>
        <w:t xml:space="preserve">in </w:t>
      </w:r>
      <w:r>
        <w:rPr>
          <w:color w:val="000000"/>
          <w:sz w:val="22"/>
          <w:szCs w:val="22"/>
        </w:rPr>
        <w:t xml:space="preserve">the Attention/Inhibitory Control domain score by 0.086 (95% CI; 0.020, 0.152) points. Similarly, doubling area of greenhouses within 300m had the highest significance (p-value = 6.40e-3) and </w:t>
      </w:r>
      <w:r w:rsidR="005C4511">
        <w:rPr>
          <w:color w:val="000000"/>
          <w:sz w:val="22"/>
          <w:szCs w:val="22"/>
        </w:rPr>
        <w:t>changed Attention</w:t>
      </w:r>
      <w:r>
        <w:rPr>
          <w:color w:val="000000"/>
          <w:sz w:val="22"/>
          <w:szCs w:val="22"/>
        </w:rPr>
        <w:t xml:space="preserve">/Inhibitory Control domain scores by </w:t>
      </w:r>
      <w:r w:rsidR="0069064F">
        <w:rPr>
          <w:color w:val="000000"/>
          <w:sz w:val="22"/>
          <w:szCs w:val="22"/>
        </w:rPr>
        <w:t>-</w:t>
      </w:r>
      <w:r>
        <w:rPr>
          <w:color w:val="000000"/>
          <w:sz w:val="22"/>
          <w:szCs w:val="22"/>
        </w:rPr>
        <w:t xml:space="preserve">0.026 (95% CI; </w:t>
      </w:r>
      <w:r w:rsidR="0069064F">
        <w:rPr>
          <w:color w:val="000000"/>
          <w:sz w:val="22"/>
          <w:szCs w:val="22"/>
        </w:rPr>
        <w:t>-0.045, -</w:t>
      </w:r>
      <w:r>
        <w:rPr>
          <w:color w:val="000000"/>
          <w:sz w:val="22"/>
          <w:szCs w:val="22"/>
        </w:rPr>
        <w:t xml:space="preserve">0.007) points (Supplemental Table </w:t>
      </w:r>
      <w:r w:rsidR="00ED6629">
        <w:rPr>
          <w:color w:val="000000"/>
          <w:sz w:val="22"/>
          <w:szCs w:val="22"/>
        </w:rPr>
        <w:t>2</w:t>
      </w:r>
      <w:r>
        <w:rPr>
          <w:color w:val="000000"/>
          <w:sz w:val="22"/>
          <w:szCs w:val="22"/>
        </w:rPr>
        <w:t xml:space="preserve">). </w:t>
      </w:r>
    </w:p>
    <w:p w14:paraId="56CA1EAF" w14:textId="77777777" w:rsidR="0054280C" w:rsidRDefault="0054280C">
      <w:pPr>
        <w:jc w:val="both"/>
        <w:rPr>
          <w:color w:val="000000"/>
          <w:sz w:val="22"/>
          <w:szCs w:val="22"/>
        </w:rPr>
      </w:pPr>
    </w:p>
    <w:p w14:paraId="2307F153" w14:textId="3CD3BB5F" w:rsidR="0054280C" w:rsidRDefault="00B71134">
      <w:pPr>
        <w:jc w:val="both"/>
        <w:rPr>
          <w:color w:val="000000"/>
          <w:sz w:val="22"/>
          <w:szCs w:val="22"/>
        </w:rPr>
      </w:pPr>
      <w:r>
        <w:rPr>
          <w:color w:val="000000"/>
          <w:sz w:val="22"/>
          <w:szCs w:val="22"/>
        </w:rPr>
        <w:t xml:space="preserve">The Inhibition-Inhibition Combined (IIC) score was found to be significantly associated with distance from residency to nearest plantation and all crop area variables except at 1000 m. Doubling distance from the floriculture greenhouses increased IIC by 0.169 (95% CI; 0.077, 0.262) points. Doubling greenhouse area under 150m had the highest significance (p-value = 5.81e-05) and decreased IIC by 0.068 (95% CI; 0.035, 0.101) points (Figure 2 and Supplemental </w:t>
      </w:r>
      <w:r w:rsidR="00982559">
        <w:rPr>
          <w:color w:val="000000"/>
          <w:sz w:val="22"/>
          <w:szCs w:val="22"/>
        </w:rPr>
        <w:t>Table</w:t>
      </w:r>
      <w:r>
        <w:rPr>
          <w:color w:val="000000"/>
          <w:sz w:val="22"/>
          <w:szCs w:val="22"/>
        </w:rPr>
        <w:t xml:space="preserve"> </w:t>
      </w:r>
      <w:r w:rsidR="00982559">
        <w:rPr>
          <w:color w:val="000000"/>
          <w:sz w:val="22"/>
          <w:szCs w:val="22"/>
        </w:rPr>
        <w:t>2</w:t>
      </w:r>
      <w:r>
        <w:rPr>
          <w:color w:val="000000"/>
          <w:sz w:val="22"/>
          <w:szCs w:val="22"/>
        </w:rPr>
        <w:t>). The ISC score was significantly associated with crop areas within 150m, 300m, and 500m. Doubling greenhouse area under 500m had the highest significance (p-value = 0.010) and decreased ISC by 0.032 (95% CI; 0.008, 0.057) points (Figure 2</w:t>
      </w:r>
      <w:r w:rsidR="00BC2B22">
        <w:rPr>
          <w:color w:val="000000"/>
          <w:sz w:val="22"/>
          <w:szCs w:val="22"/>
        </w:rPr>
        <w:t xml:space="preserve"> and Supplemental Table 2</w:t>
      </w:r>
      <w:r>
        <w:rPr>
          <w:color w:val="000000"/>
          <w:sz w:val="22"/>
          <w:szCs w:val="22"/>
        </w:rPr>
        <w:t>).</w:t>
      </w:r>
    </w:p>
    <w:p w14:paraId="02C1B727" w14:textId="77777777" w:rsidR="0054280C" w:rsidRDefault="0054280C">
      <w:pPr>
        <w:jc w:val="both"/>
        <w:rPr>
          <w:color w:val="000000"/>
          <w:sz w:val="22"/>
          <w:szCs w:val="22"/>
        </w:rPr>
      </w:pPr>
    </w:p>
    <w:p w14:paraId="5C9BF6E8" w14:textId="391B9488" w:rsidR="0054280C" w:rsidRDefault="00B71134">
      <w:pPr>
        <w:jc w:val="both"/>
        <w:rPr>
          <w:color w:val="000000"/>
          <w:sz w:val="22"/>
          <w:szCs w:val="22"/>
        </w:rPr>
      </w:pPr>
      <w:r>
        <w:rPr>
          <w:color w:val="000000"/>
          <w:sz w:val="22"/>
          <w:szCs w:val="22"/>
        </w:rPr>
        <w:t xml:space="preserve">The Inhibition </w:t>
      </w:r>
      <w:commentRangeStart w:id="103"/>
      <w:r>
        <w:rPr>
          <w:color w:val="000000"/>
          <w:sz w:val="22"/>
          <w:szCs w:val="22"/>
        </w:rPr>
        <w:t xml:space="preserve">subdomain </w:t>
      </w:r>
      <w:commentRangeEnd w:id="103"/>
      <w:r>
        <w:commentReference w:id="103"/>
      </w:r>
      <w:proofErr w:type="gramStart"/>
      <w:r>
        <w:rPr>
          <w:color w:val="000000"/>
          <w:sz w:val="22"/>
          <w:szCs w:val="22"/>
        </w:rPr>
        <w:t>score—</w:t>
      </w:r>
      <w:proofErr w:type="gramEnd"/>
      <w:r>
        <w:rPr>
          <w:color w:val="000000"/>
          <w:sz w:val="22"/>
          <w:szCs w:val="22"/>
        </w:rPr>
        <w:t xml:space="preserve">which is the average of the IIC, INC and ISC subsets—was significantly associated with distance from residency to nearest </w:t>
      </w:r>
      <w:proofErr w:type="gramStart"/>
      <w:r>
        <w:rPr>
          <w:color w:val="000000"/>
          <w:sz w:val="22"/>
          <w:szCs w:val="22"/>
        </w:rPr>
        <w:t>planation</w:t>
      </w:r>
      <w:proofErr w:type="gramEnd"/>
      <w:r>
        <w:rPr>
          <w:color w:val="000000"/>
          <w:sz w:val="22"/>
          <w:szCs w:val="22"/>
        </w:rPr>
        <w:t xml:space="preserve"> and all crop area variables except at 1000m. Doubling distance between the household and the greenhouse (decreasing exposure) increased the inhibition subdomain score by 0.135 (95% CI; 0.060, 0.210) points. </w:t>
      </w:r>
      <w:commentRangeStart w:id="104"/>
      <w:r>
        <w:rPr>
          <w:color w:val="000000"/>
          <w:sz w:val="22"/>
          <w:szCs w:val="22"/>
        </w:rPr>
        <w:t>Doubling area of greenhouses (increasing exposure) within 150m had the highest significance (p-value = 3.59e-05) and decreased the inhibition subdomain score by 0.056 (95% CI; 0.030, 0.083) points</w:t>
      </w:r>
      <w:r w:rsidR="00D56636">
        <w:rPr>
          <w:color w:val="000000"/>
          <w:sz w:val="22"/>
          <w:szCs w:val="22"/>
        </w:rPr>
        <w:t xml:space="preserve"> (Figure 2 and Supplemental Table 2)</w:t>
      </w:r>
      <w:r>
        <w:rPr>
          <w:color w:val="000000"/>
          <w:sz w:val="22"/>
          <w:szCs w:val="22"/>
        </w:rPr>
        <w:t xml:space="preserve">. </w:t>
      </w:r>
      <w:commentRangeEnd w:id="104"/>
      <w:r>
        <w:commentReference w:id="104"/>
      </w:r>
    </w:p>
    <w:p w14:paraId="0F41F28B" w14:textId="77777777" w:rsidR="0054280C" w:rsidRDefault="00B71134">
      <w:pPr>
        <w:rPr>
          <w:color w:val="000000"/>
          <w:sz w:val="22"/>
          <w:szCs w:val="22"/>
        </w:rPr>
      </w:pPr>
      <w:r>
        <w:rPr>
          <w:noProof/>
        </w:rPr>
        <w:lastRenderedPageBreak/>
        <mc:AlternateContent>
          <mc:Choice Requires="wpg">
            <w:drawing>
              <wp:inline distT="0" distB="0" distL="0" distR="0" wp14:anchorId="5E7CE311" wp14:editId="781FEDCC">
                <wp:extent cx="5140710" cy="5153891"/>
                <wp:effectExtent l="0" t="0" r="0" b="0"/>
                <wp:docPr id="2" name="Picture 138438135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ox and whisker chart&#10;&#10;Description automatically generated"/>
                        <pic:cNvPicPr>
                          <a:picLocks noChangeAspect="1"/>
                        </pic:cNvPicPr>
                      </pic:nvPicPr>
                      <pic:blipFill>
                        <a:blip r:embed="rId15"/>
                        <a:stretch/>
                      </pic:blipFill>
                      <pic:spPr bwMode="auto">
                        <a:xfrm>
                          <a:off x="0" y="0"/>
                          <a:ext cx="5146153" cy="515934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4.78pt;height:405.82pt;mso-wrap-distance-left:0.00pt;mso-wrap-distance-top:0.00pt;mso-wrap-distance-right:0.00pt;mso-wrap-distance-bottom:0.00pt;z-index:1;" stroked="false">
                <v:imagedata r:id="rId16" o:title=""/>
                <o:lock v:ext="edit" rotation="t"/>
              </v:shape>
            </w:pict>
          </mc:Fallback>
        </mc:AlternateContent>
      </w:r>
    </w:p>
    <w:p w14:paraId="70026F6C" w14:textId="0BB87906" w:rsidR="0054280C" w:rsidRPr="006D0CAA" w:rsidRDefault="00B71134">
      <w:pPr>
        <w:rPr>
          <w:color w:val="000000"/>
          <w:sz w:val="18"/>
          <w:szCs w:val="18"/>
        </w:rPr>
      </w:pPr>
      <w:commentRangeStart w:id="105"/>
      <w:commentRangeStart w:id="106"/>
      <w:commentRangeStart w:id="107"/>
      <w:r w:rsidRPr="006D0CAA">
        <w:rPr>
          <w:b/>
          <w:bCs/>
          <w:color w:val="000000"/>
          <w:sz w:val="18"/>
          <w:szCs w:val="18"/>
        </w:rPr>
        <w:t>Figure 2</w:t>
      </w:r>
      <w:r w:rsidRPr="006D0CAA">
        <w:rPr>
          <w:color w:val="000000"/>
          <w:sz w:val="18"/>
          <w:szCs w:val="18"/>
        </w:rPr>
        <w:t xml:space="preserve">: </w:t>
      </w:r>
      <w:commentRangeEnd w:id="105"/>
      <w:commentRangeEnd w:id="106"/>
      <w:commentRangeEnd w:id="107"/>
      <w:r w:rsidRPr="006D0CAA">
        <w:rPr>
          <w:sz w:val="18"/>
          <w:szCs w:val="18"/>
        </w:rPr>
        <w:commentReference w:id="105"/>
      </w:r>
      <w:r w:rsidRPr="006D0CAA">
        <w:rPr>
          <w:sz w:val="18"/>
          <w:szCs w:val="18"/>
        </w:rPr>
        <w:commentReference w:id="106"/>
      </w:r>
      <w:r w:rsidRPr="006D0CAA">
        <w:rPr>
          <w:sz w:val="18"/>
          <w:szCs w:val="18"/>
        </w:rPr>
        <w:commentReference w:id="107"/>
      </w:r>
      <w:r w:rsidRPr="006D0CAA">
        <w:rPr>
          <w:color w:val="000000"/>
          <w:sz w:val="18"/>
          <w:szCs w:val="18"/>
        </w:rPr>
        <w:t xml:space="preserve">Estimates of the effect size of </w:t>
      </w:r>
      <w:r w:rsidR="00D56636" w:rsidRPr="006D0CAA">
        <w:rPr>
          <w:color w:val="000000"/>
          <w:sz w:val="18"/>
          <w:szCs w:val="18"/>
        </w:rPr>
        <w:t xml:space="preserve">doubling </w:t>
      </w:r>
      <w:r w:rsidRPr="006D0CAA">
        <w:rPr>
          <w:color w:val="000000"/>
          <w:sz w:val="18"/>
          <w:szCs w:val="18"/>
        </w:rPr>
        <w:t>distance or area variable with respect to select NEPSY-II</w:t>
      </w:r>
      <w:r w:rsidR="00B2414F" w:rsidRPr="006D0CAA">
        <w:rPr>
          <w:color w:val="000000"/>
          <w:sz w:val="18"/>
          <w:szCs w:val="18"/>
        </w:rPr>
        <w:t xml:space="preserve">, subdomain, and domain </w:t>
      </w:r>
      <w:r w:rsidRPr="006D0CAA">
        <w:rPr>
          <w:color w:val="000000"/>
          <w:sz w:val="18"/>
          <w:szCs w:val="18"/>
        </w:rPr>
        <w:t xml:space="preserve">scores </w:t>
      </w:r>
      <w:r w:rsidR="00261789" w:rsidRPr="006D0CAA">
        <w:rPr>
          <w:color w:val="000000"/>
          <w:sz w:val="18"/>
          <w:szCs w:val="18"/>
        </w:rPr>
        <w:t>in a GEEGLM model with exchangeable covariance structure</w:t>
      </w:r>
      <w:r w:rsidRPr="006D0CAA">
        <w:rPr>
          <w:color w:val="000000"/>
          <w:sz w:val="18"/>
          <w:szCs w:val="18"/>
        </w:rPr>
        <w:t xml:space="preserve">. The estimate is indicated by a point with a 95% confidence </w:t>
      </w:r>
      <w:commentRangeStart w:id="108"/>
      <w:commentRangeStart w:id="109"/>
      <w:r w:rsidRPr="006D0CAA">
        <w:rPr>
          <w:color w:val="000000"/>
          <w:sz w:val="18"/>
          <w:szCs w:val="18"/>
        </w:rPr>
        <w:t>interval</w:t>
      </w:r>
      <w:commentRangeEnd w:id="108"/>
      <w:commentRangeEnd w:id="109"/>
      <w:r w:rsidRPr="006D0CAA">
        <w:rPr>
          <w:sz w:val="18"/>
          <w:szCs w:val="18"/>
        </w:rPr>
        <w:commentReference w:id="108"/>
      </w:r>
      <w:r w:rsidRPr="006D0CAA">
        <w:rPr>
          <w:sz w:val="18"/>
          <w:szCs w:val="18"/>
        </w:rPr>
        <w:commentReference w:id="109"/>
      </w:r>
      <w:r w:rsidRPr="006D0CAA">
        <w:rPr>
          <w:color w:val="000000"/>
          <w:sz w:val="18"/>
          <w:szCs w:val="18"/>
        </w:rPr>
        <w:t xml:space="preserve">. </w:t>
      </w:r>
      <w:r w:rsidR="00BE0CF1" w:rsidRPr="006D0CAA">
        <w:rPr>
          <w:color w:val="000000"/>
          <w:sz w:val="18"/>
          <w:szCs w:val="18"/>
        </w:rPr>
        <w:t>Asterisks denote significant associations whose p-values are less than 0.05.</w:t>
      </w:r>
    </w:p>
    <w:p w14:paraId="6245F44F" w14:textId="77777777" w:rsidR="0054280C" w:rsidRDefault="0054280C">
      <w:pPr>
        <w:rPr>
          <w:color w:val="000000"/>
          <w:sz w:val="22"/>
          <w:szCs w:val="22"/>
        </w:rPr>
      </w:pPr>
    </w:p>
    <w:p w14:paraId="30BA6686" w14:textId="77777777" w:rsidR="0054280C" w:rsidRDefault="00B71134">
      <w:pPr>
        <w:pStyle w:val="ListParagraph"/>
        <w:numPr>
          <w:ilvl w:val="1"/>
          <w:numId w:val="15"/>
        </w:numPr>
        <w:rPr>
          <w:bCs/>
          <w:color w:val="000000"/>
          <w:sz w:val="22"/>
          <w:szCs w:val="22"/>
        </w:rPr>
      </w:pPr>
      <w:commentRangeStart w:id="110"/>
      <w:commentRangeStart w:id="111"/>
      <w:commentRangeStart w:id="112"/>
      <w:r>
        <w:rPr>
          <w:bCs/>
          <w:color w:val="000000"/>
          <w:sz w:val="22"/>
          <w:szCs w:val="22"/>
        </w:rPr>
        <w:t>Odds Ratio Model</w:t>
      </w:r>
      <w:commentRangeEnd w:id="110"/>
      <w:commentRangeEnd w:id="111"/>
      <w:commentRangeEnd w:id="112"/>
      <w:r>
        <w:commentReference w:id="110"/>
      </w:r>
      <w:r>
        <w:commentReference w:id="111"/>
      </w:r>
      <w:r>
        <w:commentReference w:id="112"/>
      </w:r>
    </w:p>
    <w:p w14:paraId="5D83A1CA" w14:textId="77777777" w:rsidR="0054280C" w:rsidRDefault="0054280C">
      <w:pPr>
        <w:rPr>
          <w:color w:val="000000"/>
          <w:sz w:val="22"/>
          <w:szCs w:val="22"/>
        </w:rPr>
      </w:pPr>
    </w:p>
    <w:p w14:paraId="1DE2B434" w14:textId="52B76DDC" w:rsidR="0054280C" w:rsidRDefault="00B71134">
      <w:pPr>
        <w:jc w:val="both"/>
        <w:rPr>
          <w:color w:val="000000"/>
          <w:sz w:val="22"/>
          <w:szCs w:val="22"/>
        </w:rPr>
      </w:pPr>
      <w:commentRangeStart w:id="113"/>
      <w:commentRangeStart w:id="114"/>
      <w:commentRangeStart w:id="115"/>
      <w:r>
        <w:rPr>
          <w:color w:val="000000"/>
          <w:sz w:val="22"/>
          <w:szCs w:val="22"/>
        </w:rPr>
        <w:t>In the odds ratio model</w:t>
      </w:r>
      <w:commentRangeEnd w:id="113"/>
      <w:commentRangeEnd w:id="114"/>
      <w:commentRangeEnd w:id="115"/>
      <w:r>
        <w:commentReference w:id="113"/>
      </w:r>
      <w:r>
        <w:commentReference w:id="114"/>
      </w:r>
      <w:r>
        <w:commentReference w:id="115"/>
      </w:r>
      <w:r>
        <w:rPr>
          <w:color w:val="000000"/>
          <w:sz w:val="22"/>
          <w:szCs w:val="22"/>
        </w:rPr>
        <w:t>, we decided on binarizing nearly all NEPSY-II scores with a</w:t>
      </w:r>
      <w:r w:rsidR="003B2B1B">
        <w:rPr>
          <w:color w:val="000000"/>
          <w:sz w:val="22"/>
          <w:szCs w:val="22"/>
        </w:rPr>
        <w:t xml:space="preserve">n internal cutoff, where a low NEPSY-II score is defined as </w:t>
      </w:r>
      <w:r w:rsidR="009F78DB">
        <w:rPr>
          <w:color w:val="000000"/>
          <w:sz w:val="22"/>
          <w:szCs w:val="22"/>
        </w:rPr>
        <w:t>being below the 30</w:t>
      </w:r>
      <w:r w:rsidR="009F78DB" w:rsidRPr="009F78DB">
        <w:rPr>
          <w:color w:val="000000"/>
          <w:sz w:val="22"/>
          <w:szCs w:val="22"/>
          <w:vertAlign w:val="superscript"/>
        </w:rPr>
        <w:t>th</w:t>
      </w:r>
      <w:r w:rsidR="009F78DB">
        <w:rPr>
          <w:color w:val="000000"/>
          <w:sz w:val="22"/>
          <w:szCs w:val="22"/>
        </w:rPr>
        <w:t xml:space="preserve"> </w:t>
      </w:r>
      <w:proofErr w:type="spellStart"/>
      <w:r w:rsidR="009F78DB">
        <w:rPr>
          <w:color w:val="000000"/>
          <w:sz w:val="22"/>
          <w:szCs w:val="22"/>
        </w:rPr>
        <w:t>percentile</w:t>
      </w:r>
      <w:del w:id="116" w:author="Jasen Zhang" w:date="2025-09-17T18:04:00Z" w16du:dateUtc="2025-09-18T01:04:00Z">
        <w:r w:rsidR="009F78DB" w:rsidDel="009F78DB">
          <w:rPr>
            <w:color w:val="000000"/>
            <w:sz w:val="22"/>
            <w:szCs w:val="22"/>
          </w:rPr>
          <w:delText>.</w:delText>
        </w:r>
        <w:r w:rsidDel="009F78DB">
          <w:rPr>
            <w:color w:val="000000"/>
            <w:sz w:val="22"/>
            <w:szCs w:val="22"/>
          </w:rPr>
          <w:delText xml:space="preserve"> threshold of greater than five vs less than or equal to five, as this is ‘</w:delText>
        </w:r>
        <w:commentRangeStart w:id="117"/>
        <w:commentRangeStart w:id="118"/>
        <w:r w:rsidDel="009F78DB">
          <w:rPr>
            <w:color w:val="000000"/>
            <w:sz w:val="22"/>
            <w:szCs w:val="22"/>
          </w:rPr>
          <w:delText>below expected</w:delText>
        </w:r>
        <w:commentRangeEnd w:id="117"/>
        <w:commentRangeEnd w:id="118"/>
        <w:r w:rsidDel="009F78DB">
          <w:commentReference w:id="117"/>
        </w:r>
        <w:r w:rsidDel="009F78DB">
          <w:commentReference w:id="118"/>
        </w:r>
        <w:r w:rsidDel="009F78DB">
          <w:rPr>
            <w:color w:val="000000"/>
            <w:sz w:val="22"/>
            <w:szCs w:val="22"/>
          </w:rPr>
          <w:delText xml:space="preserve">’ on the NEPSY scale. For ISC, we chose a cutoff of greater than </w:delText>
        </w:r>
        <w:commentRangeStart w:id="119"/>
        <w:r w:rsidDel="009F78DB">
          <w:rPr>
            <w:color w:val="000000"/>
            <w:sz w:val="22"/>
            <w:szCs w:val="22"/>
          </w:rPr>
          <w:delText>six versus less than or equal to</w:delText>
        </w:r>
        <w:commentRangeEnd w:id="119"/>
        <w:r w:rsidDel="009F78DB">
          <w:commentReference w:id="119"/>
        </w:r>
        <w:r w:rsidDel="009F78DB">
          <w:rPr>
            <w:color w:val="000000"/>
            <w:sz w:val="22"/>
            <w:szCs w:val="22"/>
          </w:rPr>
          <w:delText xml:space="preserve"> six get similar percentiles with those of IIC and INC. </w:delText>
        </w:r>
      </w:del>
      <w:r>
        <w:rPr>
          <w:color w:val="000000"/>
          <w:sz w:val="22"/>
          <w:szCs w:val="22"/>
        </w:rPr>
        <w:t>We</w:t>
      </w:r>
      <w:proofErr w:type="spellEnd"/>
      <w:r>
        <w:rPr>
          <w:color w:val="000000"/>
          <w:sz w:val="22"/>
          <w:szCs w:val="22"/>
        </w:rPr>
        <w:t xml:space="preserve"> found statistically significant results for IIC, CITS and MFF</w:t>
      </w:r>
      <w:r w:rsidR="00887952">
        <w:rPr>
          <w:color w:val="000000"/>
          <w:sz w:val="22"/>
          <w:szCs w:val="22"/>
        </w:rPr>
        <w:t>D</w:t>
      </w:r>
      <w:r>
        <w:rPr>
          <w:color w:val="000000"/>
          <w:sz w:val="22"/>
          <w:szCs w:val="22"/>
        </w:rPr>
        <w:t>TS scores</w:t>
      </w:r>
      <w:r w:rsidR="00887952">
        <w:rPr>
          <w:color w:val="000000"/>
          <w:sz w:val="22"/>
          <w:szCs w:val="22"/>
        </w:rPr>
        <w:t>, as well as the Attention/Inhibitory Control, Language, and Memory and Learning Domain scores</w:t>
      </w:r>
      <w:r>
        <w:rPr>
          <w:color w:val="000000"/>
          <w:sz w:val="22"/>
          <w:szCs w:val="22"/>
        </w:rPr>
        <w:t xml:space="preserve"> (</w:t>
      </w:r>
      <w:commentRangeStart w:id="120"/>
      <w:r>
        <w:rPr>
          <w:color w:val="000000"/>
          <w:sz w:val="22"/>
          <w:szCs w:val="22"/>
        </w:rPr>
        <w:t xml:space="preserve">Figure </w:t>
      </w:r>
      <w:commentRangeEnd w:id="120"/>
      <w:r>
        <w:commentReference w:id="120"/>
      </w:r>
      <w:ins w:id="121" w:author="Jasen Zhang" w:date="2025-09-17T18:04:00Z" w16du:dateUtc="2025-09-18T01:04:00Z">
        <w:r w:rsidR="009F78DB">
          <w:rPr>
            <w:color w:val="000000"/>
            <w:sz w:val="22"/>
            <w:szCs w:val="22"/>
          </w:rPr>
          <w:t>3</w:t>
        </w:r>
      </w:ins>
      <w:del w:id="122" w:author="Jasen Zhang" w:date="2025-09-17T18:04:00Z" w16du:dateUtc="2025-09-18T01:04:00Z">
        <w:r w:rsidDel="009F78DB">
          <w:rPr>
            <w:color w:val="000000"/>
            <w:sz w:val="22"/>
            <w:szCs w:val="22"/>
          </w:rPr>
          <w:delText>2</w:delText>
        </w:r>
      </w:del>
      <w:r>
        <w:rPr>
          <w:color w:val="000000"/>
          <w:sz w:val="22"/>
          <w:szCs w:val="22"/>
        </w:rPr>
        <w:t xml:space="preserve">). </w:t>
      </w:r>
    </w:p>
    <w:p w14:paraId="74DC2F5B" w14:textId="77777777" w:rsidR="0054280C" w:rsidRDefault="0054280C">
      <w:pPr>
        <w:rPr>
          <w:color w:val="000000"/>
          <w:sz w:val="22"/>
          <w:szCs w:val="22"/>
        </w:rPr>
      </w:pPr>
    </w:p>
    <w:p w14:paraId="3E11AD0C" w14:textId="5941D8EF" w:rsidR="0054280C" w:rsidRDefault="004F4341">
      <w:pPr>
        <w:rPr>
          <w:color w:val="000000"/>
          <w:sz w:val="22"/>
          <w:szCs w:val="22"/>
        </w:rPr>
      </w:pPr>
      <w:r>
        <w:rPr>
          <w:noProof/>
        </w:rPr>
        <w:lastRenderedPageBreak/>
        <w:drawing>
          <wp:inline distT="0" distB="0" distL="0" distR="0" wp14:anchorId="4E2C40EF" wp14:editId="1AC7B2A2">
            <wp:extent cx="5943600" cy="3941445"/>
            <wp:effectExtent l="0" t="0" r="0" b="1905"/>
            <wp:docPr id="52449768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7689" name="Picture 1" descr="A graph of a number of numbers&#10;&#10;AI-generated content may be incorrect."/>
                    <pic:cNvPicPr/>
                  </pic:nvPicPr>
                  <pic:blipFill>
                    <a:blip r:embed="rId17"/>
                    <a:stretch>
                      <a:fillRect/>
                    </a:stretch>
                  </pic:blipFill>
                  <pic:spPr>
                    <a:xfrm>
                      <a:off x="0" y="0"/>
                      <a:ext cx="5943600" cy="3941445"/>
                    </a:xfrm>
                    <a:prstGeom prst="rect">
                      <a:avLst/>
                    </a:prstGeom>
                  </pic:spPr>
                </pic:pic>
              </a:graphicData>
            </a:graphic>
          </wp:inline>
        </w:drawing>
      </w:r>
    </w:p>
    <w:p w14:paraId="472869EB" w14:textId="77777777" w:rsidR="0054280C" w:rsidRDefault="0054280C">
      <w:pPr>
        <w:rPr>
          <w:color w:val="000000"/>
          <w:sz w:val="22"/>
          <w:szCs w:val="22"/>
        </w:rPr>
      </w:pPr>
    </w:p>
    <w:p w14:paraId="74743DED" w14:textId="6E2F9942" w:rsidR="0054280C" w:rsidRDefault="00B71134">
      <w:pPr>
        <w:rPr>
          <w:color w:val="000000"/>
          <w:sz w:val="22"/>
          <w:szCs w:val="22"/>
        </w:rPr>
      </w:pPr>
      <w:r>
        <w:t xml:space="preserve"> </w:t>
      </w:r>
    </w:p>
    <w:p w14:paraId="2A7899F8" w14:textId="1771DBC5" w:rsidR="0054280C" w:rsidRPr="006D0CAA" w:rsidRDefault="00B71134">
      <w:pPr>
        <w:rPr>
          <w:color w:val="000000"/>
          <w:sz w:val="18"/>
          <w:szCs w:val="18"/>
        </w:rPr>
      </w:pPr>
      <w:commentRangeStart w:id="123"/>
      <w:commentRangeStart w:id="124"/>
      <w:r w:rsidRPr="006D0CAA">
        <w:rPr>
          <w:b/>
          <w:bCs/>
          <w:color w:val="000000"/>
          <w:sz w:val="18"/>
          <w:szCs w:val="18"/>
        </w:rPr>
        <w:t xml:space="preserve">Figure </w:t>
      </w:r>
      <w:commentRangeEnd w:id="123"/>
      <w:commentRangeEnd w:id="124"/>
      <w:r w:rsidRPr="006D0CAA">
        <w:rPr>
          <w:sz w:val="18"/>
          <w:szCs w:val="18"/>
        </w:rPr>
        <w:commentReference w:id="123"/>
      </w:r>
      <w:r w:rsidRPr="006D0CAA">
        <w:rPr>
          <w:sz w:val="18"/>
          <w:szCs w:val="18"/>
        </w:rPr>
        <w:commentReference w:id="124"/>
      </w:r>
      <w:r w:rsidR="005C45E9" w:rsidRPr="006D0CAA">
        <w:rPr>
          <w:b/>
          <w:bCs/>
          <w:color w:val="000000"/>
          <w:sz w:val="18"/>
          <w:szCs w:val="18"/>
        </w:rPr>
        <w:t>3</w:t>
      </w:r>
      <w:r w:rsidRPr="006D0CAA">
        <w:rPr>
          <w:color w:val="000000"/>
          <w:sz w:val="18"/>
          <w:szCs w:val="18"/>
        </w:rPr>
        <w:t xml:space="preserve">: </w:t>
      </w:r>
      <w:r w:rsidR="005A56CA" w:rsidRPr="006D0CAA">
        <w:rPr>
          <w:color w:val="000000"/>
          <w:sz w:val="18"/>
          <w:szCs w:val="18"/>
        </w:rPr>
        <w:t>Multiplicative change in the o</w:t>
      </w:r>
      <w:r w:rsidRPr="006D0CAA">
        <w:rPr>
          <w:color w:val="000000"/>
          <w:sz w:val="18"/>
          <w:szCs w:val="18"/>
        </w:rPr>
        <w:t xml:space="preserve">dds </w:t>
      </w:r>
      <w:commentRangeStart w:id="125"/>
      <w:r w:rsidRPr="006D0CAA">
        <w:rPr>
          <w:color w:val="000000"/>
          <w:sz w:val="18"/>
          <w:szCs w:val="18"/>
        </w:rPr>
        <w:t xml:space="preserve">ratio </w:t>
      </w:r>
      <w:commentRangeEnd w:id="125"/>
      <w:r w:rsidRPr="006D0CAA">
        <w:rPr>
          <w:sz w:val="18"/>
          <w:szCs w:val="18"/>
        </w:rPr>
        <w:commentReference w:id="125"/>
      </w:r>
      <w:r w:rsidRPr="006D0CAA">
        <w:rPr>
          <w:color w:val="000000"/>
          <w:sz w:val="18"/>
          <w:szCs w:val="18"/>
        </w:rPr>
        <w:t xml:space="preserve">of having a </w:t>
      </w:r>
      <w:commentRangeStart w:id="126"/>
      <w:del w:id="127" w:author="Jasen Zhang" w:date="2025-09-17T17:17:00Z" w16du:dateUtc="2025-09-18T00:17:00Z">
        <w:r w:rsidRPr="006D0CAA" w:rsidDel="004F4341">
          <w:rPr>
            <w:color w:val="000000"/>
            <w:sz w:val="18"/>
            <w:szCs w:val="18"/>
          </w:rPr>
          <w:delText xml:space="preserve">high </w:delText>
        </w:r>
      </w:del>
      <w:commentRangeEnd w:id="126"/>
      <w:ins w:id="128" w:author="Jasen Zhang" w:date="2025-09-17T17:17:00Z" w16du:dateUtc="2025-09-18T00:17:00Z">
        <w:r w:rsidR="004F4341" w:rsidRPr="006D0CAA">
          <w:rPr>
            <w:color w:val="000000"/>
            <w:sz w:val="18"/>
            <w:szCs w:val="18"/>
          </w:rPr>
          <w:t xml:space="preserve"> low </w:t>
        </w:r>
      </w:ins>
      <w:r w:rsidRPr="006D0CAA">
        <w:rPr>
          <w:sz w:val="18"/>
          <w:szCs w:val="18"/>
        </w:rPr>
        <w:commentReference w:id="126"/>
      </w:r>
      <w:r w:rsidRPr="006D0CAA">
        <w:rPr>
          <w:color w:val="000000"/>
          <w:sz w:val="18"/>
          <w:szCs w:val="18"/>
        </w:rPr>
        <w:t xml:space="preserve">NEPSY-II score (reference: </w:t>
      </w:r>
      <w:r w:rsidR="004F4341" w:rsidRPr="006D0CAA">
        <w:rPr>
          <w:color w:val="000000"/>
          <w:sz w:val="18"/>
          <w:szCs w:val="18"/>
        </w:rPr>
        <w:t>high</w:t>
      </w:r>
      <w:r w:rsidRPr="006D0CAA">
        <w:rPr>
          <w:color w:val="000000"/>
          <w:sz w:val="18"/>
          <w:szCs w:val="18"/>
        </w:rPr>
        <w:t xml:space="preserve"> score) after doubling distance or area variable for select NEPSY-II scores and subdomains. The </w:t>
      </w:r>
      <w:proofErr w:type="gramStart"/>
      <w:r w:rsidR="004735E7" w:rsidRPr="006D0CAA">
        <w:rPr>
          <w:color w:val="000000"/>
          <w:sz w:val="18"/>
          <w:szCs w:val="18"/>
        </w:rPr>
        <w:t xml:space="preserve">estimate </w:t>
      </w:r>
      <w:r w:rsidRPr="006D0CAA">
        <w:rPr>
          <w:color w:val="000000"/>
          <w:sz w:val="18"/>
          <w:szCs w:val="18"/>
        </w:rPr>
        <w:t xml:space="preserve"> is</w:t>
      </w:r>
      <w:proofErr w:type="gramEnd"/>
      <w:r w:rsidRPr="006D0CAA">
        <w:rPr>
          <w:color w:val="000000"/>
          <w:sz w:val="18"/>
          <w:szCs w:val="18"/>
        </w:rPr>
        <w:t xml:space="preserve"> indicated by a point with a 95% confidence interval. </w:t>
      </w:r>
      <w:r w:rsidR="00210F0F" w:rsidRPr="006D0CAA">
        <w:rPr>
          <w:color w:val="000000"/>
          <w:sz w:val="18"/>
          <w:szCs w:val="18"/>
        </w:rPr>
        <w:t xml:space="preserve">Asterisks denote significant associations whose p-values are less than 0.05. </w:t>
      </w:r>
      <w:r w:rsidR="007331AF" w:rsidRPr="006D0CAA">
        <w:rPr>
          <w:color w:val="000000"/>
          <w:sz w:val="18"/>
          <w:szCs w:val="18"/>
        </w:rPr>
        <w:t xml:space="preserve">A low </w:t>
      </w:r>
      <w:r w:rsidRPr="006D0CAA">
        <w:rPr>
          <w:color w:val="000000"/>
          <w:sz w:val="18"/>
          <w:szCs w:val="18"/>
        </w:rPr>
        <w:t>NEPSY-II scores</w:t>
      </w:r>
      <w:r w:rsidR="007331AF" w:rsidRPr="006D0CAA">
        <w:rPr>
          <w:color w:val="000000"/>
          <w:sz w:val="18"/>
          <w:szCs w:val="18"/>
        </w:rPr>
        <w:t xml:space="preserve"> </w:t>
      </w:r>
      <w:proofErr w:type="gramStart"/>
      <w:r w:rsidR="007331AF" w:rsidRPr="006D0CAA">
        <w:rPr>
          <w:color w:val="000000"/>
          <w:sz w:val="18"/>
          <w:szCs w:val="18"/>
        </w:rPr>
        <w:t>is</w:t>
      </w:r>
      <w:proofErr w:type="gramEnd"/>
      <w:r w:rsidR="007331AF" w:rsidRPr="006D0CAA">
        <w:rPr>
          <w:color w:val="000000"/>
          <w:sz w:val="18"/>
          <w:szCs w:val="18"/>
        </w:rPr>
        <w:t xml:space="preserve"> decided by an internal cutoff of the 30</w:t>
      </w:r>
      <w:r w:rsidR="007331AF" w:rsidRPr="006D0CAA">
        <w:rPr>
          <w:color w:val="000000"/>
          <w:sz w:val="18"/>
          <w:szCs w:val="18"/>
          <w:vertAlign w:val="superscript"/>
        </w:rPr>
        <w:t>th</w:t>
      </w:r>
      <w:r w:rsidR="007331AF" w:rsidRPr="006D0CAA">
        <w:rPr>
          <w:color w:val="000000"/>
          <w:sz w:val="18"/>
          <w:szCs w:val="18"/>
        </w:rPr>
        <w:t xml:space="preserve"> percentile. </w:t>
      </w:r>
    </w:p>
    <w:p w14:paraId="35433ABE" w14:textId="77777777" w:rsidR="0054280C" w:rsidRDefault="0054280C">
      <w:pPr>
        <w:rPr>
          <w:color w:val="000000"/>
          <w:sz w:val="22"/>
          <w:szCs w:val="22"/>
        </w:rPr>
      </w:pPr>
    </w:p>
    <w:p w14:paraId="6F316995" w14:textId="05B96EA1" w:rsidR="0054280C" w:rsidRDefault="00B71134">
      <w:pPr>
        <w:jc w:val="both"/>
        <w:rPr>
          <w:color w:val="000000"/>
          <w:sz w:val="22"/>
          <w:szCs w:val="22"/>
        </w:rPr>
      </w:pPr>
      <w:r>
        <w:rPr>
          <w:color w:val="000000"/>
          <w:sz w:val="22"/>
          <w:szCs w:val="22"/>
        </w:rPr>
        <w:t xml:space="preserve">The IIC score was found to be significantly associated with distance from residency to nearest plantation and all crop area variables between </w:t>
      </w:r>
      <w:commentRangeStart w:id="129"/>
      <w:r>
        <w:rPr>
          <w:color w:val="000000"/>
          <w:sz w:val="22"/>
          <w:szCs w:val="22"/>
        </w:rPr>
        <w:t xml:space="preserve">50m and </w:t>
      </w:r>
      <w:r w:rsidR="00087979">
        <w:rPr>
          <w:color w:val="000000"/>
          <w:sz w:val="22"/>
          <w:szCs w:val="22"/>
        </w:rPr>
        <w:t>3</w:t>
      </w:r>
      <w:r>
        <w:rPr>
          <w:color w:val="000000"/>
          <w:sz w:val="22"/>
          <w:szCs w:val="22"/>
        </w:rPr>
        <w:t>00m</w:t>
      </w:r>
      <w:commentRangeEnd w:id="129"/>
      <w:r>
        <w:commentReference w:id="129"/>
      </w:r>
      <w:del w:id="130" w:author="Jasen Zhang" w:date="2025-09-17T18:16:00Z" w16du:dateUtc="2025-09-18T01:16:00Z">
        <w:r w:rsidDel="00E64E62">
          <w:rPr>
            <w:color w:val="000000"/>
            <w:sz w:val="22"/>
            <w:szCs w:val="22"/>
          </w:rPr>
          <w:delText xml:space="preserve">, to understand levels of proximity and </w:delText>
        </w:r>
        <w:r w:rsidRPr="004D262F" w:rsidDel="00E64E62">
          <w:rPr>
            <w:color w:val="000000"/>
            <w:sz w:val="22"/>
            <w:szCs w:val="22"/>
          </w:rPr>
          <w:delText>differences in exposure</w:delText>
        </w:r>
      </w:del>
      <w:r w:rsidRPr="004D262F">
        <w:rPr>
          <w:color w:val="000000"/>
          <w:sz w:val="22"/>
          <w:szCs w:val="22"/>
        </w:rPr>
        <w:t xml:space="preserve">. Doubling distance </w:t>
      </w:r>
      <w:r w:rsidR="00E64E62" w:rsidRPr="004D262F">
        <w:rPr>
          <w:color w:val="000000"/>
          <w:sz w:val="22"/>
          <w:szCs w:val="22"/>
        </w:rPr>
        <w:t>decreased</w:t>
      </w:r>
      <w:r w:rsidRPr="004D262F">
        <w:rPr>
          <w:color w:val="000000"/>
          <w:sz w:val="22"/>
          <w:szCs w:val="22"/>
        </w:rPr>
        <w:t xml:space="preserve"> the odds of having a </w:t>
      </w:r>
      <w:r w:rsidR="004D262F" w:rsidRPr="004D262F">
        <w:rPr>
          <w:color w:val="000000"/>
          <w:sz w:val="22"/>
          <w:szCs w:val="22"/>
        </w:rPr>
        <w:t>low</w:t>
      </w:r>
      <w:r w:rsidRPr="004D262F">
        <w:rPr>
          <w:color w:val="000000"/>
          <w:sz w:val="22"/>
          <w:szCs w:val="22"/>
        </w:rPr>
        <w:t xml:space="preserve"> IIC score </w:t>
      </w:r>
      <w:r w:rsidR="004D262F" w:rsidRPr="004D262F">
        <w:rPr>
          <w:color w:val="000000"/>
          <w:sz w:val="22"/>
          <w:szCs w:val="22"/>
        </w:rPr>
        <w:t>with</w:t>
      </w:r>
      <w:r w:rsidRPr="004D262F">
        <w:rPr>
          <w:color w:val="000000"/>
          <w:sz w:val="22"/>
          <w:szCs w:val="22"/>
        </w:rPr>
        <w:t xml:space="preserve"> a factor of </w:t>
      </w:r>
      <w:r w:rsidR="004D262F" w:rsidRPr="004D262F">
        <w:rPr>
          <w:color w:val="000000"/>
          <w:sz w:val="22"/>
          <w:szCs w:val="22"/>
        </w:rPr>
        <w:t>0.886 (95% CI: 0.814, 0.964)</w:t>
      </w:r>
      <w:r w:rsidRPr="004D262F">
        <w:rPr>
          <w:color w:val="000000"/>
          <w:sz w:val="22"/>
          <w:szCs w:val="22"/>
        </w:rPr>
        <w:t xml:space="preserve">, while doubling greenhouse area under </w:t>
      </w:r>
      <w:r w:rsidR="000A0203">
        <w:rPr>
          <w:color w:val="000000"/>
          <w:sz w:val="22"/>
          <w:szCs w:val="22"/>
        </w:rPr>
        <w:t>30</w:t>
      </w:r>
      <w:r w:rsidRPr="004D262F">
        <w:rPr>
          <w:color w:val="000000"/>
          <w:sz w:val="22"/>
          <w:szCs w:val="22"/>
        </w:rPr>
        <w:t xml:space="preserve">0 m had the highest statistical </w:t>
      </w:r>
      <w:r w:rsidRPr="000A0203">
        <w:rPr>
          <w:color w:val="000000"/>
          <w:sz w:val="22"/>
          <w:szCs w:val="22"/>
        </w:rPr>
        <w:t xml:space="preserve">significance </w:t>
      </w:r>
      <w:r w:rsidR="000A0203" w:rsidRPr="000A0203">
        <w:rPr>
          <w:color w:val="000000"/>
          <w:sz w:val="22"/>
          <w:szCs w:val="22"/>
        </w:rPr>
        <w:t xml:space="preserve">of any area variable </w:t>
      </w:r>
      <w:r w:rsidRPr="000A0203">
        <w:rPr>
          <w:color w:val="000000"/>
          <w:sz w:val="22"/>
          <w:szCs w:val="22"/>
        </w:rPr>
        <w:t xml:space="preserve">(p-value = </w:t>
      </w:r>
      <w:r w:rsidR="000A0203" w:rsidRPr="000A0203">
        <w:rPr>
          <w:color w:val="000000"/>
          <w:sz w:val="22"/>
          <w:szCs w:val="22"/>
        </w:rPr>
        <w:t>8.29</w:t>
      </w:r>
      <w:r w:rsidRPr="000A0203">
        <w:rPr>
          <w:color w:val="000000"/>
          <w:sz w:val="22"/>
          <w:szCs w:val="22"/>
        </w:rPr>
        <w:t>e-</w:t>
      </w:r>
      <w:r w:rsidR="000A0203" w:rsidRPr="000A0203">
        <w:rPr>
          <w:color w:val="000000"/>
          <w:sz w:val="22"/>
          <w:szCs w:val="22"/>
        </w:rPr>
        <w:t>3</w:t>
      </w:r>
      <w:r w:rsidRPr="000A0203">
        <w:rPr>
          <w:color w:val="000000"/>
          <w:sz w:val="22"/>
          <w:szCs w:val="22"/>
        </w:rPr>
        <w:t xml:space="preserve">) and changed the odds ratio of a </w:t>
      </w:r>
      <w:r w:rsidR="000A0203" w:rsidRPr="000A0203">
        <w:rPr>
          <w:color w:val="000000"/>
          <w:sz w:val="22"/>
          <w:szCs w:val="22"/>
        </w:rPr>
        <w:t>low</w:t>
      </w:r>
      <w:r w:rsidRPr="000A0203">
        <w:rPr>
          <w:color w:val="000000"/>
          <w:sz w:val="22"/>
          <w:szCs w:val="22"/>
        </w:rPr>
        <w:t xml:space="preserve"> IIC score by a factor of </w:t>
      </w:r>
      <w:r w:rsidR="000A0203" w:rsidRPr="000A0203">
        <w:rPr>
          <w:color w:val="000000"/>
          <w:sz w:val="22"/>
          <w:szCs w:val="22"/>
        </w:rPr>
        <w:t>1.033 (95% CI: 1.008, 1.059)</w:t>
      </w:r>
      <w:r w:rsidR="001E4D7C">
        <w:rPr>
          <w:color w:val="000000"/>
          <w:sz w:val="22"/>
          <w:szCs w:val="22"/>
        </w:rPr>
        <w:t xml:space="preserve"> (Figure 3, Supplemental Table 3)</w:t>
      </w:r>
      <w:r w:rsidRPr="000A0203">
        <w:rPr>
          <w:color w:val="000000"/>
          <w:sz w:val="22"/>
          <w:szCs w:val="22"/>
        </w:rPr>
        <w:t xml:space="preserve">. </w:t>
      </w:r>
      <w:del w:id="131" w:author="Jasen Zhang" w:date="2025-09-17T18:20:00Z" w16du:dateUtc="2025-09-18T01:20:00Z">
        <w:r w:rsidRPr="000A0203" w:rsidDel="000A0203">
          <w:rPr>
            <w:color w:val="000000"/>
            <w:sz w:val="22"/>
            <w:szCs w:val="22"/>
          </w:rPr>
          <w:delText>The INC score was found to be significantly associated with distance from resid</w:delText>
        </w:r>
        <w:r w:rsidDel="000A0203">
          <w:rPr>
            <w:color w:val="000000"/>
            <w:sz w:val="22"/>
            <w:szCs w:val="22"/>
          </w:rPr>
          <w:delText>ency to nearest plantation as well as areas under 100m, 200m, and 300m radii values. Doubling distance changed the odds ratio of a high INC score by a factor of 1.084 (95% CI: 1.013, 1.159), while doubling greenhouse area under 300m had the highest significance (p-value = 2.22e-3) and changed the odds ratio of a high INC score by a factor of 0.971 (95% CI: 0.953, 0.990). The ISC score was only found to be significant in crop areas under 500m. Doubling crop areas under 500m led to a change in the odds ratio of a high ISC score by 0.981 (95% CI: 0.962, 0.999).</w:delText>
        </w:r>
      </w:del>
    </w:p>
    <w:p w14:paraId="504AF694" w14:textId="77777777" w:rsidR="0054280C" w:rsidRDefault="0054280C">
      <w:pPr>
        <w:jc w:val="both"/>
        <w:rPr>
          <w:color w:val="000000"/>
          <w:sz w:val="22"/>
          <w:szCs w:val="22"/>
        </w:rPr>
      </w:pPr>
    </w:p>
    <w:p w14:paraId="48DA6838" w14:textId="45D94432" w:rsidR="000A0203" w:rsidRPr="000A0203" w:rsidRDefault="0065413B">
      <w:pPr>
        <w:jc w:val="both"/>
        <w:rPr>
          <w:color w:val="000000"/>
          <w:sz w:val="22"/>
          <w:szCs w:val="22"/>
        </w:rPr>
      </w:pPr>
      <w:r>
        <w:rPr>
          <w:color w:val="000000"/>
          <w:sz w:val="22"/>
          <w:szCs w:val="22"/>
        </w:rPr>
        <w:t xml:space="preserve">In the Language domain, </w:t>
      </w:r>
      <w:r w:rsidR="000A0203">
        <w:rPr>
          <w:color w:val="000000"/>
          <w:sz w:val="22"/>
          <w:szCs w:val="22"/>
        </w:rPr>
        <w:t xml:space="preserve">The CITS score was found to be significantly associated with distance from </w:t>
      </w:r>
      <w:r w:rsidR="000A0203" w:rsidRPr="000A0203">
        <w:rPr>
          <w:color w:val="000000"/>
          <w:sz w:val="22"/>
          <w:szCs w:val="22"/>
        </w:rPr>
        <w:t xml:space="preserve">residency to nearest plantation only. Doubling distance </w:t>
      </w:r>
      <w:r w:rsidR="00D9528B">
        <w:rPr>
          <w:color w:val="000000"/>
          <w:sz w:val="22"/>
          <w:szCs w:val="22"/>
        </w:rPr>
        <w:t>decreased</w:t>
      </w:r>
      <w:r w:rsidR="000A0203" w:rsidRPr="000A0203">
        <w:rPr>
          <w:color w:val="000000"/>
          <w:sz w:val="22"/>
          <w:szCs w:val="22"/>
        </w:rPr>
        <w:t xml:space="preserve"> the odds ratio of a low CITS score by a factor of 0.897 (95% CI: 0.817, 0.985)</w:t>
      </w:r>
      <w:r w:rsidR="008F1765">
        <w:rPr>
          <w:color w:val="000000"/>
          <w:sz w:val="22"/>
          <w:szCs w:val="22"/>
        </w:rPr>
        <w:t xml:space="preserve">. </w:t>
      </w:r>
      <w:r>
        <w:rPr>
          <w:color w:val="000000"/>
          <w:sz w:val="22"/>
          <w:szCs w:val="22"/>
        </w:rPr>
        <w:t xml:space="preserve">The Language </w:t>
      </w:r>
      <w:r w:rsidR="00DB136B">
        <w:rPr>
          <w:color w:val="000000"/>
          <w:sz w:val="22"/>
          <w:szCs w:val="22"/>
        </w:rPr>
        <w:t xml:space="preserve">domain overall score was significantly associated with crop areas under 300m. Doubling greenhouse area under 300m </w:t>
      </w:r>
      <w:r w:rsidR="004664E1">
        <w:rPr>
          <w:color w:val="000000"/>
          <w:sz w:val="22"/>
          <w:szCs w:val="22"/>
        </w:rPr>
        <w:t>increased</w:t>
      </w:r>
      <w:r w:rsidR="000E0DE9">
        <w:rPr>
          <w:color w:val="000000"/>
          <w:sz w:val="22"/>
          <w:szCs w:val="22"/>
        </w:rPr>
        <w:t xml:space="preserve"> the odds ratio of a low Language domain score </w:t>
      </w:r>
      <w:r w:rsidR="000E0DE9" w:rsidRPr="000E0DE9">
        <w:rPr>
          <w:color w:val="000000"/>
          <w:sz w:val="22"/>
          <w:szCs w:val="22"/>
        </w:rPr>
        <w:t>by 1.038 (1.010, 1.067)</w:t>
      </w:r>
      <w:r w:rsidR="00F73DA5">
        <w:rPr>
          <w:color w:val="000000"/>
          <w:sz w:val="22"/>
          <w:szCs w:val="22"/>
        </w:rPr>
        <w:t xml:space="preserve"> (Figure 3, Supplemental Table 3)</w:t>
      </w:r>
      <w:r w:rsidR="000E0DE9">
        <w:rPr>
          <w:color w:val="000000"/>
          <w:sz w:val="22"/>
          <w:szCs w:val="22"/>
        </w:rPr>
        <w:t xml:space="preserve">. </w:t>
      </w:r>
    </w:p>
    <w:p w14:paraId="02C220CA" w14:textId="77777777" w:rsidR="000A0203" w:rsidRDefault="000A0203">
      <w:pPr>
        <w:jc w:val="both"/>
        <w:rPr>
          <w:color w:val="000000"/>
          <w:sz w:val="22"/>
          <w:szCs w:val="22"/>
        </w:rPr>
      </w:pPr>
    </w:p>
    <w:p w14:paraId="2E64A510" w14:textId="0DC8EA88" w:rsidR="008F1765" w:rsidRDefault="000E0DE9">
      <w:pPr>
        <w:jc w:val="both"/>
        <w:rPr>
          <w:color w:val="000000"/>
          <w:sz w:val="22"/>
          <w:szCs w:val="22"/>
        </w:rPr>
      </w:pPr>
      <w:r>
        <w:rPr>
          <w:color w:val="000000"/>
          <w:sz w:val="22"/>
          <w:szCs w:val="22"/>
        </w:rPr>
        <w:lastRenderedPageBreak/>
        <w:t>In the Memory and Learning domain, t</w:t>
      </w:r>
      <w:r w:rsidR="008F1765">
        <w:rPr>
          <w:color w:val="000000"/>
          <w:sz w:val="22"/>
          <w:szCs w:val="22"/>
        </w:rPr>
        <w:t xml:space="preserve">he MFFDTS score was found to be significantly associated with </w:t>
      </w:r>
      <w:r w:rsidR="003B3F4B">
        <w:rPr>
          <w:color w:val="000000"/>
          <w:sz w:val="22"/>
          <w:szCs w:val="22"/>
        </w:rPr>
        <w:t xml:space="preserve">crop </w:t>
      </w:r>
      <w:r w:rsidR="008F1765">
        <w:rPr>
          <w:color w:val="000000"/>
          <w:sz w:val="22"/>
          <w:szCs w:val="22"/>
        </w:rPr>
        <w:t>area under 500m only</w:t>
      </w:r>
      <w:r w:rsidR="008F1765" w:rsidRPr="008F1765">
        <w:rPr>
          <w:color w:val="000000"/>
          <w:sz w:val="22"/>
          <w:szCs w:val="22"/>
        </w:rPr>
        <w:t xml:space="preserve">. Doubling </w:t>
      </w:r>
      <w:r w:rsidR="003B3F4B">
        <w:rPr>
          <w:color w:val="000000"/>
          <w:sz w:val="22"/>
          <w:szCs w:val="22"/>
        </w:rPr>
        <w:t>the</w:t>
      </w:r>
      <w:r w:rsidR="0026454B">
        <w:rPr>
          <w:color w:val="000000"/>
          <w:sz w:val="22"/>
          <w:szCs w:val="22"/>
        </w:rPr>
        <w:t xml:space="preserve"> crop</w:t>
      </w:r>
      <w:r w:rsidR="003B3F4B">
        <w:rPr>
          <w:color w:val="000000"/>
          <w:sz w:val="22"/>
          <w:szCs w:val="22"/>
        </w:rPr>
        <w:t xml:space="preserve"> area</w:t>
      </w:r>
      <w:r w:rsidR="008F1765" w:rsidRPr="008F1765">
        <w:rPr>
          <w:color w:val="000000"/>
          <w:sz w:val="22"/>
          <w:szCs w:val="22"/>
        </w:rPr>
        <w:t xml:space="preserve"> </w:t>
      </w:r>
      <w:r w:rsidR="0026454B">
        <w:rPr>
          <w:color w:val="000000"/>
          <w:sz w:val="22"/>
          <w:szCs w:val="22"/>
        </w:rPr>
        <w:t>decreased</w:t>
      </w:r>
      <w:r w:rsidR="008F1765" w:rsidRPr="008F1765">
        <w:rPr>
          <w:color w:val="000000"/>
          <w:sz w:val="22"/>
          <w:szCs w:val="22"/>
        </w:rPr>
        <w:t xml:space="preserve"> the odds ratio of a low </w:t>
      </w:r>
      <w:r w:rsidR="003B3F4B">
        <w:rPr>
          <w:color w:val="000000"/>
          <w:sz w:val="22"/>
          <w:szCs w:val="22"/>
        </w:rPr>
        <w:t>MFFDTS</w:t>
      </w:r>
      <w:r w:rsidR="008F1765" w:rsidRPr="008F1765">
        <w:rPr>
          <w:color w:val="000000"/>
          <w:sz w:val="22"/>
          <w:szCs w:val="22"/>
        </w:rPr>
        <w:t xml:space="preserve"> score by a factor of 0.970 (0</w:t>
      </w:r>
      <w:r w:rsidR="008F1765" w:rsidRPr="00F73DA5">
        <w:rPr>
          <w:color w:val="000000"/>
          <w:sz w:val="22"/>
          <w:szCs w:val="22"/>
        </w:rPr>
        <w:t>.944, 0.997).</w:t>
      </w:r>
      <w:ins w:id="132" w:author="Jasen Zhang" w:date="2025-09-17T18:27:00Z" w16du:dateUtc="2025-09-18T01:27:00Z">
        <w:r w:rsidR="0028087D" w:rsidRPr="00F73DA5">
          <w:rPr>
            <w:color w:val="000000"/>
            <w:sz w:val="22"/>
            <w:szCs w:val="22"/>
          </w:rPr>
          <w:t xml:space="preserve"> </w:t>
        </w:r>
      </w:ins>
      <w:r w:rsidR="0028087D" w:rsidRPr="00F73DA5">
        <w:rPr>
          <w:color w:val="000000"/>
          <w:sz w:val="22"/>
          <w:szCs w:val="22"/>
        </w:rPr>
        <w:t xml:space="preserve">The Memory and Learning overall domain score </w:t>
      </w:r>
      <w:r w:rsidR="00242434" w:rsidRPr="00F73DA5">
        <w:rPr>
          <w:color w:val="000000"/>
          <w:sz w:val="22"/>
          <w:szCs w:val="22"/>
        </w:rPr>
        <w:t xml:space="preserve">had significant associations with </w:t>
      </w:r>
      <w:r w:rsidR="00517E61">
        <w:rPr>
          <w:color w:val="000000"/>
          <w:sz w:val="22"/>
          <w:szCs w:val="22"/>
        </w:rPr>
        <w:t xml:space="preserve">doubling </w:t>
      </w:r>
      <w:r w:rsidR="00242434" w:rsidRPr="00F73DA5">
        <w:rPr>
          <w:color w:val="000000"/>
          <w:sz w:val="22"/>
          <w:szCs w:val="22"/>
        </w:rPr>
        <w:t xml:space="preserve">crop areas at 50m and 500m, with 500m having the most significant association (p-value = 0.021) with a </w:t>
      </w:r>
      <w:r w:rsidR="0026454B">
        <w:rPr>
          <w:color w:val="000000"/>
          <w:sz w:val="22"/>
          <w:szCs w:val="22"/>
        </w:rPr>
        <w:t>decrease</w:t>
      </w:r>
      <w:r w:rsidR="00242434" w:rsidRPr="00F73DA5">
        <w:rPr>
          <w:color w:val="000000"/>
          <w:sz w:val="22"/>
          <w:szCs w:val="22"/>
        </w:rPr>
        <w:t xml:space="preserve"> in </w:t>
      </w:r>
      <w:r w:rsidR="00F73DA5" w:rsidRPr="00F73DA5">
        <w:rPr>
          <w:color w:val="000000"/>
          <w:sz w:val="22"/>
          <w:szCs w:val="22"/>
        </w:rPr>
        <w:t>the odds ratio of a low score of 0.957 (95% CI: 0.922, 0.993)</w:t>
      </w:r>
      <w:r w:rsidR="00F73DA5">
        <w:rPr>
          <w:color w:val="000000"/>
          <w:sz w:val="22"/>
          <w:szCs w:val="22"/>
        </w:rPr>
        <w:t xml:space="preserve"> (Figure 3, Supplemental Table 3)</w:t>
      </w:r>
      <w:r w:rsidR="00F73DA5" w:rsidRPr="00F73DA5">
        <w:rPr>
          <w:color w:val="000000"/>
          <w:sz w:val="22"/>
          <w:szCs w:val="22"/>
        </w:rPr>
        <w:t>.</w:t>
      </w:r>
    </w:p>
    <w:p w14:paraId="544F4342" w14:textId="77777777" w:rsidR="008F1765" w:rsidRPr="000A0203" w:rsidRDefault="008F1765">
      <w:pPr>
        <w:jc w:val="both"/>
        <w:rPr>
          <w:color w:val="000000"/>
          <w:sz w:val="22"/>
          <w:szCs w:val="22"/>
        </w:rPr>
      </w:pPr>
    </w:p>
    <w:p w14:paraId="66E2788F" w14:textId="4D90C167" w:rsidR="0054280C" w:rsidDel="000E0DE9" w:rsidRDefault="00B71134">
      <w:pPr>
        <w:jc w:val="both"/>
        <w:rPr>
          <w:del w:id="133" w:author="Jasen Zhang" w:date="2025-09-17T18:26:00Z" w16du:dateUtc="2025-09-18T01:26:00Z"/>
          <w:color w:val="000000"/>
          <w:sz w:val="22"/>
          <w:szCs w:val="22"/>
        </w:rPr>
      </w:pPr>
      <w:del w:id="134" w:author="Jasen Zhang" w:date="2025-09-17T18:26:00Z" w16du:dateUtc="2025-09-18T01:26:00Z">
        <w:r w:rsidDel="000E0DE9">
          <w:rPr>
            <w:color w:val="000000"/>
            <w:sz w:val="22"/>
            <w:szCs w:val="22"/>
          </w:rPr>
          <w:delText>In the Language domain, the CITS score was found to be significantly associated with distance from residency to nearest plantation, and crop areas under 500m and 1000m. Doubling distance changed the odds ratio of a high CITS score by a factor of 1.109 (95% CI: 1.023, 1.202), while doubling area under 500m had the highest significance (p-value = 6.36e-3) and changed the odds ratio of a high CITS score by a factor of 0.968 (95% CI: 0.946, 0.991).</w:delText>
        </w:r>
      </w:del>
    </w:p>
    <w:p w14:paraId="1937FC44" w14:textId="77777777" w:rsidR="0054280C" w:rsidRDefault="0054280C">
      <w:pPr>
        <w:jc w:val="both"/>
        <w:rPr>
          <w:color w:val="000000"/>
          <w:sz w:val="22"/>
          <w:szCs w:val="22"/>
        </w:rPr>
      </w:pPr>
    </w:p>
    <w:p w14:paraId="13D568EA" w14:textId="5DF23090" w:rsidR="0054280C" w:rsidDel="000E0DE9" w:rsidRDefault="00B71134">
      <w:pPr>
        <w:jc w:val="both"/>
        <w:rPr>
          <w:del w:id="135" w:author="Jasen Zhang" w:date="2025-09-17T18:27:00Z" w16du:dateUtc="2025-09-18T01:27:00Z"/>
          <w:color w:val="000000"/>
          <w:sz w:val="22"/>
          <w:szCs w:val="22"/>
        </w:rPr>
      </w:pPr>
      <w:del w:id="136" w:author="Jasen Zhang" w:date="2025-09-17T18:27:00Z" w16du:dateUtc="2025-09-18T01:27:00Z">
        <w:r w:rsidDel="000E0DE9">
          <w:rPr>
            <w:color w:val="000000"/>
            <w:sz w:val="22"/>
            <w:szCs w:val="22"/>
          </w:rPr>
          <w:delText xml:space="preserve">In the Memory and Learning domain, the MFFTS score was found to be significantly associated with distance from residency to nearest plantation and crop areas under 500m. Doubling distance and doubling area under 500m changed the odds ratio of a high MFFTS score by a factor of 1.113 (95% CI: 1.009, 1.227) and 0.971 (95% CI: 0.944, 0.999) respectively. </w:delText>
        </w:r>
      </w:del>
    </w:p>
    <w:p w14:paraId="7D2692ED" w14:textId="77777777" w:rsidR="0054280C" w:rsidRDefault="0054280C">
      <w:pPr>
        <w:jc w:val="both"/>
        <w:rPr>
          <w:color w:val="000000"/>
          <w:sz w:val="22"/>
          <w:szCs w:val="22"/>
        </w:rPr>
      </w:pPr>
    </w:p>
    <w:p w14:paraId="4BDF7799" w14:textId="77777777" w:rsidR="0054280C" w:rsidRDefault="00B71134">
      <w:pPr>
        <w:pStyle w:val="ListParagraph"/>
        <w:numPr>
          <w:ilvl w:val="0"/>
          <w:numId w:val="1"/>
        </w:numPr>
        <w:rPr>
          <w:b/>
          <w:bCs/>
          <w:color w:val="000000"/>
          <w:sz w:val="22"/>
          <w:szCs w:val="22"/>
        </w:rPr>
      </w:pPr>
      <w:r>
        <w:rPr>
          <w:b/>
          <w:bCs/>
          <w:color w:val="000000"/>
          <w:sz w:val="22"/>
          <w:szCs w:val="22"/>
        </w:rPr>
        <w:t>Discussion</w:t>
      </w:r>
    </w:p>
    <w:p w14:paraId="56FBF8D4" w14:textId="77777777" w:rsidR="0054280C" w:rsidRDefault="0054280C">
      <w:pPr>
        <w:rPr>
          <w:color w:val="000000"/>
          <w:sz w:val="22"/>
          <w:szCs w:val="22"/>
        </w:rPr>
      </w:pPr>
    </w:p>
    <w:p w14:paraId="1B85CB76" w14:textId="77777777" w:rsidR="0054280C" w:rsidRDefault="00B71134">
      <w:pPr>
        <w:jc w:val="both"/>
        <w:rPr>
          <w:color w:val="000000"/>
          <w:sz w:val="22"/>
          <w:szCs w:val="22"/>
        </w:rPr>
      </w:pPr>
      <w:r>
        <w:rPr>
          <w:color w:val="000000"/>
          <w:sz w:val="22"/>
          <w:szCs w:val="22"/>
        </w:rPr>
        <w:t xml:space="preserve">This study analyzed the neurobehavioral performance associations with crop area around the household and home distance to nearest plantation. Neurobehavioral performance was measured with specific NEPSY-II domains among children and adolescents in Pedro Moncayo, Ecuador. Crop areas around home and distance to nearest plantation were associated with subdomains related to Attention/Inhibitory Control, Language, and Memory/Learning performance. Our results suggest geographical proximity to floriculture crops where pesticides are sprayed may create exposures that increase risk of worse neurobehavioral performance, specifically related to impulsivity and cognitive flexibility, difficulties understanding complex verbal instructions that involve language and syntax, and challenges with verbal-visual associative learning among study participants </w:t>
      </w:r>
      <w:commentRangeStart w:id="137"/>
      <w:r>
        <w:rPr>
          <w:color w:val="000000"/>
          <w:sz w:val="22"/>
          <w:szCs w:val="22"/>
        </w:rPr>
        <w:fldChar w:fldCharType="begin"/>
      </w:r>
      <w:r>
        <w:rPr>
          <w:color w:val="000000"/>
          <w:sz w:val="22"/>
          <w:szCs w:val="22"/>
        </w:rPr>
        <w:instrText xml:space="preserve"> ADDIN ZOTERO_ITEM CSL_CITATION {"citationID":"UesjWlre","properties":{"formattedCitation":"(Miller, 2012)","plainCitation":"(Miller, 2012)","noteIndex":0},"citationItems":[{"id":4748,"uris":["http://zotero.org/users/5127433/items/X35QHNRD"],"itemData":{"id":4748,"type":"book","abstract":"How to Report and Interpret the NEPSY-II Scores Within A School Neuropsychological Framework Daniel C. Miller, Ph.D., ABPP, ABSNP, NCSP, LSSP Executive","edition":"Second Edition","event-place":"Texas","language":"en","p</w:instrText>
      </w:r>
      <w:r>
        <w:rPr>
          <w:rFonts w:hint="eastAsia"/>
          <w:color w:val="000000"/>
          <w:sz w:val="22"/>
          <w:szCs w:val="22"/>
        </w:rPr>
        <w:instrText>ublisher-place":"Texas","title":"How to Report and Interpret the NEPSY-</w:instrText>
      </w:r>
      <w:r>
        <w:rPr>
          <w:rFonts w:hint="eastAsia"/>
          <w:color w:val="000000"/>
          <w:sz w:val="22"/>
          <w:szCs w:val="22"/>
        </w:rPr>
        <w:instrText>‐</w:instrText>
      </w:r>
      <w:r>
        <w:rPr>
          <w:rFonts w:hint="eastAsia"/>
          <w:color w:val="000000"/>
          <w:sz w:val="22"/>
          <w:szCs w:val="22"/>
        </w:rPr>
        <w:instrText>II Scores Within a School Neuropsyc","URL":"https://docslib.org/doc/8718539/how-to-report-and-interpret-the-nepsy-ii-scores-within-a-school-neuropsyc","author":[{"family":"Miller","gi</w:instrText>
      </w:r>
      <w:r>
        <w:rPr>
          <w:color w:val="000000"/>
          <w:sz w:val="22"/>
          <w:szCs w:val="22"/>
        </w:rPr>
        <w:instrText xml:space="preserve">ven":"Daniel C."}],"accessed":{"date-parts":[["2024",6,20]]},"issued":{"date-parts":[["2012"]]}}}],"schema":"https://github.com/citation-style-language/schema/raw/master/csl-citation.json"} </w:instrText>
      </w:r>
      <w:r>
        <w:rPr>
          <w:color w:val="000000"/>
          <w:sz w:val="22"/>
          <w:szCs w:val="22"/>
        </w:rPr>
        <w:fldChar w:fldCharType="separate"/>
      </w:r>
      <w:r>
        <w:rPr>
          <w:sz w:val="22"/>
        </w:rPr>
        <w:t>(Miller, 2012)</w:t>
      </w:r>
      <w:r>
        <w:rPr>
          <w:color w:val="000000"/>
          <w:sz w:val="22"/>
          <w:szCs w:val="22"/>
        </w:rPr>
        <w:fldChar w:fldCharType="end"/>
      </w:r>
      <w:commentRangeEnd w:id="137"/>
      <w:r>
        <w:commentReference w:id="137"/>
      </w:r>
      <w:r>
        <w:rPr>
          <w:color w:val="000000"/>
          <w:sz w:val="22"/>
          <w:szCs w:val="22"/>
        </w:rPr>
        <w:t>.</w:t>
      </w:r>
    </w:p>
    <w:p w14:paraId="53D98DC1" w14:textId="77777777" w:rsidR="0054280C" w:rsidRDefault="0054280C">
      <w:pPr>
        <w:jc w:val="both"/>
        <w:rPr>
          <w:color w:val="000000"/>
          <w:sz w:val="22"/>
          <w:szCs w:val="22"/>
        </w:rPr>
      </w:pPr>
    </w:p>
    <w:p w14:paraId="5C200DA3" w14:textId="77777777" w:rsidR="0054280C" w:rsidRDefault="00B71134">
      <w:pPr>
        <w:jc w:val="both"/>
        <w:rPr>
          <w:color w:val="000000"/>
          <w:sz w:val="22"/>
          <w:szCs w:val="22"/>
        </w:rPr>
      </w:pPr>
      <w:r>
        <w:rPr>
          <w:color w:val="000000"/>
          <w:sz w:val="22"/>
          <w:szCs w:val="22"/>
        </w:rPr>
        <w:t xml:space="preserve">We saw significant associations for many neurobehavioral variables with crop areas within 500m of the home, especially in the inhibition subdomain (Figure 1). </w:t>
      </w:r>
      <w:commentRangeStart w:id="138"/>
      <w:commentRangeStart w:id="139"/>
      <w:commentRangeStart w:id="140"/>
      <w:r>
        <w:rPr>
          <w:color w:val="000000"/>
          <w:sz w:val="22"/>
          <w:szCs w:val="22"/>
        </w:rPr>
        <w:t>But when the radius was very small (50m) or very large (1000m), the associations were often diminished</w:t>
      </w:r>
      <w:commentRangeEnd w:id="138"/>
      <w:commentRangeEnd w:id="139"/>
      <w:commentRangeEnd w:id="140"/>
      <w:r>
        <w:commentReference w:id="138"/>
      </w:r>
      <w:r>
        <w:commentReference w:id="139"/>
      </w:r>
      <w:r>
        <w:commentReference w:id="140"/>
      </w:r>
      <w:r>
        <w:rPr>
          <w:color w:val="000000"/>
          <w:sz w:val="22"/>
          <w:szCs w:val="22"/>
        </w:rPr>
        <w:t xml:space="preserve">. The lack of association with a small radius in some subdomains could be </w:t>
      </w:r>
      <w:proofErr w:type="gramStart"/>
      <w:r>
        <w:rPr>
          <w:color w:val="000000"/>
          <w:sz w:val="22"/>
          <w:szCs w:val="22"/>
        </w:rPr>
        <w:t>due to the fact that</w:t>
      </w:r>
      <w:proofErr w:type="gramEnd"/>
      <w:r>
        <w:rPr>
          <w:color w:val="000000"/>
          <w:sz w:val="22"/>
          <w:szCs w:val="22"/>
        </w:rPr>
        <w:t xml:space="preserve"> a vast </w:t>
      </w:r>
      <w:proofErr w:type="gramStart"/>
      <w:r>
        <w:rPr>
          <w:color w:val="000000"/>
          <w:sz w:val="22"/>
          <w:szCs w:val="22"/>
        </w:rPr>
        <w:t>amount</w:t>
      </w:r>
      <w:proofErr w:type="gramEnd"/>
      <w:r>
        <w:rPr>
          <w:color w:val="000000"/>
          <w:sz w:val="22"/>
          <w:szCs w:val="22"/>
        </w:rPr>
        <w:t xml:space="preserve"> of crop areas </w:t>
      </w:r>
      <w:proofErr w:type="gramStart"/>
      <w:r>
        <w:rPr>
          <w:color w:val="000000"/>
          <w:sz w:val="22"/>
          <w:szCs w:val="22"/>
        </w:rPr>
        <w:t>are</w:t>
      </w:r>
      <w:proofErr w:type="gramEnd"/>
      <w:r>
        <w:rPr>
          <w:color w:val="000000"/>
          <w:sz w:val="22"/>
          <w:szCs w:val="22"/>
        </w:rPr>
        <w:t xml:space="preserve"> not captured in the </w:t>
      </w:r>
      <w:commentRangeStart w:id="141"/>
      <w:commentRangeStart w:id="142"/>
      <w:r>
        <w:rPr>
          <w:color w:val="000000"/>
          <w:sz w:val="22"/>
          <w:szCs w:val="22"/>
        </w:rPr>
        <w:t xml:space="preserve">50m area nor are there many people living in </w:t>
      </w:r>
      <w:proofErr w:type="gramStart"/>
      <w:r>
        <w:rPr>
          <w:color w:val="000000"/>
          <w:sz w:val="22"/>
          <w:szCs w:val="22"/>
        </w:rPr>
        <w:t>this small radii</w:t>
      </w:r>
      <w:proofErr w:type="gramEnd"/>
      <w:r>
        <w:rPr>
          <w:color w:val="000000"/>
          <w:sz w:val="22"/>
          <w:szCs w:val="22"/>
        </w:rPr>
        <w:t xml:space="preserve"> of the greenhouses. </w:t>
      </w:r>
      <w:commentRangeEnd w:id="141"/>
      <w:commentRangeEnd w:id="142"/>
      <w:r>
        <w:commentReference w:id="141"/>
      </w:r>
      <w:r>
        <w:commentReference w:id="142"/>
      </w:r>
      <w:r>
        <w:rPr>
          <w:color w:val="000000"/>
          <w:sz w:val="22"/>
          <w:szCs w:val="22"/>
        </w:rPr>
        <w:t xml:space="preserve">Thereby, 50m area cannot effectively explain the full effects of crop area on neurobehavioral outcomes. </w:t>
      </w:r>
      <w:commentRangeStart w:id="143"/>
      <w:commentRangeStart w:id="144"/>
      <w:r>
        <w:rPr>
          <w:color w:val="000000"/>
          <w:sz w:val="22"/>
          <w:szCs w:val="22"/>
        </w:rPr>
        <w:t xml:space="preserve">On the other hand, a very large radius such as 1000m may capture too much additional crop area that does not contribute to changes in neurobehavioral outcomes and may be too far from the household for pesticide drift to reach the home. </w:t>
      </w:r>
      <w:commentRangeEnd w:id="143"/>
      <w:commentRangeEnd w:id="144"/>
      <w:r>
        <w:commentReference w:id="143"/>
      </w:r>
      <w:r>
        <w:commentReference w:id="144"/>
      </w:r>
    </w:p>
    <w:p w14:paraId="36AE648D" w14:textId="77777777" w:rsidR="0054280C" w:rsidRDefault="0054280C">
      <w:pPr>
        <w:jc w:val="both"/>
        <w:rPr>
          <w:color w:val="000000"/>
          <w:sz w:val="22"/>
          <w:szCs w:val="22"/>
        </w:rPr>
      </w:pPr>
    </w:p>
    <w:p w14:paraId="5B543B6E" w14:textId="77777777" w:rsidR="0054280C" w:rsidRDefault="00B71134">
      <w:pPr>
        <w:jc w:val="both"/>
        <w:rPr>
          <w:sz w:val="22"/>
          <w:szCs w:val="22"/>
        </w:rPr>
      </w:pPr>
      <w:r>
        <w:rPr>
          <w:color w:val="000000"/>
          <w:sz w:val="22"/>
          <w:szCs w:val="22"/>
        </w:rPr>
        <w:t>Exposure to insecticides, particularly organophosphates</w:t>
      </w:r>
      <w:r>
        <w:rPr>
          <w:sz w:val="22"/>
          <w:szCs w:val="22"/>
        </w:rPr>
        <w:t xml:space="preserve"> </w:t>
      </w:r>
      <w:r>
        <w:rPr>
          <w:color w:val="000000"/>
          <w:sz w:val="22"/>
          <w:szCs w:val="22"/>
        </w:rPr>
        <w:t xml:space="preserve">have been associated with neurodevelopment effects in animal and human studies, and children in diverse contexts, including prenatal, postnatal, and dietary exposures </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w:instrText>
      </w:r>
      <w:r>
        <w:rPr>
          <w:rFonts w:hint="eastAsia"/>
          <w:color w:val="000000"/>
          <w:sz w:val="22"/>
          <w:szCs w:val="22"/>
        </w:rPr>
        <w:instrText>DEP) and dimethylphosphate (</w:instrText>
      </w:r>
      <w:r>
        <w:rPr>
          <w:rFonts w:hint="eastAsia"/>
          <w:color w:val="000000"/>
          <w:sz w:val="22"/>
          <w:szCs w:val="22"/>
        </w:rPr>
        <w:instrText>∑</w:instrText>
      </w:r>
      <w:r>
        <w:rPr>
          <w:rFonts w:hint="eastAsia"/>
          <w:color w:val="000000"/>
          <w:sz w:val="22"/>
          <w:szCs w:val="22"/>
        </w:rPr>
        <w:instrText>DMP) metabolites in urine colle</w:instrText>
      </w:r>
      <w:r>
        <w:rPr>
          <w:color w:val="000000"/>
          <w:sz w:val="22"/>
          <w:szCs w:val="22"/>
        </w:rPr>
        <w:instrText>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variates. Results: There was no consistent pattern of association between log-</w:instrText>
      </w:r>
      <w:r>
        <w:rPr>
          <w:rFonts w:hint="eastAsia"/>
          <w:color w:val="000000"/>
          <w:sz w:val="22"/>
          <w:szCs w:val="22"/>
        </w:rPr>
        <w:instrText>∑</w:instrText>
      </w:r>
      <w:r>
        <w:rPr>
          <w:rFonts w:hint="eastAsia"/>
          <w:color w:val="000000"/>
          <w:sz w:val="22"/>
          <w:szCs w:val="22"/>
        </w:rPr>
        <w:instrText xml:space="preserve">DEP or </w:instrText>
      </w:r>
      <w:r>
        <w:rPr>
          <w:rFonts w:hint="eastAsia"/>
          <w:color w:val="000000"/>
          <w:sz w:val="22"/>
          <w:szCs w:val="22"/>
        </w:rPr>
        <w:instrText>∑</w:instrText>
      </w:r>
      <w:r>
        <w:rPr>
          <w:rFonts w:hint="eastAsia"/>
          <w:color w:val="000000"/>
          <w:sz w:val="22"/>
          <w:szCs w:val="22"/>
        </w:rPr>
        <w:instrText>DMP and performance-based assessments and parent CBQ and BRIEF measures. However, log-</w:instrText>
      </w:r>
      <w:r>
        <w:rPr>
          <w:rFonts w:hint="eastAsia"/>
          <w:color w:val="000000"/>
          <w:sz w:val="22"/>
          <w:szCs w:val="22"/>
        </w:rPr>
        <w:instrText>∑</w:instrText>
      </w:r>
      <w:r>
        <w:rPr>
          <w:rFonts w:hint="eastAsia"/>
          <w:color w:val="000000"/>
          <w:sz w:val="22"/>
          <w:szCs w:val="22"/>
        </w:rPr>
        <w:instrText>DMP was associated with more adverse scores on teacher BRIEF scales among prescho</w:instrText>
      </w:r>
      <w:r>
        <w:rPr>
          <w:color w:val="000000"/>
          <w:sz w:val="22"/>
          <w:szCs w:val="22"/>
        </w:rPr>
        <w:instrText>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β</w:instrText>
      </w:r>
      <w:r>
        <w:rPr>
          <w:rFonts w:hint="eastAsia"/>
          <w:color w:val="000000"/>
          <w:sz w:val="22"/>
          <w:szCs w:val="22"/>
        </w:rPr>
        <w:instrText xml:space="preserve">=-0.31, 95% CI: -0.68, 0.06; WM: </w:instrText>
      </w:r>
      <w:r>
        <w:rPr>
          <w:rFonts w:hint="eastAsia"/>
          <w:color w:val="000000"/>
          <w:sz w:val="22"/>
          <w:szCs w:val="22"/>
        </w:rPr>
        <w:instrText>β</w:instrText>
      </w:r>
      <w:r>
        <w:rPr>
          <w:rFonts w:hint="eastAsia"/>
          <w:color w:val="000000"/>
          <w:sz w:val="22"/>
          <w:szCs w:val="22"/>
        </w:rPr>
        <w:instrText>=-0.34, 95% CI: -0.68, 0.00). Conclusion: We found some evidence that prenatal log-</w:instrText>
      </w:r>
      <w:r>
        <w:rPr>
          <w:rFonts w:hint="eastAsia"/>
          <w:color w:val="000000"/>
          <w:sz w:val="22"/>
          <w:szCs w:val="22"/>
        </w:rPr>
        <w:instrText>∑</w:instrText>
      </w:r>
      <w:r>
        <w:rPr>
          <w:rFonts w:hint="eastAsia"/>
          <w:color w:val="000000"/>
          <w:sz w:val="22"/>
          <w:szCs w:val="22"/>
        </w:rPr>
        <w:instrText>DMP was associated with more adverse EF in a population experiencing primarily dietary exposure.","container-title":"ISEE Conference Ab</w:instrText>
      </w:r>
      <w:r>
        <w:rPr>
          <w:color w:val="000000"/>
          <w:sz w:val="22"/>
          <w:szCs w:val="22"/>
        </w:rPr>
        <w:instrText xml:space="preserve">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(Marks et al., 2010; Ramírez et al., 2022; Thistle et al., 2020</w:t>
      </w:r>
      <w:r>
        <w:rPr>
          <w:color w:val="000000"/>
          <w:sz w:val="22"/>
          <w:szCs w:val="22"/>
        </w:rPr>
        <w:fldChar w:fldCharType="begin"/>
      </w:r>
      <w:r>
        <w:rPr>
          <w:color w:val="000000"/>
          <w:sz w:val="22"/>
          <w:szCs w:val="22"/>
        </w:rPr>
        <w:instrText xml:space="preserve"> ADDIN ZOTERO_ITEM CSL_CITATION {"citationID":"23R8Hv7j","properties":{"formattedCitation":"(Marks et al., 2010; Ram\\uc0\\u237{}rez et al., 2022; Thistle et al., 2020)","plainCitation":"(Marks et al., 2010; Ramírez et al., 2022; Thistle et al., 2020)","noteIndex":0},"citationItems":[{"id":4708,"uris":["http://zotero.org/users/5127433/items/UTHMMJC5"],"itemData":{"id":4708,"type":"article-journal","abstract":"BackgroundExposure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id":4758,"uris":["http://zotero.org/users/5127433/items/F44V2N4X"],"itemData":{"id":4758,"type":"article-journal","abstract":"Environmental stressors, like endocrine disrupting chemicals (EDC), are considered important contributors to the increased rates of neurodevelopmental dysfunctions. Considering the cumulative research on adverse neurodevelopmental effects associated with prenatal exposure to EDC, the purpose of this study was to review the available limited literature about the effects of postnatal exposure to EDC on child neurodevelopment and behaviour. Despite widespread children's exposure to EDC, there are a limited number of epidemiological studies on the association of this exposure with neurodevelopmental disorders, in particular in the postnatal period. The available research suggests that postnatal EDC exposure is related to adverse neurobehavioral outcomes in children; however the underlying mechanisms of action remain unclear. Timing of exposure is a key factor determining potential neurodevelopmental consequences, hence studying the impact of multiple EDC co-exposure in different vulnerable life periods could guide the identification of sensitive subpopulations. Most of the reviewed studies did not take into account sex differences in the EDC effects on children neurodevelopment. We believe that the inclusion of sex in the study design should be considered as the role of EDC on children neurodevelopment are likely sex-specific and should be taken into consideration when determining susceptibility and potential mechanisms of action.","container-title":"Environmental Research","DOI":"10.1016/j.envres.2021.111890","ISSN":"0013-9351","journalAbbreviation":"Environmental Research","page":"111890","source":"ScienceDirect","title":"Role of endocrine disrupting chemicals in children's neurodevelopment","volume":"203","author":[{"family":"Ramírez","given":"Viviana"},{"family":"Gálvez-Ontiveros","given":"Yolanda"},{"family":"González-Domenech","given":"Pablo José"},{"family":"Baca","given":"Miguel Ángel"},{"family":"Rodrigo","given":"Lourdes"},{"family":"Rivas","given":"Ana"}],"issued":{"date-parts":[["2022",1,1]]}}},{"id":4752,"uris":["http://zotero.org/users/5127433/items/YGXIH6TL"],"itemData":{"id":4752,"type":"article-journal","abstract":"Organophosphate pesticides (OPP) cause acute toxicity by inhibiting acetylcholinesterase, however neurodevelopmental effects have been found at relatively low exposure concentrations. Contamination of conventionally-grown produce with OPPs remains an important exposure route for the general population due to agricultural spraying. Previous research suggests a relationship between prenatal exposure and executive functions (EF), but no studies have performed a detailed assessment inclusive of rater and performance-based measures. Methods: We used data from the preschool ADHD sub-substudy of the Norwegian Mother, Father, and Child Cohort Study. 262 preschool children with clinical or subclinical ADHD symptoms and 78 typically developing children underwent an on-site evaluation including the Stanford-Binet nonverbal and verbal working memory (WM), the NEPSY-II statue test, and the cookie delay task. Rating-based assessments were the parent-rated Child Beha</w:instrText>
      </w:r>
      <w:r>
        <w:rPr>
          <w:rFonts w:hint="eastAsia"/>
          <w:color w:val="000000"/>
          <w:sz w:val="22"/>
          <w:szCs w:val="22"/>
        </w:rPr>
        <w:instrText>vior Questionnaire (CBQ) and the parent- and preschool teacher-rated Behavior Rating Inventory of Executive Function (BRIEF). Non-specific OPP exposure was estimated by measuring total diethyl (</w:instrText>
      </w:r>
      <w:r>
        <w:rPr>
          <w:rFonts w:hint="eastAsia"/>
          <w:color w:val="000000"/>
          <w:sz w:val="22"/>
          <w:szCs w:val="22"/>
        </w:rPr>
        <w:instrText>∑</w:instrText>
      </w:r>
      <w:r>
        <w:rPr>
          <w:rFonts w:hint="eastAsia"/>
          <w:color w:val="000000"/>
          <w:sz w:val="22"/>
          <w:szCs w:val="22"/>
        </w:rPr>
        <w:instrText>DEP) and dimethylphosphate (</w:instrText>
      </w:r>
      <w:r>
        <w:rPr>
          <w:rFonts w:hint="eastAsia"/>
          <w:color w:val="000000"/>
          <w:sz w:val="22"/>
          <w:szCs w:val="22"/>
        </w:rPr>
        <w:instrText>∑</w:instrText>
      </w:r>
      <w:r>
        <w:rPr>
          <w:rFonts w:hint="eastAsia"/>
          <w:color w:val="000000"/>
          <w:sz w:val="22"/>
          <w:szCs w:val="22"/>
        </w:rPr>
        <w:instrText>DMP) metabolites in urine colle</w:instrText>
      </w:r>
      <w:r>
        <w:rPr>
          <w:color w:val="000000"/>
          <w:sz w:val="22"/>
          <w:szCs w:val="22"/>
        </w:rPr>
        <w:instrText>cted at 17-18 weeks’ gestation. Change in EF z-score (β) and 95% confidence intervals (CI) per log-unit increase in specific gravity standardized exposure was estimated using multivariable linear regression with adjustment for dietary factors and other co</w:instrText>
      </w:r>
      <w:r>
        <w:rPr>
          <w:rFonts w:hint="eastAsia"/>
          <w:color w:val="000000"/>
          <w:sz w:val="22"/>
          <w:szCs w:val="22"/>
        </w:rPr>
        <w:instrText>variates. Results: There was no consistent pattern of association between log-</w:instrText>
      </w:r>
      <w:r>
        <w:rPr>
          <w:rFonts w:hint="eastAsia"/>
          <w:color w:val="000000"/>
          <w:sz w:val="22"/>
          <w:szCs w:val="22"/>
        </w:rPr>
        <w:instrText>∑</w:instrText>
      </w:r>
      <w:r>
        <w:rPr>
          <w:rFonts w:hint="eastAsia"/>
          <w:color w:val="000000"/>
          <w:sz w:val="22"/>
          <w:szCs w:val="22"/>
        </w:rPr>
        <w:instrText xml:space="preserve">DEP or </w:instrText>
      </w:r>
      <w:r>
        <w:rPr>
          <w:rFonts w:hint="eastAsia"/>
          <w:color w:val="000000"/>
          <w:sz w:val="22"/>
          <w:szCs w:val="22"/>
        </w:rPr>
        <w:instrText>∑</w:instrText>
      </w:r>
      <w:r>
        <w:rPr>
          <w:rFonts w:hint="eastAsia"/>
          <w:color w:val="000000"/>
          <w:sz w:val="22"/>
          <w:szCs w:val="22"/>
        </w:rPr>
        <w:instrText>DMP and performance-based assessments and parent CBQ and BRIEF measures. However, log-</w:instrText>
      </w:r>
      <w:r>
        <w:rPr>
          <w:rFonts w:hint="eastAsia"/>
          <w:color w:val="000000"/>
          <w:sz w:val="22"/>
          <w:szCs w:val="22"/>
        </w:rPr>
        <w:instrText>∑</w:instrText>
      </w:r>
      <w:r>
        <w:rPr>
          <w:rFonts w:hint="eastAsia"/>
          <w:color w:val="000000"/>
          <w:sz w:val="22"/>
          <w:szCs w:val="22"/>
        </w:rPr>
        <w:instrText>DMP was associated with more adverse scores on teacher BRIEF scales among prescho</w:instrText>
      </w:r>
      <w:r>
        <w:rPr>
          <w:color w:val="000000"/>
          <w:sz w:val="22"/>
          <w:szCs w:val="22"/>
        </w:rPr>
        <w:instrText>ol children with symptoms of ADHD (emotional control: β=-0.27, 95% CI: -0.53, 0.00; inhibition: β=-0.21, 95% CI: -0.48, 0.05; WM: β=-0.14, 95% CI: -0.41, 0.13) and typically developing children (emotional control: β=-0.27, 95% CI: -0.63, 0.10; inhibition:</w:instrText>
      </w:r>
      <w:r>
        <w:rPr>
          <w:rFonts w:hint="eastAsia"/>
          <w:color w:val="000000"/>
          <w:sz w:val="22"/>
          <w:szCs w:val="22"/>
        </w:rPr>
        <w:instrText xml:space="preserve"> </w:instrText>
      </w:r>
      <w:r>
        <w:rPr>
          <w:rFonts w:hint="eastAsia"/>
          <w:color w:val="000000"/>
          <w:sz w:val="22"/>
          <w:szCs w:val="22"/>
        </w:rPr>
        <w:instrText>β</w:instrText>
      </w:r>
      <w:r>
        <w:rPr>
          <w:rFonts w:hint="eastAsia"/>
          <w:color w:val="000000"/>
          <w:sz w:val="22"/>
          <w:szCs w:val="22"/>
        </w:rPr>
        <w:instrText xml:space="preserve">=-0.31, 95% CI: -0.68, 0.06; WM: </w:instrText>
      </w:r>
      <w:r>
        <w:rPr>
          <w:rFonts w:hint="eastAsia"/>
          <w:color w:val="000000"/>
          <w:sz w:val="22"/>
          <w:szCs w:val="22"/>
        </w:rPr>
        <w:instrText>β</w:instrText>
      </w:r>
      <w:r>
        <w:rPr>
          <w:rFonts w:hint="eastAsia"/>
          <w:color w:val="000000"/>
          <w:sz w:val="22"/>
          <w:szCs w:val="22"/>
        </w:rPr>
        <w:instrText>=-0.34, 95% CI: -0.68, 0.00). Conclusion: We found some evidence that prenatal log-</w:instrText>
      </w:r>
      <w:r>
        <w:rPr>
          <w:rFonts w:hint="eastAsia"/>
          <w:color w:val="000000"/>
          <w:sz w:val="22"/>
          <w:szCs w:val="22"/>
        </w:rPr>
        <w:instrText>∑</w:instrText>
      </w:r>
      <w:r>
        <w:rPr>
          <w:rFonts w:hint="eastAsia"/>
          <w:color w:val="000000"/>
          <w:sz w:val="22"/>
          <w:szCs w:val="22"/>
        </w:rPr>
        <w:instrText>DMP was associated with more adverse EF in a population experiencing primarily dietary exposure.","container-title":"ISEE Conference Ab</w:instrText>
      </w:r>
      <w:r>
        <w:rPr>
          <w:color w:val="000000"/>
          <w:sz w:val="22"/>
          <w:szCs w:val="22"/>
        </w:rPr>
        <w:instrText xml:space="preserve">stracts","DOI":"10.1289/isee.2020.virtual.P-0820","issue":"1","note":"publisher: Environmental Health Perspectives","source":"ehp.niehs.nih.gov (Atypon)","title":"Prenatal exposure to organophosphate pesticides and executive function in the Norwegian Mother, Father and Child Cohort","URL":"https://ehp.niehs.nih.gov/doi/abs/10.1289/isee.2020.virtual.P-0820","volume":"2020","author":[{"family":"Thistle","given":"J.E."},{"family":"Roell","given":"K.R."},{"family":"Choi","given":"G."},{"family":"Villanger","given":"G.D."},{"family":"Drover","given":"S.S."},{"family":"Sakhi","given":"A.K."},{"family":"Thomsen","given":"C."},{"family":"Zeiner","given":"P."},{"family":"Knudsen","given":"G."},{"family":"Reichborn-Kjennerud","given":"T."},{"family":"Øvergaard","given":"K.R."},{"family":"Herring","given":"A."},{"family":"Aase","given":"H."},{"family":"Engel","given":"S.M."}],"accessed":{"date-parts":[["2024",6,20]]},"issued":{"date-parts":[["2020",10,26]]}}}],"schema":"https://github.com/citation-style-language/schema/raw/master/csl-citation.json"} </w:instrText>
      </w:r>
      <w:r>
        <w:rPr>
          <w:color w:val="000000"/>
          <w:sz w:val="22"/>
          <w:szCs w:val="22"/>
        </w:rPr>
        <w:fldChar w:fldCharType="separate"/>
      </w:r>
      <w:r>
        <w:rPr>
          <w:sz w:val="22"/>
        </w:rPr>
        <w:t>; Eskenazi et al., 2007)</w:t>
      </w:r>
      <w:r>
        <w:rPr>
          <w:color w:val="000000"/>
          <w:sz w:val="22"/>
          <w:szCs w:val="22"/>
        </w:rPr>
        <w:fldChar w:fldCharType="end"/>
      </w:r>
      <w:r>
        <w:rPr>
          <w:color w:val="000000"/>
          <w:sz w:val="22"/>
          <w:szCs w:val="22"/>
        </w:rPr>
        <w:t>. Organophosphates can inhibit acetylcholinesterase (AChE) and impair neurobehavioral function, including attention, inhibitory control, and verbal function (</w:t>
      </w:r>
      <w:r>
        <w:rPr>
          <w:sz w:val="22"/>
        </w:rPr>
        <w:t>Eskenazi et al., 2007; Gunier et al., 2017; Butler-Dawson et al., 2016; Suarez-Lopez et al., 2013; Kofman et al., 2006; Wang et al., 2016</w:t>
      </w:r>
      <w:r>
        <w:rPr>
          <w:color w:val="000000"/>
          <w:sz w:val="22"/>
          <w:szCs w:val="22"/>
        </w:rPr>
        <w:t>)</w:t>
      </w:r>
      <w:r>
        <w:rPr>
          <w:sz w:val="22"/>
        </w:rPr>
        <w:t>)</w:t>
      </w:r>
      <w:r>
        <w:rPr>
          <w:color w:val="000000"/>
          <w:sz w:val="22"/>
          <w:szCs w:val="22"/>
        </w:rPr>
        <w:fldChar w:fldCharType="end"/>
      </w:r>
      <w:r>
        <w:rPr>
          <w:color w:val="000000"/>
          <w:sz w:val="22"/>
          <w:szCs w:val="22"/>
        </w:rPr>
        <w:t xml:space="preserve">. Among children and adolescents, a systematic review reported evidence suggesting the association between pesticides exposure and autism spectrum disorder and attention deficit/hyperactivity disorder (ADHD) among children </w:t>
      </w:r>
      <w:r>
        <w:rPr>
          <w:color w:val="000000"/>
          <w:sz w:val="22"/>
          <w:szCs w:val="22"/>
        </w:rPr>
        <w:fldChar w:fldCharType="begin"/>
      </w:r>
      <w:r>
        <w:rPr>
          <w:color w:val="000000"/>
          <w:sz w:val="22"/>
          <w:szCs w:val="22"/>
        </w:rPr>
        <w:instrText xml:space="preserve"> ADDIN ZOTERO_ITEM CSL_CITATION {"citationID":"3lZcr2lY","properties":{"formattedCitation":"(Tessari et al., 2022)","plainCitation":"(Tessari et al., 2022)","noteIndex":0},"citationItems":[{"id":4753,"uris":["http://zotero.org/users/5127433/items/VJM3MF5D"],"itemData":{"id":4753,"type":"article-journal","abstract":"Objective:To conduct a systematic review of studies assessing the relationship between exposure to pesticides and ADHD or Autism Spectrum Disorder (ASD).Methods:Based on a pre-registered protocol in PROPSERO (CRD42018107847), we searched PubMed, Ovid databases, and ISI Web of Knowledge with no date/language/document type restrictions, up to May 2019. The Newcastle Ottawa Scale was used to assess study quality.Results:Among the 29 retained studies, 13 focused on ADHD, 14 on ASD, and two on both disorders. Ten studies reported a significant association between exposure to pesticides and ADHD/ADHD symptoms and 12 studies found a significant association with ASD/ASD traits. The strengths of the association and the possible confounders controlled for varied substantially across studies.Conclusion:Whilst there is some evidence suggesting a possible link between pesticides and ADHD/ASD, heterogeneity across studies prevents firm conclusions. We provide methodological indications for future studies.","container-title":"Journal of Attention Disorders","DOI":"10.1177/1087054720940402","ISSN":"1087-0547","issue":"1","journalAbbreviation":"J Atten Disord","language":"en","note":"publisher: SAGE Publications Inc","page":"48-71","source":"SAGE Journals","title":"Association Between Exposure to Pesticides and ADHD or Autism Spectrum Disorder: A Systematic Review of the Literature","title-short":"Association Between Exposure to Pesticides and ADHD or Autism Spectrum Disorder","volume":"26","author":[{"family":"Tessari","given":"Luca"},{"family":"Angriman","given":"Marco"},{"family":"Díaz-Román","given":"Amparo"},{"family":"Zhang","given":"Junhua"},{"family":"Conca","given":"Andreas"},{"family":"Cortese","given":"Samuele"}],"issued":{"date-parts":[["2022",1,1]]}}}],"schema":"https://github.com/citation-style-language/schema/raw/master/csl-citation.json"} </w:instrText>
      </w:r>
      <w:r>
        <w:rPr>
          <w:color w:val="000000"/>
          <w:sz w:val="22"/>
          <w:szCs w:val="22"/>
        </w:rPr>
        <w:fldChar w:fldCharType="separate"/>
      </w:r>
      <w:r>
        <w:rPr>
          <w:sz w:val="22"/>
        </w:rPr>
        <w:t>(Tessari et al., 2022)</w:t>
      </w:r>
      <w:r>
        <w:rPr>
          <w:color w:val="000000"/>
          <w:sz w:val="22"/>
          <w:szCs w:val="22"/>
        </w:rPr>
        <w:fldChar w:fldCharType="end"/>
      </w:r>
      <w:r>
        <w:rPr>
          <w:color w:val="000000"/>
          <w:sz w:val="22"/>
          <w:szCs w:val="22"/>
        </w:rPr>
        <w:t xml:space="preserve">. Available literature studying the association between insecticide exposure on child neurodevelopment suggests that prenatal exposure is linked with neurodevelopmental disorders, including, reduced IQ, increased rates of attention deficit hyperactivity disorder, autism, and youth reported hyperactivity and inattention (Hyland et al., 2022; </w:t>
      </w:r>
      <w:r>
        <w:rPr>
          <w:sz w:val="22"/>
        </w:rPr>
        <w:t>Sagiv et al., 2018; Richardson et al., 2015;</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{"citationID":"edAxkgY6","properties":{"formattedCitation":"(Eskenazi et al., 2007; Sapbamrer &amp; Hongsibsong, 2019)","plainCitation":"(Eskenazi et al., 2007; Sapbamrer &amp; Hongsibsong, 2019)","noteIndex":0},"citationItems":[{"id":4678,"uris":["http://zotero.org/users/5127433/items/Z6AEBYRE"],"itemData":{"id":4678,"type":"article-journal","abstract":"BackgroundOrganophosphate (OP) pesticides are widely used in agriculture and homes. Animal studies suggest that even moderate doses are neurodevelopmental toxicants, but there are few studies in humans.ObjectivesWe investigated the relationship of prenatal and child OP urinary metabolite levels with children’s neurodevelopment.MethodsParticipating children were from a longitudinal birth cohort of primarily Latino farm-worker families in California. We measured six nonspecific dialkylphosphate (DAP) metabolites in maternal and child urine as well as metabolites specific to malathion (MDA) and chlorpyrifos (TCPy) in maternal urine. We examined their association with children’s performance at 6 (n = 396), 12 (n = 395), and 24 (n = 372) months of age on the Bayley Scales of Infant Development [Mental Development (MDI) and Psychomotor Development (PDI) Indices] and mother’s report on the Child Behavior Checklist (CBCL) (n = 356).ResultsGenerally, pregnancy DAP levels were negatively associated with MDI, but child measures were positively associated. At 24 months of age, these associations reached statistical significance [per 10-fold increase in prenatal DAPs: β = −3.5 points; 95% confidence interval (CI), −6.6 to −0.5; child DAPs: β = 2.4 points; 95% CI, 0.5 to 4.2]. Neither prenatal nor child DAPs were associated with PDI or CBCL attention problems, but both prenatal and postnatal DAPs were associated with risk of pervasive developmental disorder [per 10-fold increase in prenatal DAPs: odds ratio (OR) = 2.3, p = 0.05; child DAPs OR = 1.7, p = 0.04]. MDA and TCPy were not associated with any outcome.ConclusionsWe report adverse associations of prenatal DAPs with mental development and pervasive developmental problems at 24 months of age. Results should be interpreted with caution given the observed positive relationship with postnatal DAPs.","container-title":"Environmental Health Perspectives","DOI":"10.1289/ehp.9828","issue":"5","note":"publisher: Environmental Health Perspectives","page":"792-798","source":"ehp.niehs.nih.gov (Atypon)","title":"Organophosphate Pesticide Exposure and Neurodevelopment in Young Mexican-American Children","volume":"115","author":[{"family":"Eskenazi","given":"Brenda"},{"family":"Marks","given":"Amy R."},{"family":"Bradman","given":"Asa"},{"family":"Harley","given":"Kim"},{"family":"Barr","given":"Dana B."},{"family":"Johnson","given":"Caroline"},{"family":"Morga","given":"Norma"},{"family":"Jewell","given":"Nicholas P."}],"issued":{"date-parts":[["2007",5]]}}},{"id":4716,"uris":["http://zotero.org/users/5127433/items/9IY7J5XC"],"itemData":{"id":4716,"type":"article-journal","abstract":"Exposure to pesticides is a major factor in the cause of dysfunction in the nervous system and neurodevelopment disorders in children at critical periods of great vulnerability. The aim of this study was to review scientific evidence published on neurodevelopmental effects of prenatal and postnatal exposure to organophosphate pesticides (OPs) in different stages, including neonates, infants, toddlers, preschool children, and school-age children. Full-text articles published in PubMed, Scopus, and ISI databases between 1973 and 2019 were reviewed and the scientific evidence was evaluated. Results: Fifty studies were eligible for inclusion in this quantitative synthesis. Fifteen of these papers evaluated the effects on neonates and infants, 18 on the effects on toddlers and preschool children, and 24 the effects on school-age children. Considerable evidence suggests that prenatal exposure to OPs contributes to child neurodevelopment disorders in all stages, whereas data about the effects of postnatal exposure are limited. Therefore, the available evidence supports the theory that sensitive time-windows occur prenatally rather than postnatally. Although 45 out of the total 50 selected articles found an association between OP exposure and child neurodevelopment, some of the evidence is controversial. A standardized methodology is needed to enable the comparison of the results in several studies, and further research studies are needed to warrant firmer conclusions. A systematic review of this evidence should be performed continuously to update the state of knowledge regarding neurodevelopmental effects associated with OP exposure.","container-title":"Environmental Science and Pollution Research","DOI":"10.1007/s11356-019-05126-w","ISSN":"1614-7499","issue":"18","journalAbbreviation":"Environ Sci Pollut Res","language":"en","page":"18267-18290","source":"Springer Link","title":"Effects of prenatal and postnatal exposure to organophosphate pesticides on child neurodevelopment in different age groups: a systematic review","title-short":"Effects of prenatal and postnatal exposure to organophosphate pesticides on child neurodevelopment in different age groups","volume":"26","author":[{"family":"Sapbamrer","given":"Ratana"},{"family":"Hongsibsong","given":"Surat"}],"issued":{"date-parts":[["2019",6,1]]}}}],"schema":"https://github.com/citation-style-language/schema/raw/master/csl-citation.json"} </w:instrText>
      </w:r>
      <w:r>
        <w:rPr>
          <w:color w:val="000000"/>
          <w:sz w:val="22"/>
          <w:szCs w:val="22"/>
        </w:rPr>
        <w:fldChar w:fldCharType="separate"/>
      </w:r>
      <w:r>
        <w:rPr>
          <w:sz w:val="22"/>
        </w:rPr>
        <w:t xml:space="preserve">Eskenazi et </w:t>
      </w:r>
      <w:r>
        <w:rPr>
          <w:sz w:val="22"/>
        </w:rPr>
        <w:lastRenderedPageBreak/>
        <w:t>al., 2007; Sapbamrer &amp; Hongsibsong, 2019)</w:t>
      </w:r>
      <w:r>
        <w:rPr>
          <w:color w:val="000000"/>
          <w:sz w:val="22"/>
          <w:szCs w:val="22"/>
        </w:rPr>
        <w:fldChar w:fldCharType="end"/>
      </w:r>
      <w:r>
        <w:rPr>
          <w:color w:val="000000"/>
          <w:sz w:val="22"/>
          <w:szCs w:val="22"/>
        </w:rPr>
        <w:t xml:space="preserve">. While evidence in postnatal exposure is limited, insecticide exposure documented by presence of urinary insecticide metabolites in children has been found to be associated with ADHD, memory, and attention and inhibitory control (Lee et al., 2020; </w:t>
      </w:r>
      <w:r>
        <w:rPr>
          <w:sz w:val="22"/>
        </w:rPr>
        <w:t>Sapbamrer et al., 2019</w:t>
      </w:r>
      <w:r>
        <w:rPr>
          <w:color w:val="000000"/>
          <w:sz w:val="22"/>
          <w:szCs w:val="22"/>
        </w:rPr>
        <w:t xml:space="preserve">; </w:t>
      </w:r>
      <w:r>
        <w:rPr>
          <w:color w:val="000000"/>
          <w:sz w:val="22"/>
          <w:szCs w:val="22"/>
        </w:rPr>
        <w:fldChar w:fldCharType="begin"/>
      </w:r>
      <w:r>
        <w:rPr>
          <w:color w:val="000000"/>
          <w:sz w:val="22"/>
          <w:szCs w:val="22"/>
        </w:rPr>
        <w:instrText xml:space="preserve"> ADDIN ZOTERO_ITEM CSL_CITATION {"citationID":"pTmVln5d","properties":{"formattedCitation":"(Reed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Our research suggests that proximity to pesticide spray sites where intense pesticide application regularly occurs, is associated with reduced memory, attention and inhibition control, and increased impulsivity, difficulties understanding complex verbal instructions, and challenges with verbal-visual learning among adolescents.</w:t>
      </w:r>
    </w:p>
    <w:p w14:paraId="4978CC5E" w14:textId="77777777" w:rsidR="0054280C" w:rsidRDefault="0054280C">
      <w:pPr>
        <w:jc w:val="both"/>
        <w:rPr>
          <w:color w:val="000000"/>
          <w:sz w:val="22"/>
          <w:szCs w:val="22"/>
        </w:rPr>
      </w:pPr>
    </w:p>
    <w:p w14:paraId="3A451115" w14:textId="77777777" w:rsidR="0054280C" w:rsidRDefault="00B71134">
      <w:pPr>
        <w:jc w:val="both"/>
        <w:rPr>
          <w:color w:val="000000"/>
          <w:sz w:val="22"/>
          <w:szCs w:val="22"/>
        </w:rPr>
      </w:pPr>
      <w:r>
        <w:rPr>
          <w:color w:val="000000"/>
          <w:sz w:val="22"/>
          <w:szCs w:val="22"/>
        </w:rPr>
        <w:t xml:space="preserve">Existing literature using NEPSY-II is limited to two cohort studies, ESPINA—the parent research of this study in Ecuador, and CHAMACOS—among Mexican Americans in California. Among 519 adolescents (age 11-17 years) in the same study population (ESPINA), urinary concentration of 2,4-D and glyphosate were associated with low NEPSY-II scores (average domain score between 7.0 and 8.7 points) in the same subdomains (Attention/Inhibitory Control, Language, and Memory/Learning) and the Visuospatial Processing subdomain as well </w:t>
      </w:r>
      <w:r>
        <w:rPr>
          <w:color w:val="000000"/>
          <w:sz w:val="22"/>
          <w:szCs w:val="22"/>
        </w:rPr>
        <w:fldChar w:fldCharType="begin"/>
      </w:r>
      <w:r>
        <w:rPr>
          <w:color w:val="000000"/>
          <w:sz w:val="22"/>
          <w:szCs w:val="22"/>
        </w:rPr>
        <w:instrText xml:space="preserve"> ADDIN ZOTERO_ITEM CSL_CITATION {"citationID":"JeFrk5Yd","properties":{"formattedCitation":"(Chronister et al., 2023)","plainCitation":"(Chronister et al., 2023)","noteIndex":0},"citationItems":[{"id":4760,"uris":["http://zotero.org/users/5127433/items/GWMFURYA"],"itemData":{"id":4760,"type":"article-journal","abstract":"Background:Herbicides are the most used class of pesticides worldwide, and insect repellents are widely used globally. Yet, there is a dearth of studies characterizing the associations between these chemical groups and human neurobehavior. Experimental studies suggest that glyphosate and 2,4-dichlorophenoxyacetic acid (2,4-D) herbicides can affect neurobehavior and the cholinergic and glutamatergic pathways in the brain. We aim to assess whether herbicides and insect repellents are associated with neurobehavioral performance in adolescents.Methods:We assessed 519 participants (11–17 years of age) living in agricultural communities in Ecuador. We quantified urinary concentrations of glyphosate, 2,4-D, and two N,N-diethyl-meta-toluamide (DEET) insect repellent metabolites [3-(diethylcarbamoyl)benzoic acid (DCBA) and 3-(ethylcarbamoyl)benzoic acid (ECBA)] using isotope-dilution mass spectrometry. We assessed neurobehavioral performance using 9 subtests across 5 domains (attention/inhibitory control, memory/learning, language, visuospatial processing, and social perception). We characterized the associations using generalized estimating equations and multiple imputation for metabolites below detection limits. Models were adjusted for demographic and anthropometric characteristics, urinary creatinine, and sexual maturation. Mediation by salivary cortisol, dehydroepiandrosterone, 17⁢β-estradiol, and testosterone was assessed using structural equation modeling.Results:The mean of each neurobehavioral domain score was between 7.0 and 8.7 [standard deviation (SD) range: 2.0–2.3]. Glyphosate was detected in 98.3% of participants, 2,4-D in 66.2%, DCBA in 63.3%, and ECBA in 33.4%. 2,4-D was negatively associated with all neurobehavioral domains, but statistically significant associations were observed with attention/inhibition [score difference per 50% higher metabolite concentration (β)=−0.19 95% confidence interval (CI): −0.31, −0.07], language [β=−0.12 (95% CI: −0.23, −0.01)], and memory/learning [β=−0.11 (95% CI: −0.22, 0.01)]. Glyphosate had a statistically significant negative association only with social perception [β=−0.08 (95% CI: −0.14, −0.01)]. DEET metabolites were not associated with neurobehavioral performance. Mediation by gender and adrenal hormones was not observed.Conclusion:This study describes worse neurobehavioral performance associated with herbicide exposures in adolescents, particularly with 2,4-D. Replication of these findings among other pediatric and adult populations is needed. https://doi.org/10.1289/EHP11383","container-title":"Environmental Health Perspectives","DOI":"10.1289/EHP11383","issue":"10","note":"publisher: Environmental Health Perspectives","page":"107007","source":"ehp.niehs.nih.gov (Atypon)","title":"Urinary Glyphosate, 2,4-D and DEET Biomarkers in Relation to Neurobehavioral Performance in Ecuadorian Adolescents in the ESPINA Cohort","volume":"131","author":[{"family":"Chronister","given":"Briana N.C."},{"family":"Yang","given":"Kun"},{"family":"Yang","given":"Audrey R."},{"family":"Lin","given":"Tuo"},{"family":"Tu","given":"Xin M."},{"family":"Lopez-Paredes","given":"Dolores"},{"family":"Checkoway","given":"Harvey"},{"family":"Suarez-Torres","given":"Jose"},{"family":"Gahagan","given":"Sheila"},{"family":"Martinez","given":"Danilo"},{"family":"Barr","given":"Dana"},{"family":"Moore","given":"Raeanne C."},{"family":"Suarez-Lopez","given":"Jose R."}],"issued":{"date-parts":[["2023",10]]}}}],"schema":"https://github.com/citation-style-language/schema/raw/master/csl-citation.json"} </w:instrText>
      </w:r>
      <w:r>
        <w:rPr>
          <w:color w:val="000000"/>
          <w:sz w:val="22"/>
          <w:szCs w:val="22"/>
        </w:rPr>
        <w:fldChar w:fldCharType="separate"/>
      </w:r>
      <w:r>
        <w:rPr>
          <w:sz w:val="22"/>
        </w:rPr>
        <w:t>(Chronister et al., 2023)</w:t>
      </w:r>
      <w:r>
        <w:rPr>
          <w:color w:val="000000"/>
          <w:sz w:val="22"/>
          <w:szCs w:val="22"/>
        </w:rPr>
        <w:fldChar w:fldCharType="end"/>
      </w:r>
      <w:r>
        <w:rPr>
          <w:color w:val="000000"/>
          <w:sz w:val="22"/>
          <w:szCs w:val="22"/>
        </w:rPr>
        <w:t xml:space="preserve">. Aligned with our results, a cross-sectional analysis among 307 children (mean age 6.6 years) in the same population (ESPINA), Friedman et al reported a better performance in NEPSY-II Language and Memory/Learning domains (domain average scores ranged from 6.6 to 9.9 points) when increasing distance between children’s households and plantations </w:t>
      </w:r>
      <w:r>
        <w:rPr>
          <w:color w:val="000000"/>
          <w:sz w:val="22"/>
          <w:szCs w:val="22"/>
        </w:rPr>
        <w:fldChar w:fldCharType="begin"/>
      </w:r>
      <w:r>
        <w:rPr>
          <w:color w:val="000000"/>
          <w:sz w:val="22"/>
          <w:szCs w:val="22"/>
        </w:rPr>
        <w:instrText xml:space="preserve"> ADDIN ZOTERO_ITEM CSL_CITATION {"citationID":"FE8NeFlN","properties":{"formattedCitation":"(Friedman et al., 2020)","plainCitation":"(Friedman et al., 2020)","noteIndex":0},"citationItems":[{"id":4608,"uris":["http://zotero.org/users/5127433/items/4Q486GVR"],"itemData":{"id":4608,"type":"article-journal","abstract":"Background\nChildren living near greenhouse agriculture may have an increased risk of pesticide exposure due to drift or direct contact with pesticide-treated areas. However, little is known about whether this increased potential for chronic exposure may impair their neurodevelopment.\nMethods\nWe examined 307 children aged 4–9 years, living in agricultural communities in Ecuador (ESPINA study). The two exposures calculated were residential distance from the nearest flower plantation perimeter and flower plantation surface area within 100 m of homes. Five neurobehavioral domains were assessed: Attention/Inhibitory Control, Memory/Learning, Visuospatial processing and Sensorimotor (higher values reflect better performance). Low scores were defined according to the test's cut-offs. Models were adjusted for demographic, socio-economic and growth variables.\nResults\nThe mean (SD) residential distance to the nearest flower plantation was 446 m (344). Living 100 m closer to crops was associated with increased odds (OR [95% CI]) of low scores in the domains of Memory/Learning (1.24 [1.05, 1.46]) and Language (1.09 [1.00, 1.19]). Associations were strongest among children living within 50 m, having significantly lower scores in Language (−1.28 which is ~50% of a SD [-2.50, −0.06]), Attention/Inhibitory Control (−1.24 units, [-2.45, −0.04]), and Memory/Learning (−0.91, [-1.99, 0.17]), compared to children living farther than 500 m. Analyses of areas of flower crops near homes concurred with these findings.\nConclusions\nClose residential proximity to greenhouse floricultural crops was associated with adverse neurobehavioral performance in Attention/Inhibitory Control, Language and Memory/Learning among children. This highlights the importance of reducing pesticide drift from plantations to nearby homes.","container-title":"International Journal of Hygiene and Environmental Health","DOI":"10.1016/j.ijheh.2019.08.009","ISSN":"1438-4639","issue":"1","journalAbbreviation":"International Journal of Hygiene and Environmental Health","page":"220-227","source":"ScienceDirect","title":"Residential proximity to greenhouse agriculture and neurobehavioral performance in Ecuadorian children","volume":"223","author":[{"family":"Friedman","given":"Elizabeth"},{"family":"Hazlehurst","given":"Marnie F."},{"family":"Loftus","given":"Christine"},{"family":"Karr","given":"Catherine"},{"family":"McDonald","given":"Kelsey N."},{"family":"Suarez-Lopez","given":"Jose Ricardo"}],"issued":{"date-parts":[["2020",1,1]]}}}],"schema":"https://github.com/citation-style-language/schema/raw/master/csl-citation.json"} </w:instrText>
      </w:r>
      <w:r>
        <w:rPr>
          <w:color w:val="000000"/>
          <w:sz w:val="22"/>
          <w:szCs w:val="22"/>
        </w:rPr>
        <w:fldChar w:fldCharType="separate"/>
      </w:r>
      <w:r>
        <w:rPr>
          <w:sz w:val="22"/>
        </w:rPr>
        <w:t>(Friedman et al., 2020)</w:t>
      </w:r>
      <w:r>
        <w:rPr>
          <w:color w:val="000000"/>
          <w:sz w:val="22"/>
          <w:szCs w:val="22"/>
        </w:rPr>
        <w:fldChar w:fldCharType="end"/>
      </w:r>
      <w:r>
        <w:rPr>
          <w:color w:val="000000"/>
          <w:sz w:val="22"/>
          <w:szCs w:val="22"/>
        </w:rPr>
        <w:t xml:space="preserve">. Further, our study expanded the analysis scope to three points in time and utilized two geospatial analyses. Apart from distance to the nearest plantation, used in previous analyses, this study intended to better represent the exposure by including the area of agriculture around participant’s households. In a recent ESPINA study of </w:t>
      </w:r>
      <w:proofErr w:type="gramStart"/>
      <w:r>
        <w:rPr>
          <w:color w:val="000000"/>
          <w:sz w:val="22"/>
          <w:szCs w:val="22"/>
        </w:rPr>
        <w:t>insecticides</w:t>
      </w:r>
      <w:proofErr w:type="gramEnd"/>
      <w:r>
        <w:rPr>
          <w:color w:val="000000"/>
          <w:sz w:val="22"/>
          <w:szCs w:val="22"/>
        </w:rPr>
        <w:t xml:space="preserve"> urinary metabolites and neurobehavior, it was found that organophosphates were associated with lower performance on Language, Social Perception, and Attention/Inhibitory Control; however, neonicotinoids were associated with better performance on Memory/Learning and Social Perception scores (Yen et al., unpublished). </w:t>
      </w:r>
    </w:p>
    <w:p w14:paraId="06AD31CB" w14:textId="77777777" w:rsidR="0054280C" w:rsidRDefault="0054280C">
      <w:pPr>
        <w:jc w:val="both"/>
        <w:rPr>
          <w:color w:val="000000"/>
          <w:sz w:val="22"/>
          <w:szCs w:val="22"/>
        </w:rPr>
      </w:pPr>
    </w:p>
    <w:p w14:paraId="3D5BE015" w14:textId="77777777" w:rsidR="0054280C" w:rsidRDefault="00B71134">
      <w:pPr>
        <w:jc w:val="both"/>
        <w:rPr>
          <w:color w:val="000000"/>
          <w:sz w:val="22"/>
          <w:szCs w:val="22"/>
        </w:rPr>
      </w:pPr>
      <w:r>
        <w:rPr>
          <w:color w:val="000000"/>
          <w:sz w:val="22"/>
          <w:szCs w:val="22"/>
        </w:rPr>
        <w:t xml:space="preserve">In contrast, in the CHAMACOS study, 320 3.5-year-old children were assessed using NEPSY-II visual attention subdomain (average score 8.8 ± 2.3), which was not correlated with urinary organophosphate metabolites </w:t>
      </w:r>
      <w:r>
        <w:rPr>
          <w:color w:val="000000"/>
          <w:sz w:val="22"/>
          <w:szCs w:val="22"/>
        </w:rPr>
        <w:fldChar w:fldCharType="begin"/>
      </w:r>
      <w:r>
        <w:rPr>
          <w:color w:val="000000"/>
          <w:sz w:val="22"/>
          <w:szCs w:val="22"/>
        </w:rPr>
        <w:instrText xml:space="preserve"> ADDIN ZOTERO_ITEM CSL_CITATION {"citationID":"7gzioKOY","properties":{"formattedCitation":"(Marks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(Marks et al., 2010)</w:t>
      </w:r>
      <w:r>
        <w:rPr>
          <w:color w:val="000000"/>
          <w:sz w:val="22"/>
          <w:szCs w:val="22"/>
        </w:rPr>
        <w:fldChar w:fldCharType="end"/>
      </w:r>
      <w:r>
        <w:rPr>
          <w:color w:val="000000"/>
          <w:sz w:val="22"/>
          <w:szCs w:val="22"/>
        </w:rPr>
        <w:t xml:space="preserve">. However, in CHAMACOS study, prenatal exposure to organophosphates was associated with attention problems and ADHD among 3.5-year-old and 5-year-old children using the Child Behavior Checklist </w:t>
      </w:r>
      <w:r>
        <w:rPr>
          <w:color w:val="000000"/>
          <w:sz w:val="22"/>
          <w:szCs w:val="22"/>
        </w:rPr>
        <w:fldChar w:fldCharType="begin"/>
      </w:r>
      <w:r>
        <w:rPr>
          <w:color w:val="000000"/>
          <w:sz w:val="22"/>
          <w:szCs w:val="22"/>
        </w:rPr>
        <w:instrText xml:space="preserve"> ADDIN ZOTERO_ITEM CSL_CITATION {"citationID":"RFGMpoY2","properties":{"formattedCitation":"(Marks et al., 2010)","plainCitation":"(Marks et al., 2010)","noteIndex":0},"citationItems":[{"id":4708,"uris":["http://zotero.org/users/5127433/items/UTHMMJC5"],"itemData":{"id":4708,"type":"article-journal","abstract":"BackgroundExposure to organophosphate (OP) pesticides, well-known neurotoxicants, has been associated with neurobehavioral deficits in children.ObjectivesWe investigated whether OP exposure, as measured by urinary dialkyl phosphate (DAP) metabolites in pregnant women and their children, was associated with attention-related outcomes among Mexican-American children living in an agricultural region of California.MethodsChildren were assessed at ages 3.5 years (n = 331) and 5 years (n = 323). Mothers completed the Child Behavior Checklist (CBCL). We administered the NEPSY-II visual attention subtest to children at 3.5 years and Conners’ Kiddie Continuous Performance Test (K-CPT) at 5 years. The K-CPT yielded a standardized attention deficit/hyperactivity disorder (ADHD) Confidence Index score. Psychometricians scored behavior of the 5-year-olds during testing using the Hillside Behavior Rating Scale.ResultsPrenatal DAPs (nanomoles per liter) were nonsignificantly associated with maternal report of attention problems and ADHD at age 3.5 years but were significantly related at age 5 years [CBCL attention problems: β = 0.7 points; 95% confidence interval (CI), 0.2–1.2; ADHD: β = 1.3; 95% CI, 0.4–2.1]. Prenatal DAPs were associated with scores on the K-CPT ADHD Confidence Index &gt; 70th percentile [odds ratio (OR) = 5.1; 95% CI, 1.7–15.7] and with a composite ADHD indicator of the various measures (OR = 3.5; 95% CI, 1.1–10.7). Some outcomes exhibited evidence of effect modification by sex, with associations found only among boys. There was also limited evidence of associations between child DAPs and attention.ConclusionsIn utero DAPs and, to a lesser extent, postnatal DAPs were associated adversely with attention as assessed by maternal report, psychometrician observation, and direct assessment. These associations were somewhat stronger at 5 years than at 3.5 years and were stronger in boys.","container-title":"Environmental Health Perspectives","DOI":"10.1289/ehp.1002056","issue":"12","note":"publisher: Environmental Health Perspectives","page":"1768-1774","source":"ehp.niehs.nih.gov (Atypon)","title":"Organophosphate Pesticide Exposure and Attention in Young Mexican-American Children: The CHAMACOS Study","title-short":"Organophosphate Pesticide Exposure and Attention in Young Mexican-American Children","volume":"118","author":[{"family":"Marks","given":"Amy R."},{"family":"Harley","given":"Kim"},{"family":"Bradman","given":"Asa"},{"family":"Kogut","given":"Katherine"},{"family":"Barr","given":"Dana Boyd"},{"family":"Johnson","given":"Caroline"},{"family":"Calderon","given":"Norma"},{"family":"Eskenazi","given":"Brenda"}],"issued":{"date-parts":[["2010",12]]}}}],"schema":"https://github.com/citation-style-language/schema/raw/master/csl-citation.json"} </w:instrText>
      </w:r>
      <w:r>
        <w:rPr>
          <w:color w:val="000000"/>
          <w:sz w:val="22"/>
          <w:szCs w:val="22"/>
        </w:rPr>
        <w:fldChar w:fldCharType="separate"/>
      </w:r>
      <w:r>
        <w:rPr>
          <w:sz w:val="22"/>
        </w:rPr>
        <w:t>(Marks et al., 2010)</w:t>
      </w:r>
      <w:r>
        <w:rPr>
          <w:color w:val="000000"/>
          <w:sz w:val="22"/>
          <w:szCs w:val="22"/>
        </w:rPr>
        <w:fldChar w:fldCharType="end"/>
      </w:r>
      <w:r>
        <w:rPr>
          <w:color w:val="000000"/>
          <w:sz w:val="22"/>
          <w:szCs w:val="22"/>
        </w:rPr>
        <w:t xml:space="preserve">. Differences in NEPSY-II results between CHAMACOS and ESPINA studies, could be based </w:t>
      </w:r>
      <w:proofErr w:type="gramStart"/>
      <w:r>
        <w:rPr>
          <w:color w:val="000000"/>
          <w:sz w:val="22"/>
          <w:szCs w:val="22"/>
        </w:rPr>
        <w:t>in</w:t>
      </w:r>
      <w:proofErr w:type="gramEnd"/>
      <w:r>
        <w:rPr>
          <w:color w:val="000000"/>
          <w:sz w:val="22"/>
          <w:szCs w:val="22"/>
        </w:rPr>
        <w:t xml:space="preserve"> the narrow use of one NEPSY-II subdomain (visual attention) in the CHAMACOS study vs a larger inclusion of subdomains in ESPINA (Attention/Inhibitory Control, Language, Memory/Learning, Visuospatial Processing and Social Perception). Furthermore, this analysis did not assess biomarkers, but geographical proximity to crops suggesting a broader range of mechanisms that could impact child neurodevelopment. Organochlorine and other types of insecticides are the most common pesticides explored in the literature on pesticide exposure and neurobehavioral performance; yet, more than 150 active ingredients or metabolites have been studied </w:t>
      </w:r>
      <w:r>
        <w:rPr>
          <w:color w:val="000000"/>
          <w:sz w:val="22"/>
          <w:szCs w:val="22"/>
        </w:rPr>
        <w:fldChar w:fldCharType="begin"/>
      </w:r>
      <w:r>
        <w:rPr>
          <w:color w:val="000000"/>
          <w:sz w:val="22"/>
          <w:szCs w:val="22"/>
        </w:rPr>
        <w:instrText xml:space="preserve"> ADDIN ZOTERO_ITEM CSL_CITATION {"citationID":"he7Rsxas","properties":{"formattedCitation":"(Reed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xml:space="preserve"> that can be explored to better understand their implications in child neurodevelopment.</w:t>
      </w:r>
    </w:p>
    <w:p w14:paraId="08B06D55" w14:textId="77777777" w:rsidR="0054280C" w:rsidRDefault="0054280C">
      <w:pPr>
        <w:jc w:val="both"/>
        <w:rPr>
          <w:color w:val="000000"/>
          <w:sz w:val="22"/>
          <w:szCs w:val="22"/>
        </w:rPr>
      </w:pPr>
    </w:p>
    <w:p w14:paraId="735F1856" w14:textId="77777777" w:rsidR="0054280C" w:rsidRDefault="00B71134">
      <w:pPr>
        <w:jc w:val="both"/>
        <w:rPr>
          <w:color w:val="000000"/>
          <w:sz w:val="22"/>
          <w:szCs w:val="22"/>
        </w:rPr>
      </w:pPr>
      <w:r>
        <w:rPr>
          <w:color w:val="000000"/>
          <w:sz w:val="22"/>
          <w:szCs w:val="22"/>
        </w:rPr>
        <w:t xml:space="preserve">This study has many strengths and some limitations. This is the first longitudinal study to assess the association between proximity to pesticide spray sites and children’s neurobehavioral performance in South America, contributing to the scarcity of research on this topic in Latin America, and one of only a few studies to study the area of pesticide spray sites around children’s homes </w:t>
      </w:r>
      <w:r>
        <w:rPr>
          <w:color w:val="000000"/>
          <w:sz w:val="22"/>
          <w:szCs w:val="22"/>
        </w:rPr>
        <w:fldChar w:fldCharType="begin"/>
      </w:r>
      <w:r>
        <w:rPr>
          <w:color w:val="000000"/>
          <w:sz w:val="22"/>
          <w:szCs w:val="22"/>
        </w:rPr>
        <w:instrText xml:space="preserve"> ADDIN ZOTERO_ITEM CSL_CITATION {"citationID":"PY7024eP","properties":{"formattedCitation":"(Reed et al., 2023)","plainCitation":"(Reed et al., 2023)","noteIndex":0},"citationItems":[{"id":4765,"uris":["http://zotero.org/users/5127433/items/C8UQ5PWT"],"itemData":{"id":4765,"type":"article-journal","abstract":"Pesticides are highly tested and regulated chemicals. There is currently great interest in the role that pesticides may play in childhood neurodevelopment. The objective was to identify and describe the body of evidence and to assess the ability to synthesize effect estimates. The epidemiologic literature from 2011 to 2022 was searched for publications on the association between pesticide exposure and neurodevelopment, behavior, and/or cognition in children. We identified 114 publications, representing 67 unique studies. While organochlorine and other insecticides were the most common classes of pesticides studied, up to 159 different metabolites or active ingredients were reported. Nine pesticides or their metabolites were reported in &gt;10 publications. Similarly, multiple assessment methods were administered across studies to evaluate outcomes in neurodevelopment at ages which ranged from birth to 18 years of age. This scoping review reveals the heterogeneity among published studies with respect to exposures and health outcomes, in the methods used to assess and classify them, and in combinations of the two. This limits the adequacy of the evidence to evaluate specific risk estimates for a particular exposure-outcome pair. Intentional coordination among researchers to increase consistency in methodologies would facilitate the synthesis of results across studies. Research opportunities also exist to validate assumptions in exposure and outcome assessment which are implicit in many of the studies reviewed. In conclusion, there are many ongoing epidemiologic studies with a focus on pesticides and neurodevelopment. The variety of exposures, exposure assessment methods and tests for each outcome can be overwhelming. Interdisciplinary collaboration is recommended to harmonize data collection and to enable meaningful interpretation of the study results across populations.","container-title":"Global Epidemiology","DOI":"10.1016/j.gloepi.2023.100121","ISSN":"2590-1133","journalAbbreviation":"Global Epidemiology","page":"100121","source":"ScienceDirect","title":"Literature landscape of neurodevelopment and pesticides: A scoping review of methodologies","title-short":"Literature landscape of neurodevelopment and pesticides","volume":"6","author":[{"family":"Reed","given":"Jennifer E."},{"family":"Burns","given":"Carol J."},{"family":"Pisa","given":"Federica"}],"issued":{"date-parts":[["2023",12,1]]}}}],"schema":"https://github.com/citation-style-language/schema/raw/master/csl-citation.json"} </w:instrText>
      </w:r>
      <w:r>
        <w:rPr>
          <w:color w:val="000000"/>
          <w:sz w:val="22"/>
          <w:szCs w:val="22"/>
        </w:rPr>
        <w:fldChar w:fldCharType="separate"/>
      </w:r>
      <w:r>
        <w:rPr>
          <w:sz w:val="22"/>
        </w:rPr>
        <w:t>(Reed et al., 2023)</w:t>
      </w:r>
      <w:r>
        <w:rPr>
          <w:color w:val="000000"/>
          <w:sz w:val="22"/>
          <w:szCs w:val="22"/>
        </w:rPr>
        <w:fldChar w:fldCharType="end"/>
      </w:r>
      <w:r>
        <w:rPr>
          <w:color w:val="000000"/>
          <w:sz w:val="22"/>
          <w:szCs w:val="22"/>
        </w:rPr>
        <w:t xml:space="preserve">. While </w:t>
      </w:r>
      <w:proofErr w:type="gramStart"/>
      <w:r>
        <w:rPr>
          <w:color w:val="000000"/>
          <w:sz w:val="22"/>
          <w:szCs w:val="22"/>
        </w:rPr>
        <w:t>the NEPSY</w:t>
      </w:r>
      <w:proofErr w:type="gramEnd"/>
      <w:r>
        <w:rPr>
          <w:color w:val="000000"/>
          <w:sz w:val="22"/>
          <w:szCs w:val="22"/>
        </w:rPr>
        <w:t xml:space="preserve"> II was used in the CHAMACOS study and here, no other known studies have used NEPSY in assessment of neurobehavior in children and exposure to pesticides. There are, however, some limitations. This analysis included greenhouse floriculture; however, the study area also has other vegetable and fruit plantations outside greenhouses not explored and these crops use pesticides as well. The sample size is small and may be underpowered to detect some associations. Further, exposures were defined based on household characteristics—such as occupation of household members and distance to plantation—</w:t>
      </w:r>
      <w:commentRangeStart w:id="145"/>
      <w:commentRangeStart w:id="146"/>
      <w:r>
        <w:rPr>
          <w:color w:val="000000"/>
          <w:sz w:val="22"/>
          <w:szCs w:val="22"/>
        </w:rPr>
        <w:t>but children enroll in school spend about one third of their day at school</w:t>
      </w:r>
      <w:commentRangeEnd w:id="145"/>
      <w:commentRangeEnd w:id="146"/>
      <w:r>
        <w:commentReference w:id="145"/>
      </w:r>
      <w:r>
        <w:commentReference w:id="146"/>
      </w:r>
      <w:r>
        <w:rPr>
          <w:color w:val="000000"/>
          <w:sz w:val="22"/>
          <w:szCs w:val="22"/>
        </w:rPr>
        <w:t xml:space="preserve">. This geospatial </w:t>
      </w:r>
      <w:proofErr w:type="gramStart"/>
      <w:r>
        <w:rPr>
          <w:color w:val="000000"/>
          <w:sz w:val="22"/>
          <w:szCs w:val="22"/>
        </w:rPr>
        <w:t>construct</w:t>
      </w:r>
      <w:proofErr w:type="gramEnd"/>
      <w:r>
        <w:rPr>
          <w:color w:val="000000"/>
          <w:sz w:val="22"/>
          <w:szCs w:val="22"/>
        </w:rPr>
        <w:t xml:space="preserve"> could be incorporated into future studies. Further, two previous studies reported no differences in NEPSY-II scores </w:t>
      </w:r>
      <w:r>
        <w:rPr>
          <w:color w:val="000000"/>
          <w:sz w:val="22"/>
          <w:szCs w:val="22"/>
        </w:rPr>
        <w:lastRenderedPageBreak/>
        <w:t xml:space="preserve">based on language administration (English vs Spanish) </w:t>
      </w:r>
      <w:r>
        <w:rPr>
          <w:color w:val="000000"/>
          <w:sz w:val="22"/>
          <w:szCs w:val="22"/>
        </w:rPr>
        <w:fldChar w:fldCharType="begin"/>
      </w:r>
      <w:r>
        <w:rPr>
          <w:color w:val="000000"/>
          <w:sz w:val="22"/>
          <w:szCs w:val="22"/>
        </w:rPr>
        <w:instrText xml:space="preserve"> ADDIN ZOTERO_ITEM CSL_CITATION {"citationID":"s3jVlE1J","properties":{"formattedCitation":"(Gunier, Bradman, Harley, Kogut, et al., 2017; Korpinen et al., 2023)","plainCitation":"(Gunier, Bradman, Harley, Kogut, et al., 2017; Korpinen et al., 2023)","noteIndex":0},"citationItems":[{"id":4683,"uris":["http://zotero.org/users/5127433/items/ALAF35J8"],"itemData":{"id":4683,"type":"article-journal","abstract":"Background:Residential proximity to agricultural pesticide use has been associated with neural tube defects and autism, but more subtle outcomes such as cognition have not been studied.Objectives:We evaluated the relationship between prenatal residential proximity to agricultural use of potentially neurotoxic pesticides and neurodevelopment in 7-year-old children.Methods:Participants included mothers and children (</w:instrText>
      </w:r>
      <w:r>
        <w:rPr>
          <w:rFonts w:ascii="Cambria Math" w:hAnsi="Cambria Math" w:cs="Cambria Math"/>
          <w:color w:val="000000"/>
          <w:sz w:val="22"/>
          <w:szCs w:val="22"/>
        </w:rPr>
        <w:instrText>𝑛</w:instrText>
      </w:r>
      <w:r>
        <w:rPr>
          <w:color w:val="000000"/>
          <w:sz w:val="22"/>
          <w:szCs w:val="22"/>
        </w:rPr>
        <w:instrText xml:space="preserve">=283) living in the agricultural Salinas Valley of California enrolled in the Center for the Health Assessment of Mothers and Children of Salinas (CHAMACOS) study. We estimated agricultural pesticide use within 1 km of maternal residences during pregnancy using a geographic information system, residential location, and California’s comprehensive agricultural Pesticide Use Report data. We used regression models to evaluate prenatal residential proximity to agricultural use of five potentially neurotoxic pesticide groups (organophosphates, carbamates, pyrethroids, neonicotinoids, and manganese fungicides) and five individual organophosphates (acephate, chlorpyrifos, diazinon, malathion, and oxydemeton-methyl) and cognition in 7-year-old children. All models included prenatal urinary dialkyl phosphate metabolite concentrations.Results:We observed a decrease of 2.2 points [95% confidence interval (CI): −3.9, −0.5] in Full-Scale IQ and 2.9 points (95% CI: −4.4, −1.3) in Verbal Comprehension for each standard deviation increase in toxicity-weighted use of organophosphate pesticides. In separate models, we observed similar decrements in Full-Scale IQ with each standard deviation increase of use for two organophosphates (acephate and oxydemeton-methyl) and three neurotoxic pesticide groups (pyrethroids, neonicotinoids, and manganese fungicides).Conclusions:This study identified potential relationships between maternal residential proximity to agricultural use of neurotoxic pesticides and poorer neurodevelopment in children. https://doi.org/10.1289/EHP504","container-title":"Environmental Health Perspectives","DOI":"10.1289/EHP504","issue":"5","note":"publisher: Environmental Health Perspectives","page":"057002","source":"ehp.niehs.nih.gov (Atypon)","title":"Prenatal Residential Proximity to Agricultural Pesticide Use and IQ in 7-Year-Old Children","volume":"125","author":[{"family":"Gunier","given":"Robert B."},{"family":"Bradman","given":"Asa"},{"family":"Harley","given":"Kim G."},{"family":"Kogut","given":"Katherine"},{"family":"Eskenazi","given":"Brenda"}],"issued":{"date-parts":[["2017",5,24]]}}},{"id":4602,"uris":["http://zotero.org/users/5127433/items/N4LPC2WX"],"itemData":{"id":4602,"type":"article-journal","abstract":"Children's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(Gunier, Bradman, Harley, Kogut, et al., 2017; Korpinen et al., 2023)</w:t>
      </w:r>
      <w:r>
        <w:rPr>
          <w:color w:val="000000"/>
          <w:sz w:val="22"/>
          <w:szCs w:val="22"/>
        </w:rPr>
        <w:fldChar w:fldCharType="end"/>
      </w:r>
      <w:r>
        <w:rPr>
          <w:color w:val="000000"/>
          <w:sz w:val="22"/>
          <w:szCs w:val="22"/>
        </w:rPr>
        <w:t xml:space="preserve">. However, when assessing expressive language in young children considering the child's language background is important </w:t>
      </w:r>
      <w:r>
        <w:rPr>
          <w:color w:val="000000"/>
          <w:sz w:val="22"/>
          <w:szCs w:val="22"/>
        </w:rPr>
        <w:fldChar w:fldCharType="begin"/>
      </w:r>
      <w:r>
        <w:rPr>
          <w:color w:val="000000"/>
          <w:sz w:val="22"/>
          <w:szCs w:val="22"/>
        </w:rPr>
        <w:instrText xml:space="preserve"> ADDIN ZOTERO_ITEM CSL_CITATION {"citationID":"q3pFbta5","properties":{"formattedCitation":"(Korpinen et al., 2023)","plainCitation":"(Korpinen et al., 2023)","noteIndex":0},"citationItems":[{"id":4602,"uris":["http://zotero.org/users/5127433/items/N4LPC2WX"],"itemData":{"id":4602,"type":"article-journal","abstract":"Children's language background relates to their neurocognitive development. Knowledge of this relationship is important as bilingualism is common. However, research regarding language background in relation to performance on cognitive tests such as the WPPSI-IV and NEPSY-II is scarce. The present study compared WPPSI-IV and NEPSY-II performances between 5- and 6-year-old Swedish-speaking monolingual (n = 45) and Swedish-Finnish-speaking simultaneous bilingual (n = 34) children in Finland. The participants were gathered by stratified sampling and were assessed with the Swedish versions of the tests. In profile analyses, a significant monolingual advantage was found in some WPPSI-IV subtests and indexes requiring expressive vocabulary (Vocabulary, Similarities, Picture Naming, and Vocabulary Acquisition Index) and visuospatial skills (Object Assembly and Visual Spatial Index). No group differences were found between mono- and bilingual children in receptive language, visual memory, or fluid intelligence. Additionally, no differences were found on the Full Scale IQ. The performance on the WPPSI-IV Similarities subtest improved in a subgroup of bilinguals when answers in both Swedish and Finnish were accounted for, instead of accepting only answers in Swedish. No significant differences were found between mono- and bilinguals on the language and memory tasks of NEPSY-II. These findings highlight the importance of considering the child's language background when assessing expressive language in young children, as well as the benefits of assessing bilinguals in both of their languages.","container-title":"Scandinavian Journal of Psychology","DOI":"10.1111/sjop.12895","ISSN":"1467-9450","issue":"4","language":"en","license":"© 2023 The Authors. Scandinavian Journal of Psychology published by Scandinavian Psychological Associations and John Wiley &amp; Sons Ltd.","note":"_eprint: https://onlinelibrary.wiley.com/doi/pdf/10.1111/sjop.12895","page":"409-420","source":"Wiley Online Library","title":"WPPSI-IV and NEPSY-II performance in mono- and bilingual 5–6-year-old children: Findings from The FinSwed Study","title-short":"WPPSI-IV and NEPSY-II performance in mono- and bilingual 5–6-year-old children","volume":"64","author":[{"family":"Korpinen","given":"Emma"},{"family":"Slama","given":"Susanna"},{"family":"Rosenqvist","given":"Johanna"},{"family":"Haavisto","given":"Anu"}],"issued":{"date-parts":[["2023"]]}}}],"schema":"https://github.com/citation-style-language/schema/raw/master/csl-citation.json"} </w:instrText>
      </w:r>
      <w:r>
        <w:rPr>
          <w:color w:val="000000"/>
          <w:sz w:val="22"/>
          <w:szCs w:val="22"/>
        </w:rPr>
        <w:fldChar w:fldCharType="separate"/>
      </w:r>
      <w:r>
        <w:rPr>
          <w:sz w:val="22"/>
        </w:rPr>
        <w:t>(Korpinen et al., 2023)</w:t>
      </w:r>
      <w:r>
        <w:rPr>
          <w:color w:val="000000"/>
          <w:sz w:val="22"/>
          <w:szCs w:val="22"/>
        </w:rPr>
        <w:fldChar w:fldCharType="end"/>
      </w:r>
      <w:r>
        <w:rPr>
          <w:color w:val="000000"/>
          <w:sz w:val="22"/>
          <w:szCs w:val="22"/>
        </w:rPr>
        <w:t xml:space="preserve">. For instance, language–and particularly comprehension of instruction—could limit the ability to respond correctly if participants’ mother language is different than Spanish (e.g., Quechua). </w:t>
      </w:r>
    </w:p>
    <w:p w14:paraId="63FCEAAC" w14:textId="77777777" w:rsidR="0054280C" w:rsidRDefault="0054280C">
      <w:pPr>
        <w:rPr>
          <w:color w:val="000000"/>
          <w:sz w:val="22"/>
          <w:szCs w:val="22"/>
        </w:rPr>
      </w:pPr>
    </w:p>
    <w:p w14:paraId="78C3A4B8" w14:textId="77777777" w:rsidR="0054280C" w:rsidRDefault="00B71134">
      <w:pPr>
        <w:pStyle w:val="ListParagraph"/>
        <w:numPr>
          <w:ilvl w:val="0"/>
          <w:numId w:val="1"/>
        </w:numPr>
        <w:rPr>
          <w:b/>
          <w:bCs/>
          <w:color w:val="000000"/>
          <w:sz w:val="22"/>
          <w:szCs w:val="22"/>
        </w:rPr>
      </w:pPr>
      <w:r>
        <w:rPr>
          <w:b/>
          <w:bCs/>
          <w:color w:val="000000"/>
          <w:sz w:val="22"/>
          <w:szCs w:val="22"/>
        </w:rPr>
        <w:t>Conclusion</w:t>
      </w:r>
    </w:p>
    <w:p w14:paraId="049317B1" w14:textId="77777777" w:rsidR="0054280C" w:rsidRDefault="00B71134">
      <w:pPr>
        <w:jc w:val="both"/>
        <w:rPr>
          <w:color w:val="000000"/>
          <w:sz w:val="22"/>
          <w:szCs w:val="22"/>
        </w:rPr>
      </w:pPr>
      <w:r>
        <w:rPr>
          <w:color w:val="000000"/>
          <w:sz w:val="22"/>
          <w:szCs w:val="22"/>
        </w:rPr>
        <w:t xml:space="preserve">In this longitudinal ESPINA study of children who grow up near floriculture, where pesticides are heavily used, residential proximity to floriculture plantations and crop areas around children’s households were associated with lower performance in Attention/Inhibitory Control, Language, and Memory/Learning among children and adolescents assessed in three different time periods in Pedro Moncayo, Ecuador. The distance from residence to nearest plantation and all crop area variables between 50 and 500m were associated with lower performance in the domain of Attention/Inhibitory Control. This research contributes to the body of research that suggests that exposure to pesticides is negatively associated with neurobehavior. This research has implications for health-based standards and adds to the body of literature that suggests that pesticide sprays sites should not be within 500m of residential areas, schools or daycare facilities </w:t>
      </w:r>
      <w:r>
        <w:rPr>
          <w:color w:val="000000"/>
          <w:sz w:val="22"/>
          <w:szCs w:val="22"/>
        </w:rPr>
        <w:fldChar w:fldCharType="begin"/>
      </w:r>
      <w:r>
        <w:rPr>
          <w:color w:val="000000"/>
          <w:sz w:val="22"/>
          <w:szCs w:val="22"/>
        </w:rPr>
        <w:instrText xml:space="preserve"> ADDIN ZOTERO_ITEM CSL_CITATION {"citationID":"PLhyX0X5","properties":{"formattedCitation":"(Gunier, Bradman, Harley, &amp; Eskenazi, 2017)","plainCitation":"(Gunier, Bradman, Harley, &amp; Eskenazi, 2017)","noteIndex":0},"citationItems":[{"id":4791,"uris":["http://zotero.org/users/5127433/items/NDKPABHX"],"itemData":{"id":4791,"type":"article-journal","abstract":"California has proposed limiting agricultural pesticide use within 0.4 km of schools and childcare facilities. However, the 0.4-km buffer may not be appropriate for all pesticides because of differing toxicities, fate, and application methods. Living near pesticide use has been associated with poorer birth outcomes, neurodevelopment, and respiratory function in children. More research about exposures in schools, childcare facilities, and homes is needed. Despite incomplete science, this regulation is an important step to reduce potential exposures to children. The most vulnerable exposure period may be in utero, and future regulations should also aim to reduce exposures to pregnant women.","container-title":"PLOS Biology","DOI":"10.1371/journal.pbio.2004741","ISSN":"1545-7885","issue":"12","journalAbbreviation":"PLOS Biology","language":"en","note":"publisher: Public Library of Science","page":"e2004741","source":"PLoS Journals","title":"Will buffer zones around schools in agricultural areas be adequate to protect children from the potential adverse effects of pesticide exposure?","volume":"15","author":[{"family":"Gunier","given":"Robert B."},{"family":"Bradman","given":"Asa"},{"family":"Harley","given":"Kim G."},{"family":"Eskenazi","given":"Brenda"}],"issued":{"date-parts":[["2017"]],"season":"dic"}}}],"schema":"https://github.com/citation-style-language/schema/raw/master/csl-citation.json"} </w:instrText>
      </w:r>
      <w:r>
        <w:rPr>
          <w:color w:val="000000"/>
          <w:sz w:val="22"/>
          <w:szCs w:val="22"/>
        </w:rPr>
        <w:fldChar w:fldCharType="separate"/>
      </w:r>
      <w:r>
        <w:rPr>
          <w:sz w:val="22"/>
        </w:rPr>
        <w:t>(Gunier, Bradman, Harley, &amp; Eskenazi, 2017)</w:t>
      </w:r>
      <w:r>
        <w:rPr>
          <w:color w:val="000000"/>
          <w:sz w:val="22"/>
          <w:szCs w:val="22"/>
        </w:rPr>
        <w:fldChar w:fldCharType="end"/>
      </w:r>
      <w:r>
        <w:rPr>
          <w:color w:val="000000"/>
          <w:sz w:val="22"/>
          <w:szCs w:val="22"/>
        </w:rPr>
        <w:t xml:space="preserve">. Further research is still needed to disentangle the varying pesticide exposure mechanisms among children and adolescents who grow up near pesticide spray sites and neurobehavioral outcomes and identify the classes of pesticides that may be triggering these outcomes. </w:t>
      </w:r>
    </w:p>
    <w:p w14:paraId="1A0083B2" w14:textId="77777777" w:rsidR="0054280C" w:rsidRDefault="0054280C">
      <w:pPr>
        <w:rPr>
          <w:color w:val="000000"/>
          <w:sz w:val="22"/>
          <w:szCs w:val="22"/>
        </w:rPr>
      </w:pPr>
    </w:p>
    <w:p w14:paraId="20C90574" w14:textId="77777777" w:rsidR="0054280C" w:rsidRDefault="0054280C">
      <w:pPr>
        <w:rPr>
          <w:b/>
          <w:bCs/>
          <w:color w:val="000000"/>
          <w:sz w:val="22"/>
          <w:szCs w:val="22"/>
        </w:rPr>
      </w:pPr>
    </w:p>
    <w:p w14:paraId="5AE2F90C" w14:textId="77777777" w:rsidR="0054280C" w:rsidRDefault="00B71134">
      <w:pPr>
        <w:rPr>
          <w:b/>
          <w:bCs/>
          <w:color w:val="000000"/>
          <w:sz w:val="22"/>
          <w:szCs w:val="22"/>
        </w:rPr>
      </w:pPr>
      <w:r>
        <w:rPr>
          <w:b/>
          <w:bCs/>
          <w:color w:val="000000"/>
          <w:sz w:val="22"/>
          <w:szCs w:val="22"/>
        </w:rPr>
        <w:t>Acknowledgements</w:t>
      </w:r>
    </w:p>
    <w:p w14:paraId="50792D41" w14:textId="77777777" w:rsidR="0054280C" w:rsidRDefault="0054280C">
      <w:pPr>
        <w:rPr>
          <w:color w:val="000000"/>
          <w:sz w:val="22"/>
          <w:szCs w:val="22"/>
        </w:rPr>
      </w:pPr>
    </w:p>
    <w:p w14:paraId="53CA0608" w14:textId="77777777" w:rsidR="0054280C" w:rsidRDefault="00B71134">
      <w:pPr>
        <w:jc w:val="both"/>
        <w:rPr>
          <w:color w:val="000000"/>
          <w:sz w:val="22"/>
          <w:szCs w:val="22"/>
        </w:rPr>
      </w:pPr>
      <w:r>
        <w:rPr>
          <w:rFonts w:eastAsiaTheme="minorHAnsi"/>
          <w:color w:val="000000"/>
          <w:sz w:val="22"/>
          <w:szCs w:val="22"/>
        </w:rPr>
        <w:t xml:space="preserve">Research funding was provided by </w:t>
      </w:r>
      <w:r>
        <w:rPr>
          <w:sz w:val="22"/>
          <w:szCs w:val="22"/>
        </w:rPr>
        <w:t xml:space="preserve">National Institute of Environmental Health Sciences (NIEHS) of the National Institutes of Health </w:t>
      </w:r>
      <w:r>
        <w:rPr>
          <w:rFonts w:eastAsiaTheme="minorHAnsi"/>
          <w:color w:val="000000"/>
          <w:sz w:val="22"/>
          <w:szCs w:val="22"/>
        </w:rPr>
        <w:t>grant K01ES031697 to Dr. Georgia Kayser to help make this research possible. Other NIEHS research awards were also helpful in bringing this research to fruition (</w:t>
      </w:r>
      <w:r>
        <w:rPr>
          <w:rFonts w:eastAsiaTheme="minorHAnsi"/>
          <w:color w:val="000000" w:themeColor="text1"/>
          <w:sz w:val="22"/>
          <w:szCs w:val="22"/>
        </w:rPr>
        <w:t xml:space="preserve">R01ES030378, R01ES025792; PI: </w:t>
      </w:r>
      <w:proofErr w:type="spellStart"/>
      <w:r>
        <w:rPr>
          <w:rFonts w:eastAsiaTheme="minorHAnsi"/>
          <w:color w:val="000000" w:themeColor="text1"/>
          <w:sz w:val="22"/>
          <w:szCs w:val="22"/>
        </w:rPr>
        <w:t>Suraez</w:t>
      </w:r>
      <w:proofErr w:type="spellEnd"/>
      <w:r>
        <w:rPr>
          <w:rFonts w:eastAsiaTheme="minorHAnsi"/>
          <w:color w:val="000000" w:themeColor="text1"/>
          <w:sz w:val="22"/>
          <w:szCs w:val="22"/>
        </w:rPr>
        <w:t xml:space="preserve">, J.R.). We also greatly appreciate the contributions of ESPINA study staff, Fundación Cimas del Ecuador, </w:t>
      </w:r>
      <w:r>
        <w:rPr>
          <w:sz w:val="22"/>
          <w:szCs w:val="22"/>
        </w:rPr>
        <w:t>the Parish Governments of Pedro Moncayo County, community members of Pedro Moncayo, and the Education District of Pichincha-Cayambe-Pedro Moncayo counties for their contributions and support on this project.</w:t>
      </w:r>
    </w:p>
    <w:p w14:paraId="08563E92" w14:textId="77777777" w:rsidR="0054280C" w:rsidRDefault="0054280C">
      <w:pPr>
        <w:rPr>
          <w:color w:val="000000"/>
          <w:sz w:val="22"/>
          <w:szCs w:val="22"/>
        </w:rPr>
      </w:pPr>
    </w:p>
    <w:p w14:paraId="6FAB1C76" w14:textId="77777777" w:rsidR="0054280C" w:rsidRDefault="0054280C">
      <w:pPr>
        <w:rPr>
          <w:color w:val="000000"/>
          <w:sz w:val="22"/>
          <w:szCs w:val="22"/>
        </w:rPr>
      </w:pPr>
    </w:p>
    <w:p w14:paraId="126FC844" w14:textId="77777777" w:rsidR="0054280C" w:rsidRDefault="00B71134">
      <w:pPr>
        <w:rPr>
          <w:b/>
          <w:bCs/>
          <w:color w:val="000000"/>
          <w:sz w:val="22"/>
          <w:szCs w:val="22"/>
          <w:highlight w:val="lightGray"/>
        </w:rPr>
      </w:pPr>
      <w:r>
        <w:rPr>
          <w:b/>
          <w:bCs/>
          <w:color w:val="000000"/>
          <w:sz w:val="22"/>
          <w:szCs w:val="22"/>
          <w:highlight w:val="lightGray"/>
        </w:rPr>
        <w:br w:type="page" w:clear="all"/>
      </w:r>
    </w:p>
    <w:p w14:paraId="656293AB" w14:textId="77777777" w:rsidR="0054280C" w:rsidRDefault="00B71134">
      <w:pPr>
        <w:rPr>
          <w:b/>
          <w:bCs/>
          <w:color w:val="000000"/>
          <w:sz w:val="22"/>
          <w:szCs w:val="22"/>
        </w:rPr>
      </w:pPr>
      <w:r>
        <w:rPr>
          <w:b/>
          <w:bCs/>
          <w:color w:val="000000"/>
          <w:sz w:val="22"/>
          <w:szCs w:val="22"/>
        </w:rPr>
        <w:lastRenderedPageBreak/>
        <w:t>Bibliography:</w:t>
      </w:r>
    </w:p>
    <w:p w14:paraId="11C80574" w14:textId="77777777" w:rsidR="0054280C" w:rsidRDefault="0054280C">
      <w:pPr>
        <w:rPr>
          <w:color w:val="000000"/>
          <w:sz w:val="22"/>
          <w:szCs w:val="22"/>
        </w:rPr>
      </w:pPr>
    </w:p>
    <w:p w14:paraId="4185F00F" w14:textId="77777777" w:rsidR="0054280C" w:rsidRDefault="00B71134">
      <w:pPr>
        <w:pStyle w:val="Bibliography"/>
        <w:spacing w:line="240" w:lineRule="auto"/>
        <w:ind w:left="806" w:hanging="806"/>
        <w:rPr>
          <w:sz w:val="22"/>
        </w:rPr>
      </w:pPr>
      <w:r>
        <w:rPr>
          <w:color w:val="000000"/>
          <w:sz w:val="22"/>
          <w:szCs w:val="22"/>
        </w:rPr>
        <w:fldChar w:fldCharType="begin"/>
      </w:r>
      <w:r>
        <w:rPr>
          <w:color w:val="000000"/>
          <w:sz w:val="22"/>
          <w:szCs w:val="22"/>
        </w:rPr>
        <w:instrText xml:space="preserve"> ADDIN ZOTERO_BIBL {"uncited":[],"omitted":[],"custom":[]} CSL_BIBLIOGRAPHY </w:instrText>
      </w:r>
      <w:r>
        <w:rPr>
          <w:color w:val="000000"/>
          <w:sz w:val="22"/>
          <w:szCs w:val="22"/>
        </w:rPr>
        <w:fldChar w:fldCharType="separate"/>
      </w:r>
      <w:r>
        <w:rPr>
          <w:sz w:val="22"/>
        </w:rPr>
        <w:t xml:space="preserve">Bradman, A., Castorina, R., Boyd Barr, D., Chevrier, J., Harnly, M. E., Eisen, E. A., McKone, T. E., Harley, K., Holland, N., &amp; Eskenazi, B. (2011). Determinants of Organophosphorus Pesticide Urinary Metabolite Levels in Young Children Living in an Agricultural Community. </w:t>
      </w:r>
      <w:r>
        <w:rPr>
          <w:i/>
          <w:iCs/>
          <w:sz w:val="22"/>
        </w:rPr>
        <w:t>International Journal of Environmental Research and Public Health</w:t>
      </w:r>
      <w:r>
        <w:rPr>
          <w:sz w:val="22"/>
        </w:rPr>
        <w:t xml:space="preserve">, </w:t>
      </w:r>
      <w:r>
        <w:rPr>
          <w:i/>
          <w:iCs/>
          <w:sz w:val="22"/>
        </w:rPr>
        <w:t>8</w:t>
      </w:r>
      <w:r>
        <w:rPr>
          <w:sz w:val="22"/>
        </w:rPr>
        <w:t>(4), Article 4. https://doi.org/10.3390/ijerph8041061</w:t>
      </w:r>
    </w:p>
    <w:p w14:paraId="4A573CC6" w14:textId="77777777" w:rsidR="0054280C" w:rsidRDefault="00B71134">
      <w:pPr>
        <w:pStyle w:val="Bibliography"/>
        <w:spacing w:line="240" w:lineRule="auto"/>
        <w:ind w:left="806" w:hanging="806"/>
        <w:rPr>
          <w:sz w:val="22"/>
        </w:rPr>
      </w:pPr>
      <w:r>
        <w:rPr>
          <w:sz w:val="22"/>
        </w:rPr>
        <w:t xml:space="preserve">Burns, C. J., McIntosh, L. J., Mink, P. J., Jurek, A. M., &amp; Li, A. A. (2013). Pesticide Exposure and Neurodevelopmental Outcomes: Review of the Epidemiologic and Animal Studies. </w:t>
      </w:r>
      <w:r>
        <w:rPr>
          <w:i/>
          <w:iCs/>
          <w:sz w:val="22"/>
        </w:rPr>
        <w:t>Journal of Toxicology and Environmental Health, Part B</w:t>
      </w:r>
      <w:r>
        <w:rPr>
          <w:sz w:val="22"/>
        </w:rPr>
        <w:t xml:space="preserve">, </w:t>
      </w:r>
      <w:r>
        <w:rPr>
          <w:i/>
          <w:iCs/>
          <w:sz w:val="22"/>
        </w:rPr>
        <w:t>16</w:t>
      </w:r>
      <w:r>
        <w:rPr>
          <w:sz w:val="22"/>
        </w:rPr>
        <w:t>(3–4), 127–283. https://doi.org/10.1080/10937404.2013.783383</w:t>
      </w:r>
    </w:p>
    <w:p w14:paraId="0FC36328" w14:textId="77777777" w:rsidR="0054280C" w:rsidRDefault="00B71134">
      <w:pPr>
        <w:pStyle w:val="Bibliography"/>
        <w:spacing w:line="240" w:lineRule="auto"/>
        <w:ind w:left="806" w:hanging="806"/>
        <w:rPr>
          <w:sz w:val="22"/>
        </w:rPr>
      </w:pPr>
      <w:r>
        <w:rPr>
          <w:sz w:val="22"/>
        </w:rPr>
        <w:t xml:space="preserve">Butler-Dawson, J., Galvin, K., Thorne, P. S., &amp; Rohlman, D. S. (2016). Organophosphorus pesticide exposure and neurobehavioral performance in Latino children living in an orchard community. </w:t>
      </w:r>
      <w:r>
        <w:rPr>
          <w:i/>
          <w:iCs/>
          <w:sz w:val="22"/>
        </w:rPr>
        <w:t>NeuroToxicology</w:t>
      </w:r>
      <w:r>
        <w:rPr>
          <w:sz w:val="22"/>
        </w:rPr>
        <w:t xml:space="preserve">, </w:t>
      </w:r>
      <w:r>
        <w:rPr>
          <w:i/>
          <w:iCs/>
          <w:sz w:val="22"/>
        </w:rPr>
        <w:t>53</w:t>
      </w:r>
      <w:r>
        <w:rPr>
          <w:sz w:val="22"/>
        </w:rPr>
        <w:t>, 165–172. https://doi.org/10.1016/j.neuro.2016.01.009</w:t>
      </w:r>
    </w:p>
    <w:p w14:paraId="55BFA63C" w14:textId="77777777" w:rsidR="0054280C" w:rsidRDefault="00B71134">
      <w:pPr>
        <w:pStyle w:val="Bibliography"/>
        <w:spacing w:line="240" w:lineRule="auto"/>
        <w:ind w:left="806" w:hanging="806"/>
        <w:rPr>
          <w:sz w:val="22"/>
        </w:rPr>
      </w:pPr>
      <w:r>
        <w:rPr>
          <w:sz w:val="22"/>
        </w:rPr>
        <w:t xml:space="preserve">Chronister, B. N. C., Yang, K., Yang, A. R., Lin, T., Tu, X. M., Lopez-Paredes, D., Checkoway, H., Suarez-Torres, J., Gahagan, S., Martinez, D., Barr, D., Moore, R. C., &amp; Suarez-Lopez, J. R. (2023). Urinary Glyphosate, 2,4-D and DEET Biomarkers in Relation to Neurobehavioral Performance in Ecuadorian Adolescents in the ESPINA Cohort. </w:t>
      </w:r>
      <w:r>
        <w:rPr>
          <w:i/>
          <w:iCs/>
          <w:sz w:val="22"/>
        </w:rPr>
        <w:t>Environmental Health Perspectives</w:t>
      </w:r>
      <w:r>
        <w:rPr>
          <w:sz w:val="22"/>
        </w:rPr>
        <w:t xml:space="preserve">, </w:t>
      </w:r>
      <w:r>
        <w:rPr>
          <w:i/>
          <w:iCs/>
          <w:sz w:val="22"/>
        </w:rPr>
        <w:t>131</w:t>
      </w:r>
      <w:r>
        <w:rPr>
          <w:sz w:val="22"/>
        </w:rPr>
        <w:t>(10), 107007. https://doi.org/10.1289/EHP11383</w:t>
      </w:r>
    </w:p>
    <w:p w14:paraId="3459282F" w14:textId="77777777" w:rsidR="0054280C" w:rsidRDefault="00B71134">
      <w:pPr>
        <w:pStyle w:val="Bibliography"/>
        <w:spacing w:line="240" w:lineRule="auto"/>
        <w:ind w:left="806" w:hanging="806"/>
        <w:rPr>
          <w:sz w:val="22"/>
        </w:rPr>
      </w:pPr>
      <w:r>
        <w:rPr>
          <w:sz w:val="22"/>
        </w:rPr>
        <w:t xml:space="preserve">Coronado, G. D., Holte, S., Vigoren, E., Griffith, W. C., Barr, D. B., Faustman, E., &amp; Thompson, B. (2011). Organophosphate Pesticide Exposure and Residential Proximity to Nearby Fields: Evidence for the Drift Pathway. </w:t>
      </w:r>
      <w:r>
        <w:rPr>
          <w:i/>
          <w:iCs/>
          <w:sz w:val="22"/>
        </w:rPr>
        <w:t>Journal of Occupational and Environmental Medicine</w:t>
      </w:r>
      <w:r>
        <w:rPr>
          <w:sz w:val="22"/>
        </w:rPr>
        <w:t xml:space="preserve">, </w:t>
      </w:r>
      <w:r>
        <w:rPr>
          <w:i/>
          <w:iCs/>
          <w:sz w:val="22"/>
        </w:rPr>
        <w:t>53</w:t>
      </w:r>
      <w:r>
        <w:rPr>
          <w:sz w:val="22"/>
        </w:rPr>
        <w:t>(8), 884. https://doi.org/10.1097/JOM.0b013e318222f03a</w:t>
      </w:r>
    </w:p>
    <w:p w14:paraId="5B676B7D" w14:textId="77777777" w:rsidR="0054280C" w:rsidRDefault="00B71134">
      <w:pPr>
        <w:pStyle w:val="Bibliography"/>
        <w:spacing w:line="240" w:lineRule="auto"/>
        <w:ind w:left="806" w:hanging="806"/>
        <w:rPr>
          <w:sz w:val="22"/>
        </w:rPr>
      </w:pPr>
      <w:r>
        <w:rPr>
          <w:sz w:val="22"/>
        </w:rPr>
        <w:t xml:space="preserve">Dórea, J. G. (2021). Neurodevelopment in mining environments entails different types of exposure and non-essential element interactions: Broadening the significance of the Nyanza et al study in Tanzania. </w:t>
      </w:r>
      <w:r>
        <w:rPr>
          <w:i/>
          <w:iCs/>
          <w:sz w:val="22"/>
        </w:rPr>
        <w:t>Environment International</w:t>
      </w:r>
      <w:r>
        <w:rPr>
          <w:sz w:val="22"/>
        </w:rPr>
        <w:t xml:space="preserve">, </w:t>
      </w:r>
      <w:r>
        <w:rPr>
          <w:i/>
          <w:iCs/>
          <w:sz w:val="22"/>
        </w:rPr>
        <w:t>149</w:t>
      </w:r>
      <w:r>
        <w:rPr>
          <w:sz w:val="22"/>
        </w:rPr>
        <w:t>, 106407. https://doi.org/10.1016/j.envint.2021.106407</w:t>
      </w:r>
    </w:p>
    <w:p w14:paraId="29938123" w14:textId="77777777" w:rsidR="0054280C" w:rsidRDefault="00B71134">
      <w:pPr>
        <w:pStyle w:val="Bibliography"/>
        <w:spacing w:line="240" w:lineRule="auto"/>
        <w:ind w:left="806" w:hanging="806"/>
        <w:rPr>
          <w:sz w:val="22"/>
        </w:rPr>
      </w:pPr>
      <w:r>
        <w:rPr>
          <w:sz w:val="22"/>
        </w:rPr>
        <w:t xml:space="preserve">Eskenazi, B., Marks, A. R., Bradman, A., Harley, K., Barr, D. B., Johnson, C., Morga, N., &amp; Jewell, N. P. (2007). Organophosphate Pesticide Exposure and Neurodevelopment in Young Mexican-American Children. </w:t>
      </w:r>
      <w:r>
        <w:rPr>
          <w:i/>
          <w:iCs/>
          <w:sz w:val="22"/>
        </w:rPr>
        <w:t>Environmental Health Perspectives</w:t>
      </w:r>
      <w:r>
        <w:rPr>
          <w:sz w:val="22"/>
        </w:rPr>
        <w:t xml:space="preserve">, </w:t>
      </w:r>
      <w:r>
        <w:rPr>
          <w:i/>
          <w:iCs/>
          <w:sz w:val="22"/>
        </w:rPr>
        <w:t>115</w:t>
      </w:r>
      <w:r>
        <w:rPr>
          <w:sz w:val="22"/>
        </w:rPr>
        <w:t>(5), 792–798. https://doi.org/10.1289/ehp.9828</w:t>
      </w:r>
    </w:p>
    <w:p w14:paraId="1ACDF6AE" w14:textId="77777777" w:rsidR="0054280C" w:rsidRDefault="00B71134">
      <w:pPr>
        <w:pStyle w:val="Bibliography"/>
        <w:spacing w:line="240" w:lineRule="auto"/>
        <w:ind w:left="806" w:hanging="806"/>
        <w:rPr>
          <w:sz w:val="22"/>
        </w:rPr>
      </w:pPr>
      <w:r>
        <w:rPr>
          <w:sz w:val="22"/>
        </w:rPr>
        <w:t xml:space="preserve">Friedman, E., Hazlehurst, M. F., Loftus, C., Karr, C., McDonald, K. N., &amp; Suarez-Lopez, J. R. (2020). Residential proximity to greenhouse agriculture and neurobehavioral performance in Ecuadorian children. </w:t>
      </w:r>
      <w:r>
        <w:rPr>
          <w:i/>
          <w:iCs/>
          <w:sz w:val="22"/>
        </w:rPr>
        <w:t>International Journal of Hygiene and Environmental Health</w:t>
      </w:r>
      <w:r>
        <w:rPr>
          <w:sz w:val="22"/>
        </w:rPr>
        <w:t xml:space="preserve">, </w:t>
      </w:r>
      <w:r>
        <w:rPr>
          <w:i/>
          <w:iCs/>
          <w:sz w:val="22"/>
        </w:rPr>
        <w:t>223</w:t>
      </w:r>
      <w:r>
        <w:rPr>
          <w:sz w:val="22"/>
        </w:rPr>
        <w:t>(1), 220–227. https://doi.org/10.1016/j.ijheh.2019.08.009</w:t>
      </w:r>
    </w:p>
    <w:p w14:paraId="6A7D3851" w14:textId="77777777" w:rsidR="0054280C" w:rsidRDefault="00B71134">
      <w:pPr>
        <w:pStyle w:val="Bibliography"/>
        <w:spacing w:line="240" w:lineRule="auto"/>
        <w:ind w:left="806" w:hanging="806"/>
        <w:rPr>
          <w:sz w:val="22"/>
          <w:szCs w:val="22"/>
        </w:rPr>
      </w:pPr>
      <w:r>
        <w:rPr>
          <w:color w:val="000000"/>
          <w:sz w:val="22"/>
          <w:szCs w:val="22"/>
        </w:rPr>
        <w:t xml:space="preserve">Garry, V. F. (2004). Pesticides and children. </w:t>
      </w:r>
      <w:r>
        <w:rPr>
          <w:i/>
          <w:iCs/>
          <w:color w:val="000000"/>
          <w:sz w:val="22"/>
          <w:szCs w:val="22"/>
        </w:rPr>
        <w:t>Toxicology and Applied Pharmacology</w:t>
      </w:r>
      <w:r>
        <w:rPr>
          <w:color w:val="000000"/>
          <w:sz w:val="22"/>
          <w:szCs w:val="22"/>
        </w:rPr>
        <w:t xml:space="preserve">, </w:t>
      </w:r>
      <w:r>
        <w:rPr>
          <w:i/>
          <w:iCs/>
          <w:color w:val="000000"/>
          <w:sz w:val="22"/>
          <w:szCs w:val="22"/>
        </w:rPr>
        <w:t>198</w:t>
      </w:r>
      <w:r>
        <w:rPr>
          <w:color w:val="000000"/>
          <w:sz w:val="22"/>
          <w:szCs w:val="22"/>
        </w:rPr>
        <w:t>(2), 152–163. https://doi.org/10.1016/j.taap.2003.11.027</w:t>
      </w:r>
    </w:p>
    <w:p w14:paraId="60E663B9" w14:textId="77777777" w:rsidR="0054280C" w:rsidRDefault="00B71134">
      <w:pPr>
        <w:pStyle w:val="Bibliography"/>
        <w:spacing w:line="240" w:lineRule="auto"/>
        <w:ind w:left="806" w:hanging="806"/>
        <w:rPr>
          <w:sz w:val="22"/>
        </w:rPr>
      </w:pPr>
      <w:r>
        <w:rPr>
          <w:sz w:val="22"/>
          <w:lang w:val="es-MX"/>
        </w:rPr>
        <w:t xml:space="preserve">González-Alzaga, B., Lacasaña, M., Aguilar-Garduño, C., Rodríguez-Barranco, M., Ballester, F., Rebagliato, M., &amp; Hernández, A. F. (2014). </w:t>
      </w:r>
      <w:r>
        <w:rPr>
          <w:sz w:val="22"/>
        </w:rPr>
        <w:t xml:space="preserve">A systematic review of neurodevelopmental effects of prenatal and postnatal organophosphate pesticide exposure. </w:t>
      </w:r>
      <w:r>
        <w:rPr>
          <w:i/>
          <w:iCs/>
          <w:sz w:val="22"/>
        </w:rPr>
        <w:t>Toxicology Letters</w:t>
      </w:r>
      <w:r>
        <w:rPr>
          <w:sz w:val="22"/>
        </w:rPr>
        <w:t xml:space="preserve">, </w:t>
      </w:r>
      <w:r>
        <w:rPr>
          <w:i/>
          <w:iCs/>
          <w:sz w:val="22"/>
        </w:rPr>
        <w:t>230</w:t>
      </w:r>
      <w:r>
        <w:rPr>
          <w:sz w:val="22"/>
        </w:rPr>
        <w:t>(2), 104–121. https://doi.org/10.1016/j.toxlet.2013.11.019</w:t>
      </w:r>
    </w:p>
    <w:p w14:paraId="018CAA6B" w14:textId="77777777" w:rsidR="0054280C" w:rsidRDefault="00B71134">
      <w:pPr>
        <w:pStyle w:val="Bibliography"/>
        <w:spacing w:line="240" w:lineRule="auto"/>
        <w:ind w:left="806" w:hanging="806"/>
        <w:rPr>
          <w:sz w:val="22"/>
        </w:rPr>
      </w:pPr>
      <w:r>
        <w:rPr>
          <w:sz w:val="22"/>
        </w:rPr>
        <w:t xml:space="preserve">Grandjean, P., Harari, R., Barr, D. B., &amp; Debes, F. (2006). Pesticide Exposure and Stunting as Independent Predictors of Neurobehavioral Deficits in Ecuadorian School Children | Pediatrics | American Academy of Pediatrics. </w:t>
      </w:r>
      <w:r>
        <w:rPr>
          <w:i/>
          <w:iCs/>
          <w:sz w:val="22"/>
        </w:rPr>
        <w:t>Pediatrics</w:t>
      </w:r>
      <w:r>
        <w:rPr>
          <w:sz w:val="22"/>
        </w:rPr>
        <w:t xml:space="preserve">, </w:t>
      </w:r>
      <w:r>
        <w:rPr>
          <w:i/>
          <w:iCs/>
          <w:sz w:val="22"/>
        </w:rPr>
        <w:t>117</w:t>
      </w:r>
      <w:r>
        <w:rPr>
          <w:sz w:val="22"/>
        </w:rPr>
        <w:t>(3), e546–e556. https://doi.org/10.1542/peds.2005-1781</w:t>
      </w:r>
    </w:p>
    <w:p w14:paraId="0C72882A" w14:textId="77777777" w:rsidR="0054280C" w:rsidRDefault="00B71134">
      <w:pPr>
        <w:pStyle w:val="Bibliography"/>
        <w:spacing w:line="240" w:lineRule="auto"/>
        <w:ind w:left="806" w:hanging="806"/>
        <w:rPr>
          <w:sz w:val="22"/>
          <w:lang w:val="es-MX"/>
        </w:rPr>
      </w:pPr>
      <w:r>
        <w:rPr>
          <w:sz w:val="22"/>
        </w:rPr>
        <w:t xml:space="preserve">Gunier, R. B., Bradman, A., Harley, K. G., &amp; Eskenazi, B. (2017). Will buffer zones around schools in agricultural areas be adequate to protect children from the potential adverse effects of pesticide exposure? </w:t>
      </w:r>
      <w:r>
        <w:rPr>
          <w:i/>
          <w:iCs/>
          <w:sz w:val="22"/>
          <w:lang w:val="es-MX"/>
        </w:rPr>
        <w:t>PLOS Biology</w:t>
      </w:r>
      <w:r>
        <w:rPr>
          <w:sz w:val="22"/>
          <w:lang w:val="es-MX"/>
        </w:rPr>
        <w:t xml:space="preserve">, </w:t>
      </w:r>
      <w:r>
        <w:rPr>
          <w:i/>
          <w:iCs/>
          <w:sz w:val="22"/>
          <w:lang w:val="es-MX"/>
        </w:rPr>
        <w:t>15</w:t>
      </w:r>
      <w:r>
        <w:rPr>
          <w:sz w:val="22"/>
          <w:lang w:val="es-MX"/>
        </w:rPr>
        <w:t>(12), e2004741. https://doi.org/10.1371/journal.pbio.2004741</w:t>
      </w:r>
    </w:p>
    <w:p w14:paraId="20DE7D11" w14:textId="77777777" w:rsidR="0054280C" w:rsidRDefault="00B71134">
      <w:pPr>
        <w:pStyle w:val="Bibliography"/>
        <w:spacing w:line="240" w:lineRule="auto"/>
        <w:ind w:left="806" w:hanging="806"/>
        <w:rPr>
          <w:sz w:val="22"/>
        </w:rPr>
      </w:pPr>
      <w:r>
        <w:rPr>
          <w:sz w:val="22"/>
          <w:lang w:val="es-MX"/>
        </w:rPr>
        <w:t xml:space="preserve">Gunier, R. B., Bradman, A., Harley, K. G., Kogut, K., &amp; Eskenazi, B. (2017). </w:t>
      </w:r>
      <w:r>
        <w:rPr>
          <w:sz w:val="22"/>
        </w:rPr>
        <w:t xml:space="preserve">Prenatal Residential Proximity to Agricultural Pesticide Use and IQ in 7-Year-Old Children. </w:t>
      </w:r>
      <w:r>
        <w:rPr>
          <w:i/>
          <w:iCs/>
          <w:sz w:val="22"/>
        </w:rPr>
        <w:t>Environmental Health Perspectives</w:t>
      </w:r>
      <w:r>
        <w:rPr>
          <w:sz w:val="22"/>
        </w:rPr>
        <w:t xml:space="preserve">, </w:t>
      </w:r>
      <w:r>
        <w:rPr>
          <w:i/>
          <w:iCs/>
          <w:sz w:val="22"/>
        </w:rPr>
        <w:t>125</w:t>
      </w:r>
      <w:r>
        <w:rPr>
          <w:sz w:val="22"/>
        </w:rPr>
        <w:t>(5), 057002. https://doi.org/10.1289/EHP504</w:t>
      </w:r>
    </w:p>
    <w:p w14:paraId="1270B0EF" w14:textId="77777777" w:rsidR="0054280C" w:rsidRDefault="00B71134">
      <w:pPr>
        <w:pStyle w:val="Bibliography"/>
        <w:spacing w:line="240" w:lineRule="auto"/>
        <w:ind w:left="806" w:hanging="806"/>
        <w:rPr>
          <w:sz w:val="22"/>
        </w:rPr>
      </w:pPr>
      <w:r>
        <w:rPr>
          <w:sz w:val="22"/>
        </w:rPr>
        <w:lastRenderedPageBreak/>
        <w:t xml:space="preserve">Handal, A. J., Hund, L., Páez, M., Bear, S., Greenberg, C., Fenske, R. A., &amp; Barr, D. B. (2016). Characterization of Pesticide Exposure in a Sample of Pregnant Women in Ecuador. </w:t>
      </w:r>
      <w:r>
        <w:rPr>
          <w:i/>
          <w:iCs/>
          <w:sz w:val="22"/>
        </w:rPr>
        <w:t>Archives of Environmental Contamination and Toxicology</w:t>
      </w:r>
      <w:r>
        <w:rPr>
          <w:sz w:val="22"/>
        </w:rPr>
        <w:t xml:space="preserve">, </w:t>
      </w:r>
      <w:r>
        <w:rPr>
          <w:i/>
          <w:iCs/>
          <w:sz w:val="22"/>
        </w:rPr>
        <w:t>70</w:t>
      </w:r>
      <w:r>
        <w:rPr>
          <w:sz w:val="22"/>
        </w:rPr>
        <w:t>(4), 627–639. https://doi.org/10.1007/s00244-015-0217-9</w:t>
      </w:r>
    </w:p>
    <w:p w14:paraId="0840820E" w14:textId="77777777" w:rsidR="0054280C" w:rsidRDefault="00B71134">
      <w:pPr>
        <w:pStyle w:val="Bibliography"/>
        <w:spacing w:line="240" w:lineRule="auto"/>
        <w:ind w:left="806" w:hanging="806"/>
        <w:rPr>
          <w:sz w:val="22"/>
          <w:lang w:val="es-MX"/>
        </w:rPr>
      </w:pPr>
      <w:r>
        <w:rPr>
          <w:sz w:val="22"/>
          <w:lang w:val="es-MX"/>
        </w:rPr>
        <w:t xml:space="preserve">Harari Compilador, R. (2004). </w:t>
      </w:r>
      <w:r>
        <w:rPr>
          <w:i/>
          <w:iCs/>
          <w:sz w:val="22"/>
          <w:lang w:val="es-MX"/>
        </w:rPr>
        <w:t>Seguridad, salud y ambiente en la floricultura</w:t>
      </w:r>
      <w:r>
        <w:rPr>
          <w:sz w:val="22"/>
          <w:lang w:val="es-MX"/>
        </w:rPr>
        <w:t>. IFA, PROMSA. https://www.ifa.org.ec/docs/floricultura.pdf</w:t>
      </w:r>
    </w:p>
    <w:p w14:paraId="2DC9F7EA" w14:textId="77777777" w:rsidR="0054280C" w:rsidRDefault="00B71134">
      <w:pPr>
        <w:pStyle w:val="Bibliography"/>
        <w:spacing w:line="240" w:lineRule="auto"/>
        <w:ind w:left="806" w:hanging="806"/>
        <w:rPr>
          <w:sz w:val="22"/>
        </w:rPr>
      </w:pPr>
      <w:r>
        <w:rPr>
          <w:sz w:val="22"/>
          <w:lang w:val="es-MX"/>
        </w:rPr>
        <w:t xml:space="preserve">Hyland, C., Bradshaw, P. T., Gunier, R. B., Mora, A. M., Kogut, K., Deardorff, J., Sagiv, S. K., Bradman, A., &amp; Eskenazi, B. (2021). </w:t>
      </w:r>
      <w:r>
        <w:rPr>
          <w:sz w:val="22"/>
        </w:rPr>
        <w:t xml:space="preserve">Associations between pesticide mixtures applied near home during pregnancy and early childhood with adolescent behavioral and emotional problems in the CHAMACOS study. </w:t>
      </w:r>
      <w:r>
        <w:rPr>
          <w:i/>
          <w:iCs/>
          <w:sz w:val="22"/>
        </w:rPr>
        <w:t>Environmental Epidemiology</w:t>
      </w:r>
      <w:r>
        <w:rPr>
          <w:sz w:val="22"/>
        </w:rPr>
        <w:t xml:space="preserve">, </w:t>
      </w:r>
      <w:r>
        <w:rPr>
          <w:i/>
          <w:iCs/>
          <w:sz w:val="22"/>
        </w:rPr>
        <w:t>5</w:t>
      </w:r>
      <w:r>
        <w:rPr>
          <w:sz w:val="22"/>
        </w:rPr>
        <w:t>(3), e150. https://doi.org/10.1097/EE9.0000000000000150</w:t>
      </w:r>
    </w:p>
    <w:p w14:paraId="38389D45" w14:textId="77777777" w:rsidR="0054280C" w:rsidRDefault="00B71134">
      <w:pPr>
        <w:pStyle w:val="Bibliography"/>
        <w:spacing w:line="240" w:lineRule="auto"/>
        <w:ind w:left="806" w:hanging="806"/>
        <w:rPr>
          <w:sz w:val="22"/>
        </w:rPr>
      </w:pPr>
      <w:r>
        <w:rPr>
          <w:sz w:val="22"/>
        </w:rPr>
        <w:t xml:space="preserve">Hyland, C., &amp; Laribi, O. (2017). Review of take-home pesticide exposure pathway in children living in agricultural areas. </w:t>
      </w:r>
      <w:r>
        <w:rPr>
          <w:i/>
          <w:iCs/>
          <w:sz w:val="22"/>
        </w:rPr>
        <w:t>Environmental Research</w:t>
      </w:r>
      <w:r>
        <w:rPr>
          <w:sz w:val="22"/>
        </w:rPr>
        <w:t xml:space="preserve">, </w:t>
      </w:r>
      <w:r>
        <w:rPr>
          <w:i/>
          <w:iCs/>
          <w:sz w:val="22"/>
        </w:rPr>
        <w:t>156</w:t>
      </w:r>
      <w:r>
        <w:rPr>
          <w:sz w:val="22"/>
        </w:rPr>
        <w:t>, 559–570. https://doi.org/10.1016/j.envres.2017.04.017</w:t>
      </w:r>
    </w:p>
    <w:p w14:paraId="6EF6264F" w14:textId="77777777" w:rsidR="0054280C" w:rsidRDefault="00B71134">
      <w:pPr>
        <w:pStyle w:val="Bibliography"/>
        <w:spacing w:line="240" w:lineRule="auto"/>
        <w:ind w:left="806" w:hanging="806"/>
        <w:rPr>
          <w:sz w:val="22"/>
        </w:rPr>
      </w:pPr>
      <w:r>
        <w:rPr>
          <w:sz w:val="22"/>
        </w:rPr>
        <w:t xml:space="preserve">Ismail, A. A., Wang, K., Olson, J. R., Bonner, M. R., Hendy, O., Abdel Rasoul, G., &amp; Rohlman, D. S. (2017). The impact of repeated organophosphorus pesticide exposure on biomarkers and neurobehavioral outcomes among adolescent pesticide applicators. </w:t>
      </w:r>
      <w:r>
        <w:rPr>
          <w:i/>
          <w:iCs/>
          <w:sz w:val="22"/>
        </w:rPr>
        <w:t>Journal of Toxicology and Environmental Health, Part A</w:t>
      </w:r>
      <w:r>
        <w:rPr>
          <w:sz w:val="22"/>
        </w:rPr>
        <w:t xml:space="preserve">, </w:t>
      </w:r>
      <w:r>
        <w:rPr>
          <w:i/>
          <w:iCs/>
          <w:sz w:val="22"/>
        </w:rPr>
        <w:t>80</w:t>
      </w:r>
      <w:r>
        <w:rPr>
          <w:sz w:val="22"/>
        </w:rPr>
        <w:t>(10–12), 542–555. https://doi.org/10.1080/15287394.2017.1362612</w:t>
      </w:r>
    </w:p>
    <w:p w14:paraId="74289CBB" w14:textId="77777777" w:rsidR="0054280C" w:rsidRDefault="00B71134">
      <w:pPr>
        <w:ind w:left="806" w:hanging="806"/>
        <w:rPr>
          <w:rFonts w:eastAsia="Times New Roman"/>
          <w:sz w:val="22"/>
          <w:szCs w:val="22"/>
        </w:rPr>
      </w:pPr>
      <w:r>
        <w:rPr>
          <w:rFonts w:eastAsia="Times New Roman"/>
          <w:color w:val="1B1B1B"/>
          <w:sz w:val="22"/>
          <w:szCs w:val="22"/>
          <w:shd w:val="clear" w:color="auto" w:fill="FFFFFF"/>
        </w:rPr>
        <w:t>Kang W, Hernández SP, Rahman MS, Voigt K, Malvaso A. Inhibitory Control Development: A Network Neuroscience Perspective. Front Psychol. 2022 Oct 10;13:651547. doi: 10.3389/fpsyg.2022.651547. PMID: 36300046; PMCID: PMC9588931.</w:t>
      </w:r>
    </w:p>
    <w:p w14:paraId="5511B1D6" w14:textId="77777777" w:rsidR="0054280C" w:rsidRDefault="00B71134">
      <w:pPr>
        <w:pStyle w:val="Bibliography"/>
        <w:spacing w:line="240" w:lineRule="auto"/>
        <w:ind w:left="806" w:hanging="806"/>
        <w:rPr>
          <w:sz w:val="22"/>
        </w:rPr>
      </w:pPr>
      <w:r>
        <w:rPr>
          <w:sz w:val="22"/>
        </w:rPr>
        <w:t xml:space="preserve">Kofman, O., Berger, A., Massarwa, A., Friedman, A., &amp; Jaffar, A. A. (2006). Motor Inhibition and Learning Impairments in School-Aged Children Following Exposure to Organophosphate Pesticides in Infancy. </w:t>
      </w:r>
      <w:r>
        <w:rPr>
          <w:i/>
          <w:iCs/>
          <w:sz w:val="22"/>
        </w:rPr>
        <w:t>Pediatric Research</w:t>
      </w:r>
      <w:r>
        <w:rPr>
          <w:sz w:val="22"/>
        </w:rPr>
        <w:t xml:space="preserve">, </w:t>
      </w:r>
      <w:r>
        <w:rPr>
          <w:i/>
          <w:iCs/>
          <w:sz w:val="22"/>
        </w:rPr>
        <w:t>60</w:t>
      </w:r>
      <w:r>
        <w:rPr>
          <w:sz w:val="22"/>
        </w:rPr>
        <w:t>(1), 88–92. https://doi.org/10.1203/01.pdr.0000219467.47013.35</w:t>
      </w:r>
    </w:p>
    <w:p w14:paraId="22E03AFB" w14:textId="77777777" w:rsidR="0054280C" w:rsidRDefault="00B71134">
      <w:pPr>
        <w:pStyle w:val="Bibliography"/>
        <w:spacing w:line="240" w:lineRule="auto"/>
        <w:ind w:left="806" w:hanging="806"/>
        <w:rPr>
          <w:sz w:val="22"/>
        </w:rPr>
      </w:pPr>
      <w:r>
        <w:rPr>
          <w:sz w:val="22"/>
        </w:rPr>
        <w:t xml:space="preserve">Korkman †, M., Lahti-Nuuttila, P., Laasonen, M., Kemp, S. L., &amp; Holdnack, J. (2013). Neurocognitive development in 5- to 16-year-old North American children: A cross-sectional study. </w:t>
      </w:r>
      <w:r>
        <w:rPr>
          <w:i/>
          <w:iCs/>
          <w:sz w:val="22"/>
        </w:rPr>
        <w:t>Child Neuropsychology</w:t>
      </w:r>
      <w:r>
        <w:rPr>
          <w:sz w:val="22"/>
        </w:rPr>
        <w:t xml:space="preserve">, </w:t>
      </w:r>
      <w:r>
        <w:rPr>
          <w:i/>
          <w:iCs/>
          <w:sz w:val="22"/>
        </w:rPr>
        <w:t>19</w:t>
      </w:r>
      <w:r>
        <w:rPr>
          <w:sz w:val="22"/>
        </w:rPr>
        <w:t>(5), 516–539. https://doi.org/10.1080/09297049.2012.705822</w:t>
      </w:r>
    </w:p>
    <w:p w14:paraId="0F4379AA" w14:textId="77777777" w:rsidR="0054280C" w:rsidRDefault="00B71134">
      <w:pPr>
        <w:pStyle w:val="Bibliography"/>
        <w:spacing w:line="240" w:lineRule="auto"/>
        <w:ind w:left="806" w:hanging="806"/>
        <w:rPr>
          <w:sz w:val="22"/>
        </w:rPr>
      </w:pPr>
      <w:r>
        <w:rPr>
          <w:sz w:val="22"/>
        </w:rPr>
        <w:t xml:space="preserve">Korkman, M., Kirk, U., &amp; Kemp, S. (2007). </w:t>
      </w:r>
      <w:r>
        <w:rPr>
          <w:i/>
          <w:iCs/>
          <w:sz w:val="22"/>
        </w:rPr>
        <w:t>NEPSY II: Clinical and Interpretive Manual</w:t>
      </w:r>
      <w:r>
        <w:rPr>
          <w:sz w:val="22"/>
        </w:rPr>
        <w:t xml:space="preserve"> (Second Edition). The Psychological Corporation.</w:t>
      </w:r>
    </w:p>
    <w:p w14:paraId="2A9F375D" w14:textId="77777777" w:rsidR="0054280C" w:rsidRDefault="00B71134">
      <w:pPr>
        <w:pStyle w:val="Bibliography"/>
        <w:spacing w:line="240" w:lineRule="auto"/>
        <w:ind w:left="806" w:hanging="806"/>
        <w:rPr>
          <w:sz w:val="22"/>
        </w:rPr>
      </w:pPr>
      <w:r>
        <w:rPr>
          <w:sz w:val="22"/>
        </w:rPr>
        <w:t xml:space="preserve">Korpinen, E., Slama, S., Rosenqvist, J., &amp; Haavisto, A. (2023). WPPSI-IV and NEPSY-II performance in mono- and bilingual 5–6-year-old children: Findings from The FinSwed Study. </w:t>
      </w:r>
      <w:r>
        <w:rPr>
          <w:i/>
          <w:iCs/>
          <w:sz w:val="22"/>
        </w:rPr>
        <w:t>Scandinavian Journal of Psychology</w:t>
      </w:r>
      <w:r>
        <w:rPr>
          <w:sz w:val="22"/>
        </w:rPr>
        <w:t xml:space="preserve">, </w:t>
      </w:r>
      <w:r>
        <w:rPr>
          <w:i/>
          <w:iCs/>
          <w:sz w:val="22"/>
        </w:rPr>
        <w:t>64</w:t>
      </w:r>
      <w:r>
        <w:rPr>
          <w:sz w:val="22"/>
        </w:rPr>
        <w:t>(4), 409–420. https://doi.org/10.1111/sjop.12895</w:t>
      </w:r>
    </w:p>
    <w:p w14:paraId="391BC500" w14:textId="77777777" w:rsidR="0054280C" w:rsidRDefault="00B71134">
      <w:pPr>
        <w:pStyle w:val="Bibliography"/>
        <w:spacing w:line="240" w:lineRule="auto"/>
        <w:ind w:left="806" w:hanging="806"/>
        <w:rPr>
          <w:sz w:val="22"/>
          <w:lang w:val="es-MX"/>
        </w:rPr>
      </w:pPr>
      <w:r>
        <w:rPr>
          <w:sz w:val="22"/>
        </w:rPr>
        <w:t xml:space="preserve">Lu, C., Fenske, R., Simcox, N., &amp; Kalman, D. (2000). Pesticide Exposure of Children in an Agricultural Community: Evidence of Household Proximity to Farmland and Take Home Exposure Pathways. </w:t>
      </w:r>
      <w:r>
        <w:rPr>
          <w:i/>
          <w:iCs/>
          <w:sz w:val="22"/>
          <w:lang w:val="es-MX"/>
        </w:rPr>
        <w:t>Environmental Research</w:t>
      </w:r>
      <w:r>
        <w:rPr>
          <w:sz w:val="22"/>
          <w:lang w:val="es-MX"/>
        </w:rPr>
        <w:t xml:space="preserve">, </w:t>
      </w:r>
      <w:r>
        <w:rPr>
          <w:i/>
          <w:iCs/>
          <w:sz w:val="22"/>
          <w:lang w:val="es-MX"/>
        </w:rPr>
        <w:t>84</w:t>
      </w:r>
      <w:r>
        <w:rPr>
          <w:sz w:val="22"/>
          <w:lang w:val="es-MX"/>
        </w:rPr>
        <w:t>, 290–302. https://doi.org/10.1006/enrs.2000.4076</w:t>
      </w:r>
    </w:p>
    <w:p w14:paraId="79615F26" w14:textId="77777777" w:rsidR="0054280C" w:rsidRDefault="00B71134">
      <w:pPr>
        <w:pStyle w:val="Bibliography"/>
        <w:spacing w:line="240" w:lineRule="auto"/>
        <w:ind w:left="806" w:hanging="806"/>
        <w:rPr>
          <w:sz w:val="22"/>
        </w:rPr>
      </w:pPr>
      <w:r>
        <w:rPr>
          <w:sz w:val="22"/>
          <w:lang w:val="es-MX"/>
        </w:rPr>
        <w:t xml:space="preserve">Lucero, B., &amp; Muñoz-Quezada, M. T. (2021). </w:t>
      </w:r>
      <w:r>
        <w:rPr>
          <w:sz w:val="22"/>
        </w:rPr>
        <w:t xml:space="preserve">Neurobehavioral, Neuromotor, and Neurocognitive Effects in Agricultural Workers and Their Children Exposed to Pyrethroid Pesticides: A Review. </w:t>
      </w:r>
      <w:r>
        <w:rPr>
          <w:i/>
          <w:iCs/>
          <w:sz w:val="22"/>
        </w:rPr>
        <w:t>Frontiers in Human Neuroscience</w:t>
      </w:r>
      <w:r>
        <w:rPr>
          <w:sz w:val="22"/>
        </w:rPr>
        <w:t xml:space="preserve">, </w:t>
      </w:r>
      <w:r>
        <w:rPr>
          <w:i/>
          <w:iCs/>
          <w:sz w:val="22"/>
        </w:rPr>
        <w:t>15</w:t>
      </w:r>
      <w:r>
        <w:rPr>
          <w:sz w:val="22"/>
        </w:rPr>
        <w:t>. https://doi.org/10.3389/fnhum.2021.648171</w:t>
      </w:r>
    </w:p>
    <w:p w14:paraId="278C1FF4" w14:textId="77777777" w:rsidR="0054280C" w:rsidRDefault="00B71134">
      <w:pPr>
        <w:pStyle w:val="Bibliography"/>
        <w:spacing w:line="240" w:lineRule="auto"/>
        <w:ind w:left="806" w:hanging="806"/>
        <w:rPr>
          <w:sz w:val="22"/>
        </w:rPr>
      </w:pPr>
      <w:r>
        <w:rPr>
          <w:sz w:val="22"/>
        </w:rPr>
        <w:t xml:space="preserve">Marks, A. R., Harley, K., Bradman, A., Kogut, K., Barr, D. B., Johnson, C., Calderon, N., &amp; Eskenazi, B. (2010). Organophosphate Pesticide Exposure and Attention in Young Mexican-American Children: The CHAMACOS Study. </w:t>
      </w:r>
      <w:r>
        <w:rPr>
          <w:i/>
          <w:iCs/>
          <w:sz w:val="22"/>
        </w:rPr>
        <w:t>Environmental Health Perspectives</w:t>
      </w:r>
      <w:r>
        <w:rPr>
          <w:sz w:val="22"/>
        </w:rPr>
        <w:t xml:space="preserve">, </w:t>
      </w:r>
      <w:r>
        <w:rPr>
          <w:i/>
          <w:iCs/>
          <w:sz w:val="22"/>
        </w:rPr>
        <w:t>118</w:t>
      </w:r>
      <w:r>
        <w:rPr>
          <w:sz w:val="22"/>
        </w:rPr>
        <w:t>(12), 1768–1774. https://doi.org/10.1289/ehp.1002056</w:t>
      </w:r>
    </w:p>
    <w:p w14:paraId="45B2A3E4" w14:textId="77777777" w:rsidR="0054280C" w:rsidRDefault="00B71134">
      <w:pPr>
        <w:pStyle w:val="Bibliography"/>
        <w:spacing w:line="240" w:lineRule="auto"/>
        <w:ind w:left="806" w:hanging="806"/>
        <w:rPr>
          <w:sz w:val="22"/>
        </w:rPr>
      </w:pPr>
      <w:r>
        <w:rPr>
          <w:sz w:val="22"/>
        </w:rPr>
        <w:t xml:space="preserve">Miller, D. C. (2012). </w:t>
      </w:r>
      <w:r>
        <w:rPr>
          <w:i/>
          <w:iCs/>
          <w:sz w:val="22"/>
        </w:rPr>
        <w:t>How to Report and Interpret the NEPSY-‐II Scores Within a School Neuropsyc</w:t>
      </w:r>
      <w:r>
        <w:rPr>
          <w:sz w:val="22"/>
        </w:rPr>
        <w:t xml:space="preserve"> (Second Edition). https://docslib.org/doc/8718539/how-to-report-and-interpret-the-nepsy-ii-scores-within-a-school-neuropsyc</w:t>
      </w:r>
    </w:p>
    <w:p w14:paraId="714629E8" w14:textId="77777777" w:rsidR="0054280C" w:rsidRDefault="00B71134">
      <w:pPr>
        <w:pStyle w:val="Bibliography"/>
        <w:spacing w:line="240" w:lineRule="auto"/>
        <w:ind w:left="806" w:hanging="806"/>
        <w:rPr>
          <w:sz w:val="22"/>
          <w:lang w:val="es-MX"/>
        </w:rPr>
      </w:pPr>
      <w:r>
        <w:rPr>
          <w:sz w:val="22"/>
        </w:rPr>
        <w:t xml:space="preserve">Miller, D. C. (2015). </w:t>
      </w:r>
      <w:r>
        <w:rPr>
          <w:i/>
          <w:iCs/>
          <w:sz w:val="22"/>
        </w:rPr>
        <w:t>NEPSY-II presentation – How to administer the Nepsy-2</w:t>
      </w:r>
      <w:r>
        <w:rPr>
          <w:sz w:val="22"/>
        </w:rPr>
        <w:t xml:space="preserve">. </w:t>
      </w:r>
      <w:r>
        <w:rPr>
          <w:sz w:val="22"/>
          <w:lang w:val="es-MX"/>
        </w:rPr>
        <w:t>TASP Conference. https://www.txasp.org/assets/conference-materials/2015/miller_nepsyii_tasp.pdf</w:t>
      </w:r>
    </w:p>
    <w:p w14:paraId="2BC29F72" w14:textId="77777777" w:rsidR="0054280C" w:rsidRDefault="00B71134">
      <w:pPr>
        <w:pStyle w:val="Bibliography"/>
        <w:spacing w:line="240" w:lineRule="auto"/>
        <w:ind w:left="806" w:hanging="806"/>
        <w:rPr>
          <w:sz w:val="22"/>
        </w:rPr>
      </w:pPr>
      <w:r>
        <w:rPr>
          <w:sz w:val="22"/>
          <w:lang w:val="es-MX"/>
        </w:rPr>
        <w:t xml:space="preserve">Muñoz-Quezada, M., Lucero, B., Barr, D., Steenland, K., Levy, K., Ryan, P., Iglesias, V., Alvarado Orellana, S. A., Concha, C., Rojas, E., &amp; Vega, C. (2013). </w:t>
      </w:r>
      <w:r>
        <w:rPr>
          <w:sz w:val="22"/>
        </w:rPr>
        <w:t xml:space="preserve">Neurodevelopmental effects in </w:t>
      </w:r>
      <w:r>
        <w:rPr>
          <w:sz w:val="22"/>
        </w:rPr>
        <w:lastRenderedPageBreak/>
        <w:t xml:space="preserve">children associated with exposure to organophosphate pesticides: A systematic review. </w:t>
      </w:r>
      <w:r>
        <w:rPr>
          <w:i/>
          <w:iCs/>
          <w:sz w:val="22"/>
        </w:rPr>
        <w:t>Neurotoxicology</w:t>
      </w:r>
      <w:r>
        <w:rPr>
          <w:sz w:val="22"/>
        </w:rPr>
        <w:t xml:space="preserve">, </w:t>
      </w:r>
      <w:r>
        <w:rPr>
          <w:i/>
          <w:iCs/>
          <w:sz w:val="22"/>
        </w:rPr>
        <w:t>39</w:t>
      </w:r>
      <w:r>
        <w:rPr>
          <w:sz w:val="22"/>
        </w:rPr>
        <w:t>. https://doi.org/10.1016/j.neuro.2013.09.003</w:t>
      </w:r>
    </w:p>
    <w:p w14:paraId="646B9D1F" w14:textId="77777777" w:rsidR="0054280C" w:rsidRDefault="00B71134">
      <w:pPr>
        <w:pStyle w:val="Bibliography"/>
        <w:spacing w:line="240" w:lineRule="auto"/>
        <w:ind w:left="806" w:hanging="806"/>
        <w:rPr>
          <w:sz w:val="22"/>
        </w:rPr>
      </w:pPr>
      <w:r>
        <w:rPr>
          <w:sz w:val="22"/>
        </w:rPr>
        <w:t xml:space="preserve">Ramírez, V., Gálvez-Ontiveros, Y., González-Domenech, P. J., Baca, M. Á., Rodrigo, L., &amp; Rivas, A. (2022). Role of endocrine disrupting chemicals in children’s neurodevelopment. </w:t>
      </w:r>
      <w:r>
        <w:rPr>
          <w:i/>
          <w:iCs/>
          <w:sz w:val="22"/>
        </w:rPr>
        <w:t>Environmental Research</w:t>
      </w:r>
      <w:r>
        <w:rPr>
          <w:sz w:val="22"/>
        </w:rPr>
        <w:t xml:space="preserve">, </w:t>
      </w:r>
      <w:r>
        <w:rPr>
          <w:i/>
          <w:iCs/>
          <w:sz w:val="22"/>
        </w:rPr>
        <w:t>203</w:t>
      </w:r>
      <w:r>
        <w:rPr>
          <w:sz w:val="22"/>
        </w:rPr>
        <w:t>, 111890. https://doi.org/10.1016/j.envres.2021.111890</w:t>
      </w:r>
    </w:p>
    <w:p w14:paraId="0F779DC2" w14:textId="77777777" w:rsidR="0054280C" w:rsidRDefault="00B71134">
      <w:pPr>
        <w:pStyle w:val="Bibliography"/>
        <w:spacing w:line="240" w:lineRule="auto"/>
        <w:ind w:left="806" w:hanging="806"/>
        <w:rPr>
          <w:sz w:val="22"/>
          <w:lang w:val="es-EC"/>
        </w:rPr>
      </w:pPr>
      <w:r>
        <w:rPr>
          <w:sz w:val="22"/>
        </w:rPr>
        <w:t xml:space="preserve">Reed, J. E., Burns, C. J., &amp; Pisa, F. (2023). Literature landscape of neurodevelopment and pesticides: A scoping review of methodologies. </w:t>
      </w:r>
      <w:r>
        <w:rPr>
          <w:i/>
          <w:iCs/>
          <w:sz w:val="22"/>
          <w:lang w:val="es-EC"/>
        </w:rPr>
        <w:t>Global Epidemiology</w:t>
      </w:r>
      <w:r>
        <w:rPr>
          <w:sz w:val="22"/>
          <w:lang w:val="es-EC"/>
        </w:rPr>
        <w:t xml:space="preserve">, </w:t>
      </w:r>
      <w:r>
        <w:rPr>
          <w:i/>
          <w:iCs/>
          <w:sz w:val="22"/>
          <w:lang w:val="es-EC"/>
        </w:rPr>
        <w:t>6</w:t>
      </w:r>
      <w:r>
        <w:rPr>
          <w:sz w:val="22"/>
          <w:lang w:val="es-EC"/>
        </w:rPr>
        <w:t>, 100121. https://doi.org/10.1016/j.gloepi.2023.100121</w:t>
      </w:r>
    </w:p>
    <w:p w14:paraId="7AEBD9BD" w14:textId="77777777" w:rsidR="0054280C" w:rsidRDefault="00B71134">
      <w:pPr>
        <w:pStyle w:val="Bibliography"/>
        <w:spacing w:line="240" w:lineRule="auto"/>
        <w:ind w:left="806" w:hanging="806"/>
        <w:rPr>
          <w:sz w:val="22"/>
        </w:rPr>
      </w:pPr>
      <w:r>
        <w:rPr>
          <w:sz w:val="22"/>
          <w:lang w:val="es-EC"/>
        </w:rPr>
        <w:t xml:space="preserve">Rosas, L. G., &amp; Eskenazi, B. (2008). </w:t>
      </w:r>
      <w:r>
        <w:rPr>
          <w:sz w:val="22"/>
        </w:rPr>
        <w:t xml:space="preserve">Pesticides and child neurodevelopment. </w:t>
      </w:r>
      <w:r>
        <w:rPr>
          <w:i/>
          <w:iCs/>
          <w:sz w:val="22"/>
        </w:rPr>
        <w:t>Current Opinion in Pediatrics</w:t>
      </w:r>
      <w:r>
        <w:rPr>
          <w:sz w:val="22"/>
        </w:rPr>
        <w:t xml:space="preserve">, </w:t>
      </w:r>
      <w:r>
        <w:rPr>
          <w:i/>
          <w:iCs/>
          <w:sz w:val="22"/>
        </w:rPr>
        <w:t>20</w:t>
      </w:r>
      <w:r>
        <w:rPr>
          <w:sz w:val="22"/>
        </w:rPr>
        <w:t>(2), 191. https://doi.org/10.1097/MOP.0b013e3282f60a7d</w:t>
      </w:r>
    </w:p>
    <w:p w14:paraId="450D25B1" w14:textId="77777777" w:rsidR="0054280C" w:rsidRDefault="00B71134">
      <w:pPr>
        <w:pStyle w:val="Bibliography"/>
        <w:spacing w:line="240" w:lineRule="auto"/>
        <w:ind w:left="806" w:hanging="806"/>
        <w:rPr>
          <w:sz w:val="22"/>
        </w:rPr>
      </w:pPr>
      <w:r>
        <w:rPr>
          <w:sz w:val="22"/>
          <w:lang w:val="pt-BR"/>
        </w:rPr>
        <w:t xml:space="preserve">Sánchez Lizardi, P., O’Rourke, M. K., &amp; Morris, R. J. (2008). </w:t>
      </w:r>
      <w:r>
        <w:rPr>
          <w:sz w:val="22"/>
        </w:rPr>
        <w:t xml:space="preserve">The Effects of Organophosphate Pesticide Exposure on Hispanic Children’s Cognitive and Behavioral Functioning. </w:t>
      </w:r>
      <w:r>
        <w:rPr>
          <w:i/>
          <w:iCs/>
          <w:sz w:val="22"/>
        </w:rPr>
        <w:t>Journal of Pediatric Psychology</w:t>
      </w:r>
      <w:r>
        <w:rPr>
          <w:sz w:val="22"/>
        </w:rPr>
        <w:t xml:space="preserve">, </w:t>
      </w:r>
      <w:r>
        <w:rPr>
          <w:i/>
          <w:iCs/>
          <w:sz w:val="22"/>
        </w:rPr>
        <w:t>33</w:t>
      </w:r>
      <w:r>
        <w:rPr>
          <w:sz w:val="22"/>
        </w:rPr>
        <w:t>(1), 91–101. https://doi.org/10.1093/jpepsy/jsm047</w:t>
      </w:r>
    </w:p>
    <w:p w14:paraId="246BBEDC" w14:textId="77777777" w:rsidR="0054280C" w:rsidRDefault="00B71134">
      <w:pPr>
        <w:pStyle w:val="Bibliography"/>
        <w:spacing w:line="240" w:lineRule="auto"/>
        <w:ind w:left="806" w:hanging="806"/>
        <w:rPr>
          <w:sz w:val="22"/>
        </w:rPr>
      </w:pPr>
      <w:r>
        <w:rPr>
          <w:sz w:val="22"/>
        </w:rPr>
        <w:t xml:space="preserve">Sapbamrer, R., &amp; Hongsibsong, S. (2019). Effects of prenatal and postnatal exposure to organophosphate pesticides on child neurodevelopment in different age groups: A systematic review. </w:t>
      </w:r>
      <w:r>
        <w:rPr>
          <w:i/>
          <w:iCs/>
          <w:sz w:val="22"/>
        </w:rPr>
        <w:t>Environmental Science and Pollution Research</w:t>
      </w:r>
      <w:r>
        <w:rPr>
          <w:sz w:val="22"/>
        </w:rPr>
        <w:t xml:space="preserve">, </w:t>
      </w:r>
      <w:r>
        <w:rPr>
          <w:i/>
          <w:iCs/>
          <w:sz w:val="22"/>
        </w:rPr>
        <w:t>26</w:t>
      </w:r>
      <w:r>
        <w:rPr>
          <w:sz w:val="22"/>
        </w:rPr>
        <w:t>(18), 18267–18290. https://doi.org/10.1007/s11356-019-05126-w</w:t>
      </w:r>
    </w:p>
    <w:p w14:paraId="5485C34E" w14:textId="77777777" w:rsidR="0054280C" w:rsidRDefault="00B71134">
      <w:pPr>
        <w:pStyle w:val="Bibliography"/>
        <w:spacing w:line="240" w:lineRule="auto"/>
        <w:ind w:left="806" w:hanging="806"/>
        <w:rPr>
          <w:sz w:val="22"/>
        </w:rPr>
      </w:pPr>
      <w:r>
        <w:rPr>
          <w:sz w:val="22"/>
        </w:rPr>
        <w:t xml:space="preserve">Shelton, J. F., Geraghty, E. M., Tancredi, D. J., Delwiche, L. D., Schmidt, R. J., Ritz, B., Hansen, R. L., &amp; Hertz-Picciotto, I. (2014). Neurodevelopmental Disorders and Prenatal Residential Proximity to Agricultural Pesticides: The CHARGE Study. </w:t>
      </w:r>
      <w:r>
        <w:rPr>
          <w:i/>
          <w:iCs/>
          <w:sz w:val="22"/>
        </w:rPr>
        <w:t>Environmental Health Perspectives</w:t>
      </w:r>
      <w:r>
        <w:rPr>
          <w:sz w:val="22"/>
        </w:rPr>
        <w:t xml:space="preserve">, </w:t>
      </w:r>
      <w:r>
        <w:rPr>
          <w:i/>
          <w:iCs/>
          <w:sz w:val="22"/>
        </w:rPr>
        <w:t>122</w:t>
      </w:r>
      <w:r>
        <w:rPr>
          <w:sz w:val="22"/>
        </w:rPr>
        <w:t>(10), 1103–1109. https://doi.org/10.1289/ehp.1307044</w:t>
      </w:r>
    </w:p>
    <w:p w14:paraId="2AA268D2" w14:textId="77777777" w:rsidR="0054280C" w:rsidRDefault="00B71134">
      <w:pPr>
        <w:pStyle w:val="Bibliography"/>
        <w:spacing w:line="240" w:lineRule="auto"/>
        <w:ind w:left="806" w:hanging="806"/>
        <w:rPr>
          <w:sz w:val="22"/>
        </w:rPr>
      </w:pPr>
      <w:r>
        <w:rPr>
          <w:sz w:val="22"/>
        </w:rPr>
        <w:t xml:space="preserve">Simcox, N. J., Fenske, R. A., Wolz, S. A., Lee, I. C., &amp; Kalman, D. A. (1995). Pesticides in household dust and soil: Exposure pathways for children of agricultural families. </w:t>
      </w:r>
      <w:r>
        <w:rPr>
          <w:i/>
          <w:iCs/>
          <w:sz w:val="22"/>
        </w:rPr>
        <w:t>Environmental Health Perspectives</w:t>
      </w:r>
      <w:r>
        <w:rPr>
          <w:sz w:val="22"/>
        </w:rPr>
        <w:t xml:space="preserve">, </w:t>
      </w:r>
      <w:r>
        <w:rPr>
          <w:i/>
          <w:iCs/>
          <w:sz w:val="22"/>
        </w:rPr>
        <w:t>103</w:t>
      </w:r>
      <w:r>
        <w:rPr>
          <w:sz w:val="22"/>
        </w:rPr>
        <w:t>(12), 1126–1134. https://doi.org/10.1289/ehp.951031126</w:t>
      </w:r>
    </w:p>
    <w:p w14:paraId="339BFFD4" w14:textId="77777777" w:rsidR="0054280C" w:rsidRDefault="00B71134">
      <w:pPr>
        <w:pStyle w:val="Bibliography"/>
        <w:spacing w:line="240" w:lineRule="auto"/>
        <w:ind w:left="806" w:hanging="806"/>
        <w:rPr>
          <w:sz w:val="22"/>
        </w:rPr>
      </w:pPr>
      <w:r>
        <w:rPr>
          <w:sz w:val="22"/>
        </w:rPr>
        <w:t xml:space="preserve">Suarez-Lopez, J. R., Butcher, C. R., Gahagan, S., Checkoway, H., Alexander, B. H., &amp; Al-Delaimy, W. K. (2018). Acetylcholinesterase activity and time after a peak pesticide-use period among Ecuadorian children. </w:t>
      </w:r>
      <w:r>
        <w:rPr>
          <w:i/>
          <w:iCs/>
          <w:sz w:val="22"/>
        </w:rPr>
        <w:t>International Archives of Occupational and Environmental Health</w:t>
      </w:r>
      <w:r>
        <w:rPr>
          <w:sz w:val="22"/>
        </w:rPr>
        <w:t xml:space="preserve">, </w:t>
      </w:r>
      <w:r>
        <w:rPr>
          <w:i/>
          <w:iCs/>
          <w:sz w:val="22"/>
        </w:rPr>
        <w:t>91</w:t>
      </w:r>
      <w:r>
        <w:rPr>
          <w:sz w:val="22"/>
        </w:rPr>
        <w:t>(2), 175–184. https://doi.org/10.1007/s00420-017-1265-4</w:t>
      </w:r>
    </w:p>
    <w:p w14:paraId="02B2430F" w14:textId="77777777" w:rsidR="0054280C" w:rsidRDefault="00B71134">
      <w:pPr>
        <w:pStyle w:val="Bibliography"/>
        <w:spacing w:line="240" w:lineRule="auto"/>
        <w:ind w:left="806" w:hanging="806"/>
        <w:rPr>
          <w:sz w:val="22"/>
        </w:rPr>
      </w:pPr>
      <w:r>
        <w:rPr>
          <w:sz w:val="22"/>
        </w:rPr>
        <w:t xml:space="preserve">Suarez-Lopez, J. R., Checkoway, H., Jacobs, D. R., Al-Delaimy, W. K., &amp; Gahagan, S. (2017). Potential short-term neurobehavioral alterations in children associated with a peak pesticide spray season: The Mother’s Day flower harvest in Ecuador. </w:t>
      </w:r>
      <w:r>
        <w:rPr>
          <w:i/>
          <w:iCs/>
          <w:sz w:val="22"/>
        </w:rPr>
        <w:t>Neurotoxicology</w:t>
      </w:r>
      <w:r>
        <w:rPr>
          <w:sz w:val="22"/>
        </w:rPr>
        <w:t xml:space="preserve">, </w:t>
      </w:r>
      <w:r>
        <w:rPr>
          <w:i/>
          <w:iCs/>
          <w:sz w:val="22"/>
        </w:rPr>
        <w:t>60</w:t>
      </w:r>
      <w:r>
        <w:rPr>
          <w:sz w:val="22"/>
        </w:rPr>
        <w:t>, 125–133. https://doi.org/10.1016/j.neuro.2017.02.002</w:t>
      </w:r>
    </w:p>
    <w:p w14:paraId="0BC33E2A" w14:textId="77777777" w:rsidR="0054280C" w:rsidRDefault="00B71134">
      <w:pPr>
        <w:pStyle w:val="Bibliography"/>
        <w:spacing w:line="240" w:lineRule="auto"/>
        <w:ind w:left="806" w:hanging="806"/>
        <w:rPr>
          <w:sz w:val="22"/>
          <w:lang w:val="pt-BR"/>
        </w:rPr>
      </w:pPr>
      <w:r>
        <w:rPr>
          <w:sz w:val="22"/>
        </w:rPr>
        <w:t xml:space="preserve">Suarez-Lopez, J. R., Himes, J. H., Jacobs, D. R., Alexander, B. H., &amp; Gunnar, M. R. (2013). Acetylcholinesterase Activity and Neurodevelopment in Boys and Girls | Pediatrics | American Academy of Pediatrics. </w:t>
      </w:r>
      <w:r>
        <w:rPr>
          <w:i/>
          <w:iCs/>
          <w:sz w:val="22"/>
          <w:lang w:val="pt-BR"/>
        </w:rPr>
        <w:t>Pediatrics</w:t>
      </w:r>
      <w:r>
        <w:rPr>
          <w:sz w:val="22"/>
          <w:lang w:val="pt-BR"/>
        </w:rPr>
        <w:t xml:space="preserve">, </w:t>
      </w:r>
      <w:r>
        <w:rPr>
          <w:i/>
          <w:iCs/>
          <w:sz w:val="22"/>
          <w:lang w:val="pt-BR"/>
        </w:rPr>
        <w:t>132</w:t>
      </w:r>
      <w:r>
        <w:rPr>
          <w:sz w:val="22"/>
          <w:lang w:val="pt-BR"/>
        </w:rPr>
        <w:t>(6), e1649–e1658. https://doi.org/10.1542/peds.2013-0108</w:t>
      </w:r>
    </w:p>
    <w:p w14:paraId="5C348F13" w14:textId="77777777" w:rsidR="0054280C" w:rsidRPr="00C441B8" w:rsidRDefault="00B71134" w:rsidP="00C441B8">
      <w:pPr>
        <w:ind w:left="634" w:hanging="634"/>
        <w:rPr>
          <w:rFonts w:eastAsia="Times New Roman"/>
        </w:rPr>
      </w:pPr>
      <w:r>
        <w:rPr>
          <w:rFonts w:eastAsia="Times New Roman"/>
        </w:rPr>
        <w:t xml:space="preserve">Suarez-Lopez JR, Hood N, Suárez-Torres J, Gahagan S, Gunnar MR, López-Paredes D. Associations of acetylcholinesterase activity with depression and anxiety symptoms among adolescents growing up near pesticide spray sites. </w:t>
      </w:r>
      <w:r>
        <w:rPr>
          <w:rFonts w:eastAsia="Times New Roman"/>
          <w:i/>
          <w:iCs/>
        </w:rPr>
        <w:t>Int J Hyg Environ Health</w:t>
      </w:r>
      <w:r>
        <w:rPr>
          <w:rFonts w:eastAsia="Times New Roman"/>
        </w:rPr>
        <w:t>. 2019;222(7):981-990. doi:10.1016/j.ijheh.2019.06.001</w:t>
      </w:r>
    </w:p>
    <w:p w14:paraId="6761B71D" w14:textId="77777777" w:rsidR="0054280C" w:rsidRDefault="00B71134">
      <w:pPr>
        <w:pStyle w:val="Bibliography"/>
        <w:spacing w:line="240" w:lineRule="auto"/>
        <w:ind w:left="806" w:hanging="806"/>
        <w:rPr>
          <w:sz w:val="22"/>
          <w:lang w:val="es-MX"/>
        </w:rPr>
      </w:pPr>
      <w:r>
        <w:rPr>
          <w:sz w:val="22"/>
          <w:lang w:val="pt-BR"/>
        </w:rPr>
        <w:t xml:space="preserve">Suárez-López, J. R., Nazeeh, N., Kayser, G., Suarez-Torres, J., Checkoway, H., López-Paredes, D., Jacobs, D. R., &amp; de la Cruz, F. (2020). </w:t>
      </w:r>
      <w:r>
        <w:rPr>
          <w:sz w:val="22"/>
        </w:rPr>
        <w:t xml:space="preserve">Residential proximity to greenhouse crops and pesticide exposure (via acetylcholinesterase activity) assessed from childhood through adolescence. </w:t>
      </w:r>
      <w:r>
        <w:rPr>
          <w:i/>
          <w:iCs/>
          <w:sz w:val="22"/>
          <w:lang w:val="es-MX"/>
        </w:rPr>
        <w:t>Environmental Research</w:t>
      </w:r>
      <w:r>
        <w:rPr>
          <w:sz w:val="22"/>
          <w:lang w:val="es-MX"/>
        </w:rPr>
        <w:t xml:space="preserve">, </w:t>
      </w:r>
      <w:r>
        <w:rPr>
          <w:i/>
          <w:iCs/>
          <w:sz w:val="22"/>
          <w:lang w:val="es-MX"/>
        </w:rPr>
        <w:t>188</w:t>
      </w:r>
      <w:r>
        <w:rPr>
          <w:sz w:val="22"/>
          <w:lang w:val="es-MX"/>
        </w:rPr>
        <w:t>, 109728. https://doi.org/10.1016/j.envres.2020.109728</w:t>
      </w:r>
    </w:p>
    <w:p w14:paraId="2ABAC1AE" w14:textId="77777777" w:rsidR="0054280C" w:rsidRDefault="00B71134">
      <w:pPr>
        <w:pStyle w:val="Bibliography"/>
        <w:spacing w:line="240" w:lineRule="auto"/>
        <w:ind w:left="806" w:hanging="806"/>
        <w:rPr>
          <w:sz w:val="22"/>
        </w:rPr>
      </w:pPr>
      <w:r>
        <w:rPr>
          <w:sz w:val="22"/>
          <w:lang w:val="es-MX"/>
        </w:rPr>
        <w:t xml:space="preserve">Tessari, L., Angriman, M., Díaz-Román, A., Zhang, J., Conca, A., &amp; Cortese, S. (2022). </w:t>
      </w:r>
      <w:r>
        <w:rPr>
          <w:sz w:val="22"/>
        </w:rPr>
        <w:t xml:space="preserve">Association Between Exposure to Pesticides and ADHD or Autism Spectrum Disorder: A Systematic Review of the Literature. </w:t>
      </w:r>
      <w:r>
        <w:rPr>
          <w:i/>
          <w:iCs/>
          <w:sz w:val="22"/>
        </w:rPr>
        <w:t>Journal of Attention Disorders</w:t>
      </w:r>
      <w:r>
        <w:rPr>
          <w:sz w:val="22"/>
        </w:rPr>
        <w:t xml:space="preserve">, </w:t>
      </w:r>
      <w:r>
        <w:rPr>
          <w:i/>
          <w:iCs/>
          <w:sz w:val="22"/>
        </w:rPr>
        <w:t>26</w:t>
      </w:r>
      <w:r>
        <w:rPr>
          <w:sz w:val="22"/>
        </w:rPr>
        <w:t>(1), 48–71. https://doi.org/10.1177/1087054720940402</w:t>
      </w:r>
    </w:p>
    <w:p w14:paraId="59A50A80" w14:textId="77777777" w:rsidR="0054280C" w:rsidRDefault="00B71134">
      <w:pPr>
        <w:pStyle w:val="Bibliography"/>
        <w:spacing w:line="240" w:lineRule="auto"/>
        <w:ind w:left="806" w:hanging="806"/>
        <w:rPr>
          <w:sz w:val="22"/>
        </w:rPr>
      </w:pPr>
      <w:r>
        <w:rPr>
          <w:sz w:val="22"/>
        </w:rPr>
        <w:t xml:space="preserve">Thistle, J. E., Roell, K. R., Choi, G., Villanger, G. D., Drover, S. S., Sakhi, A. K., Thomsen, C., Zeiner, P., Knudsen, G., Reichborn-Kjennerud, T., Øvergaard, K. R., Herring, A., Aase, H., &amp; Engel, S. </w:t>
      </w:r>
      <w:r>
        <w:rPr>
          <w:sz w:val="22"/>
        </w:rPr>
        <w:lastRenderedPageBreak/>
        <w:t xml:space="preserve">M. (2020). Prenatal exposure to organophosphate pesticides and executive function in the Norwegian Mother, Father and Child Cohort. </w:t>
      </w:r>
      <w:r>
        <w:rPr>
          <w:i/>
          <w:iCs/>
          <w:sz w:val="22"/>
        </w:rPr>
        <w:t>ISEE Conference Abstracts</w:t>
      </w:r>
      <w:r>
        <w:rPr>
          <w:sz w:val="22"/>
        </w:rPr>
        <w:t xml:space="preserve">, </w:t>
      </w:r>
      <w:r>
        <w:rPr>
          <w:i/>
          <w:iCs/>
          <w:sz w:val="22"/>
        </w:rPr>
        <w:t>2020</w:t>
      </w:r>
      <w:r>
        <w:rPr>
          <w:sz w:val="22"/>
        </w:rPr>
        <w:t>(1). https://doi.org/10.1289/isee.2020.virtual.P-0820</w:t>
      </w:r>
    </w:p>
    <w:p w14:paraId="2B90A59F" w14:textId="77777777" w:rsidR="0054280C" w:rsidRDefault="00B71134">
      <w:pPr>
        <w:pStyle w:val="Bibliography"/>
        <w:spacing w:line="240" w:lineRule="auto"/>
        <w:ind w:left="806" w:hanging="806"/>
        <w:rPr>
          <w:sz w:val="22"/>
        </w:rPr>
      </w:pPr>
      <w:r>
        <w:rPr>
          <w:sz w:val="22"/>
        </w:rPr>
        <w:t xml:space="preserve">Wagner-Schuman, M., Richardson, J. R., Auinger, P., Braun, J. M., Lanphear, B. P., Epstein, J. N., Yolton, K., &amp; Froehlich, T. E. (2015). Association of pyrethroid pesticide exposure with attention-deficit/hyperactivity disorder in a nationally representative sample of U.S. children. </w:t>
      </w:r>
      <w:r>
        <w:rPr>
          <w:i/>
          <w:iCs/>
          <w:sz w:val="22"/>
        </w:rPr>
        <w:t>Environmental Health</w:t>
      </w:r>
      <w:r>
        <w:rPr>
          <w:sz w:val="22"/>
        </w:rPr>
        <w:t xml:space="preserve">, </w:t>
      </w:r>
      <w:r>
        <w:rPr>
          <w:i/>
          <w:iCs/>
          <w:sz w:val="22"/>
        </w:rPr>
        <w:t>14</w:t>
      </w:r>
      <w:r>
        <w:rPr>
          <w:sz w:val="22"/>
        </w:rPr>
        <w:t>(1), 44. https://doi.org/10.1186/s12940-015-0030-y</w:t>
      </w:r>
    </w:p>
    <w:p w14:paraId="672E856C" w14:textId="77777777" w:rsidR="0054280C" w:rsidRDefault="00B71134">
      <w:pPr>
        <w:pStyle w:val="Bibliography"/>
        <w:spacing w:line="240" w:lineRule="auto"/>
        <w:ind w:left="806" w:hanging="806"/>
        <w:rPr>
          <w:sz w:val="22"/>
        </w:rPr>
      </w:pPr>
      <w:r>
        <w:rPr>
          <w:sz w:val="22"/>
        </w:rPr>
        <w:t xml:space="preserve">Ward, M. H., Lubin, J., Giglierano, J., Colt, J. S., Wolter, C., Bekiroglu, N., Camann, D., Hartge, P., &amp; Nuckols, J. R. (2006). Proximity to Crops and Residential Exposure to Agricultural Herbicides in Iowa. </w:t>
      </w:r>
      <w:r>
        <w:rPr>
          <w:i/>
          <w:iCs/>
          <w:sz w:val="22"/>
        </w:rPr>
        <w:t>Environmental Health Perspectives</w:t>
      </w:r>
      <w:r>
        <w:rPr>
          <w:sz w:val="22"/>
        </w:rPr>
        <w:t xml:space="preserve">, </w:t>
      </w:r>
      <w:r>
        <w:rPr>
          <w:i/>
          <w:iCs/>
          <w:sz w:val="22"/>
        </w:rPr>
        <w:t>114</w:t>
      </w:r>
      <w:r>
        <w:rPr>
          <w:sz w:val="22"/>
        </w:rPr>
        <w:t>(6), 893–897. https://doi.org/10.1289/ehp.8770</w:t>
      </w:r>
    </w:p>
    <w:p w14:paraId="7EC17711" w14:textId="77777777" w:rsidR="0054280C" w:rsidRDefault="00B7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06" w:hanging="806"/>
        <w:rPr>
          <w:color w:val="000000"/>
          <w:sz w:val="22"/>
          <w:szCs w:val="22"/>
        </w:rPr>
      </w:pPr>
      <w:r>
        <w:rPr>
          <w:color w:val="000000"/>
          <w:sz w:val="22"/>
          <w:szCs w:val="22"/>
        </w:rPr>
        <w:t xml:space="preserve">WHO. </w:t>
      </w:r>
      <w:r>
        <w:rPr>
          <w:i/>
          <w:iCs/>
          <w:color w:val="000000"/>
          <w:sz w:val="22"/>
          <w:szCs w:val="22"/>
        </w:rPr>
        <w:t>Training Course on Child Growth Assessment</w:t>
      </w:r>
      <w:r>
        <w:rPr>
          <w:color w:val="000000"/>
          <w:sz w:val="22"/>
          <w:szCs w:val="22"/>
        </w:rPr>
        <w:t>. World Health Organization; 2008.</w:t>
      </w:r>
    </w:p>
    <w:p w14:paraId="5F01CA86" w14:textId="77777777" w:rsidR="0054280C" w:rsidRDefault="00B7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06" w:hanging="806"/>
        <w:rPr>
          <w:color w:val="000000"/>
          <w:sz w:val="22"/>
          <w:szCs w:val="22"/>
        </w:rPr>
      </w:pPr>
      <w:r>
        <w:rPr>
          <w:color w:val="000000"/>
          <w:sz w:val="22"/>
          <w:szCs w:val="22"/>
        </w:rPr>
        <w:t xml:space="preserve">WHO Multicentre Growth Reference Study Group. WHO Child Growth Standards based on length/height, weight and age. </w:t>
      </w:r>
      <w:r>
        <w:rPr>
          <w:i/>
          <w:iCs/>
          <w:color w:val="000000"/>
          <w:sz w:val="22"/>
          <w:szCs w:val="22"/>
        </w:rPr>
        <w:t>Acta paediatrica</w:t>
      </w:r>
      <w:r>
        <w:rPr>
          <w:color w:val="000000"/>
          <w:sz w:val="22"/>
          <w:szCs w:val="22"/>
        </w:rPr>
        <w:t xml:space="preserve">. 2006;450:76-85. </w:t>
      </w:r>
    </w:p>
    <w:p w14:paraId="62C3608D" w14:textId="77777777" w:rsidR="0054280C" w:rsidRDefault="00B7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06" w:hanging="806"/>
        <w:rPr>
          <w:color w:val="000000"/>
          <w:sz w:val="22"/>
          <w:szCs w:val="22"/>
        </w:rPr>
      </w:pPr>
      <w:r>
        <w:rPr>
          <w:color w:val="000000"/>
          <w:sz w:val="22"/>
          <w:szCs w:val="22"/>
        </w:rPr>
        <w:t>Yen, J., Yang, K., Skomal, A., Tub, X., Kayser, G.L.., Gahagan, S., Suarez-Torres, J.,Hong, S., Moore,  R., Suarez-Lopez, J.R. Associations Between Neonicotinoid, Pyrethroid, and Organophosphate Insecticide Metabolites with Neurobehavioral Performance in Ecuadorian Adolescents In review.</w:t>
      </w:r>
    </w:p>
    <w:p w14:paraId="7C5BF44F" w14:textId="77777777" w:rsidR="0054280C" w:rsidRDefault="00B71134">
      <w:pPr>
        <w:ind w:left="806" w:hanging="806"/>
        <w:rPr>
          <w:color w:val="000000"/>
          <w:sz w:val="22"/>
          <w:szCs w:val="22"/>
        </w:rPr>
      </w:pPr>
      <w:r>
        <w:rPr>
          <w:color w:val="000000"/>
          <w:sz w:val="22"/>
          <w:szCs w:val="22"/>
        </w:rPr>
        <w:fldChar w:fldCharType="end"/>
      </w:r>
      <w:r>
        <w:rPr>
          <w:color w:val="000000"/>
          <w:sz w:val="22"/>
          <w:szCs w:val="22"/>
        </w:rPr>
        <w:br w:type="page" w:clear="all"/>
      </w:r>
    </w:p>
    <w:p w14:paraId="6EB87AE6" w14:textId="77777777" w:rsidR="0054280C" w:rsidRDefault="0054280C">
      <w:pPr>
        <w:rPr>
          <w:color w:val="000000"/>
          <w:sz w:val="22"/>
          <w:szCs w:val="22"/>
        </w:rPr>
      </w:pPr>
    </w:p>
    <w:p w14:paraId="364FC1AA" w14:textId="77777777" w:rsidR="0054280C" w:rsidRDefault="00B71134">
      <w:pPr>
        <w:rPr>
          <w:b/>
          <w:bCs/>
          <w:color w:val="000000"/>
          <w:sz w:val="22"/>
          <w:szCs w:val="22"/>
        </w:rPr>
      </w:pPr>
      <w:r>
        <w:rPr>
          <w:b/>
          <w:bCs/>
          <w:color w:val="000000"/>
          <w:sz w:val="22"/>
          <w:szCs w:val="22"/>
        </w:rPr>
        <w:t>Supplementary Tables and Figures:</w:t>
      </w:r>
    </w:p>
    <w:p w14:paraId="2CC57731" w14:textId="77777777" w:rsidR="0054280C" w:rsidRDefault="0054280C">
      <w:pPr>
        <w:rPr>
          <w:color w:val="000000"/>
          <w:sz w:val="22"/>
          <w:szCs w:val="22"/>
        </w:rPr>
      </w:pPr>
    </w:p>
    <w:p w14:paraId="2E7A63E0" w14:textId="293708D1" w:rsidR="0054280C" w:rsidRDefault="00B71134">
      <w:pPr>
        <w:rPr>
          <w:color w:val="000000"/>
          <w:sz w:val="22"/>
          <w:szCs w:val="22"/>
        </w:rPr>
      </w:pPr>
      <w:commentRangeStart w:id="147"/>
      <w:r>
        <w:rPr>
          <w:b/>
          <w:bCs/>
          <w:color w:val="000000"/>
          <w:sz w:val="22"/>
          <w:szCs w:val="22"/>
        </w:rPr>
        <w:t xml:space="preserve">Supplementary Table 1. </w:t>
      </w:r>
      <w:r>
        <w:rPr>
          <w:color w:val="000000"/>
          <w:sz w:val="22"/>
          <w:szCs w:val="22"/>
        </w:rPr>
        <w:t xml:space="preserve">Summary of NEPSY-II </w:t>
      </w:r>
      <w:r w:rsidR="00D807DF">
        <w:rPr>
          <w:color w:val="000000"/>
          <w:sz w:val="22"/>
          <w:szCs w:val="22"/>
        </w:rPr>
        <w:t>scores</w:t>
      </w:r>
      <w:r>
        <w:rPr>
          <w:color w:val="000000"/>
          <w:sz w:val="22"/>
          <w:szCs w:val="22"/>
        </w:rPr>
        <w:t xml:space="preserve"> stratified by distance from residency to nearest plantation. Every </w:t>
      </w:r>
      <w:r w:rsidR="004D5920">
        <w:rPr>
          <w:color w:val="000000"/>
          <w:sz w:val="22"/>
          <w:szCs w:val="22"/>
        </w:rPr>
        <w:t>NEPSY-II score</w:t>
      </w:r>
      <w:r>
        <w:rPr>
          <w:color w:val="000000"/>
          <w:sz w:val="22"/>
          <w:szCs w:val="22"/>
        </w:rPr>
        <w:t xml:space="preserve"> has its </w:t>
      </w:r>
      <w:proofErr w:type="gramStart"/>
      <w:r>
        <w:rPr>
          <w:color w:val="000000"/>
          <w:sz w:val="22"/>
          <w:szCs w:val="22"/>
        </w:rPr>
        <w:t>mean</w:t>
      </w:r>
      <w:proofErr w:type="gramEnd"/>
      <w:r>
        <w:rPr>
          <w:color w:val="000000"/>
          <w:sz w:val="22"/>
          <w:szCs w:val="22"/>
        </w:rPr>
        <w:t xml:space="preserve"> (</w:t>
      </w:r>
      <w:r w:rsidR="004D5920">
        <w:rPr>
          <w:color w:val="000000"/>
          <w:sz w:val="22"/>
          <w:szCs w:val="22"/>
        </w:rPr>
        <w:t>SD</w:t>
      </w:r>
      <w:r>
        <w:rPr>
          <w:color w:val="000000"/>
          <w:sz w:val="22"/>
          <w:szCs w:val="22"/>
        </w:rPr>
        <w:t xml:space="preserve">) reported, and p-values are calculated from a </w:t>
      </w:r>
      <w:r w:rsidR="004D5920">
        <w:rPr>
          <w:color w:val="000000"/>
          <w:sz w:val="22"/>
          <w:szCs w:val="22"/>
        </w:rPr>
        <w:t>linear regression</w:t>
      </w:r>
      <w:r>
        <w:rPr>
          <w:color w:val="000000"/>
          <w:sz w:val="22"/>
          <w:szCs w:val="22"/>
        </w:rPr>
        <w:t xml:space="preserve"> test</w:t>
      </w:r>
      <w:r w:rsidR="00671B02">
        <w:rPr>
          <w:color w:val="000000"/>
          <w:sz w:val="22"/>
          <w:szCs w:val="22"/>
        </w:rPr>
        <w:t xml:space="preserve">, where </w:t>
      </w:r>
      <w:r w:rsidR="00995CB0">
        <w:rPr>
          <w:color w:val="000000"/>
          <w:sz w:val="22"/>
          <w:szCs w:val="22"/>
        </w:rPr>
        <w:t>each NEPSY-II score is regressed on log-transformed distance</w:t>
      </w:r>
      <w:r>
        <w:rPr>
          <w:color w:val="000000"/>
          <w:sz w:val="22"/>
          <w:szCs w:val="22"/>
        </w:rPr>
        <w:t>.</w:t>
      </w:r>
      <w:commentRangeEnd w:id="147"/>
      <w:r>
        <w:commentReference w:id="147"/>
      </w:r>
    </w:p>
    <w:p w14:paraId="1256886F" w14:textId="77777777" w:rsidR="0054280C" w:rsidRDefault="0054280C">
      <w:pPr>
        <w:rPr>
          <w:color w:val="000000"/>
          <w:sz w:val="22"/>
          <w:szCs w:val="22"/>
        </w:rPr>
      </w:pPr>
    </w:p>
    <w:tbl>
      <w:tblPr>
        <w:tblStyle w:val="TableGrid"/>
        <w:tblW w:w="0" w:type="auto"/>
        <w:tblLook w:val="04A0" w:firstRow="1" w:lastRow="0" w:firstColumn="1" w:lastColumn="0" w:noHBand="0" w:noVBand="1"/>
      </w:tblPr>
      <w:tblGrid>
        <w:gridCol w:w="1795"/>
        <w:gridCol w:w="1373"/>
        <w:gridCol w:w="554"/>
        <w:gridCol w:w="1227"/>
        <w:gridCol w:w="1159"/>
        <w:gridCol w:w="1227"/>
        <w:gridCol w:w="1159"/>
        <w:gridCol w:w="856"/>
      </w:tblGrid>
      <w:tr w:rsidR="0054280C" w:rsidRPr="00995CB0" w14:paraId="1739E8CF" w14:textId="77777777" w:rsidTr="00E36D7B">
        <w:tc>
          <w:tcPr>
            <w:tcW w:w="1795" w:type="dxa"/>
          </w:tcPr>
          <w:p w14:paraId="1CBCD315" w14:textId="77777777" w:rsidR="0054280C" w:rsidRPr="00995CB0" w:rsidRDefault="00B71134">
            <w:pPr>
              <w:jc w:val="center"/>
              <w:rPr>
                <w:rFonts w:ascii="Times New Roman" w:hAnsi="Times New Roman" w:cs="Times New Roman"/>
                <w:b/>
                <w:bCs/>
                <w:color w:val="000000"/>
                <w:sz w:val="18"/>
                <w:szCs w:val="18"/>
              </w:rPr>
            </w:pPr>
            <w:r w:rsidRPr="00995CB0">
              <w:rPr>
                <w:rFonts w:ascii="Times New Roman" w:hAnsi="Times New Roman" w:cs="Times New Roman"/>
                <w:b/>
                <w:bCs/>
                <w:color w:val="000000"/>
                <w:sz w:val="18"/>
                <w:szCs w:val="18"/>
              </w:rPr>
              <w:t>Variable</w:t>
            </w:r>
          </w:p>
        </w:tc>
        <w:tc>
          <w:tcPr>
            <w:tcW w:w="1373" w:type="dxa"/>
          </w:tcPr>
          <w:p w14:paraId="12FA8E6B" w14:textId="77777777" w:rsidR="0054280C" w:rsidRPr="00995CB0" w:rsidRDefault="00B71134">
            <w:pPr>
              <w:jc w:val="center"/>
              <w:rPr>
                <w:rFonts w:ascii="Times New Roman" w:hAnsi="Times New Roman" w:cs="Times New Roman"/>
                <w:b/>
                <w:bCs/>
                <w:color w:val="000000"/>
                <w:sz w:val="18"/>
                <w:szCs w:val="18"/>
              </w:rPr>
            </w:pPr>
            <w:r w:rsidRPr="00995CB0">
              <w:rPr>
                <w:rFonts w:ascii="Times New Roman" w:hAnsi="Times New Roman" w:cs="Times New Roman"/>
                <w:b/>
                <w:bCs/>
                <w:color w:val="000000"/>
                <w:sz w:val="18"/>
                <w:szCs w:val="18"/>
              </w:rPr>
              <w:t>Visit Time</w:t>
            </w:r>
          </w:p>
        </w:tc>
        <w:tc>
          <w:tcPr>
            <w:tcW w:w="554" w:type="dxa"/>
          </w:tcPr>
          <w:p w14:paraId="313664C8" w14:textId="77777777" w:rsidR="0054280C" w:rsidRPr="00995CB0" w:rsidRDefault="00B71134">
            <w:pPr>
              <w:jc w:val="center"/>
              <w:rPr>
                <w:rFonts w:ascii="Times New Roman" w:hAnsi="Times New Roman" w:cs="Times New Roman"/>
                <w:b/>
                <w:bCs/>
                <w:color w:val="000000"/>
                <w:sz w:val="18"/>
                <w:szCs w:val="18"/>
              </w:rPr>
            </w:pPr>
            <w:r w:rsidRPr="00995CB0">
              <w:rPr>
                <w:rFonts w:ascii="Times New Roman" w:hAnsi="Times New Roman" w:cs="Times New Roman"/>
                <w:b/>
                <w:bCs/>
                <w:color w:val="000000"/>
                <w:sz w:val="18"/>
                <w:szCs w:val="18"/>
              </w:rPr>
              <w:t>N</w:t>
            </w:r>
          </w:p>
        </w:tc>
        <w:tc>
          <w:tcPr>
            <w:tcW w:w="1227" w:type="dxa"/>
          </w:tcPr>
          <w:p w14:paraId="0EC51231" w14:textId="77777777" w:rsidR="0054280C" w:rsidRPr="00995CB0" w:rsidRDefault="00B71134">
            <w:pPr>
              <w:jc w:val="center"/>
              <w:rPr>
                <w:rFonts w:ascii="Times New Roman" w:hAnsi="Times New Roman" w:cs="Times New Roman"/>
                <w:b/>
                <w:bCs/>
                <w:color w:val="000000"/>
                <w:sz w:val="18"/>
                <w:szCs w:val="18"/>
              </w:rPr>
            </w:pPr>
            <w:r w:rsidRPr="00995CB0">
              <w:rPr>
                <w:rFonts w:ascii="Times New Roman" w:hAnsi="Times New Roman" w:cs="Times New Roman"/>
                <w:b/>
                <w:bCs/>
                <w:color w:val="000000"/>
                <w:sz w:val="18"/>
                <w:szCs w:val="18"/>
              </w:rPr>
              <w:t>1</w:t>
            </w:r>
            <w:r w:rsidRPr="00995CB0">
              <w:rPr>
                <w:rFonts w:ascii="Times New Roman" w:hAnsi="Times New Roman" w:cs="Times New Roman"/>
                <w:b/>
                <w:bCs/>
                <w:color w:val="000000"/>
                <w:sz w:val="18"/>
                <w:szCs w:val="18"/>
                <w:vertAlign w:val="superscript"/>
              </w:rPr>
              <w:t>st</w:t>
            </w:r>
            <w:r w:rsidRPr="00995CB0">
              <w:rPr>
                <w:rFonts w:ascii="Times New Roman" w:hAnsi="Times New Roman" w:cs="Times New Roman"/>
                <w:b/>
                <w:bCs/>
                <w:color w:val="000000"/>
                <w:sz w:val="18"/>
                <w:szCs w:val="18"/>
              </w:rPr>
              <w:t xml:space="preserve"> quartile</w:t>
            </w:r>
          </w:p>
        </w:tc>
        <w:tc>
          <w:tcPr>
            <w:tcW w:w="1159" w:type="dxa"/>
          </w:tcPr>
          <w:p w14:paraId="3957AADB" w14:textId="77777777" w:rsidR="0054280C" w:rsidRPr="00995CB0" w:rsidRDefault="00B71134">
            <w:pPr>
              <w:jc w:val="center"/>
              <w:rPr>
                <w:rFonts w:ascii="Times New Roman" w:hAnsi="Times New Roman" w:cs="Times New Roman"/>
                <w:b/>
                <w:bCs/>
                <w:color w:val="000000"/>
                <w:sz w:val="18"/>
                <w:szCs w:val="18"/>
              </w:rPr>
            </w:pPr>
            <w:r w:rsidRPr="00995CB0">
              <w:rPr>
                <w:rFonts w:ascii="Times New Roman" w:hAnsi="Times New Roman" w:cs="Times New Roman"/>
                <w:b/>
                <w:bCs/>
                <w:color w:val="000000"/>
                <w:sz w:val="18"/>
                <w:szCs w:val="18"/>
              </w:rPr>
              <w:t>2</w:t>
            </w:r>
            <w:r w:rsidRPr="00995CB0">
              <w:rPr>
                <w:rFonts w:ascii="Times New Roman" w:hAnsi="Times New Roman" w:cs="Times New Roman"/>
                <w:b/>
                <w:bCs/>
                <w:color w:val="000000"/>
                <w:sz w:val="18"/>
                <w:szCs w:val="18"/>
                <w:vertAlign w:val="superscript"/>
              </w:rPr>
              <w:t>nd</w:t>
            </w:r>
            <w:r w:rsidRPr="00995CB0">
              <w:rPr>
                <w:rFonts w:ascii="Times New Roman" w:hAnsi="Times New Roman" w:cs="Times New Roman"/>
                <w:b/>
                <w:bCs/>
                <w:color w:val="000000"/>
                <w:sz w:val="18"/>
                <w:szCs w:val="18"/>
              </w:rPr>
              <w:t xml:space="preserve"> quartile</w:t>
            </w:r>
          </w:p>
        </w:tc>
        <w:tc>
          <w:tcPr>
            <w:tcW w:w="1227" w:type="dxa"/>
          </w:tcPr>
          <w:p w14:paraId="73427137" w14:textId="77777777" w:rsidR="0054280C" w:rsidRPr="00995CB0" w:rsidRDefault="00B71134">
            <w:pPr>
              <w:jc w:val="center"/>
              <w:rPr>
                <w:rFonts w:ascii="Times New Roman" w:hAnsi="Times New Roman" w:cs="Times New Roman"/>
                <w:b/>
                <w:bCs/>
                <w:color w:val="000000"/>
                <w:sz w:val="18"/>
                <w:szCs w:val="18"/>
              </w:rPr>
            </w:pPr>
            <w:r w:rsidRPr="00995CB0">
              <w:rPr>
                <w:rFonts w:ascii="Times New Roman" w:hAnsi="Times New Roman" w:cs="Times New Roman"/>
                <w:b/>
                <w:bCs/>
                <w:color w:val="000000"/>
                <w:sz w:val="18"/>
                <w:szCs w:val="18"/>
              </w:rPr>
              <w:t>3</w:t>
            </w:r>
            <w:r w:rsidRPr="00995CB0">
              <w:rPr>
                <w:rFonts w:ascii="Times New Roman" w:hAnsi="Times New Roman" w:cs="Times New Roman"/>
                <w:b/>
                <w:bCs/>
                <w:color w:val="000000"/>
                <w:sz w:val="18"/>
                <w:szCs w:val="18"/>
                <w:vertAlign w:val="superscript"/>
              </w:rPr>
              <w:t>rd</w:t>
            </w:r>
            <w:r w:rsidRPr="00995CB0">
              <w:rPr>
                <w:rFonts w:ascii="Times New Roman" w:hAnsi="Times New Roman" w:cs="Times New Roman"/>
                <w:b/>
                <w:bCs/>
                <w:color w:val="000000"/>
                <w:sz w:val="18"/>
                <w:szCs w:val="18"/>
              </w:rPr>
              <w:t xml:space="preserve"> quartile</w:t>
            </w:r>
          </w:p>
        </w:tc>
        <w:tc>
          <w:tcPr>
            <w:tcW w:w="1159" w:type="dxa"/>
          </w:tcPr>
          <w:p w14:paraId="56FE4D21" w14:textId="77777777" w:rsidR="0054280C" w:rsidRPr="00995CB0" w:rsidRDefault="00B71134">
            <w:pPr>
              <w:jc w:val="center"/>
              <w:rPr>
                <w:rFonts w:ascii="Times New Roman" w:hAnsi="Times New Roman" w:cs="Times New Roman"/>
                <w:b/>
                <w:bCs/>
                <w:color w:val="000000"/>
                <w:sz w:val="18"/>
                <w:szCs w:val="18"/>
              </w:rPr>
            </w:pPr>
            <w:r w:rsidRPr="00995CB0">
              <w:rPr>
                <w:rFonts w:ascii="Times New Roman" w:hAnsi="Times New Roman" w:cs="Times New Roman"/>
                <w:b/>
                <w:bCs/>
                <w:color w:val="000000"/>
                <w:sz w:val="18"/>
                <w:szCs w:val="18"/>
              </w:rPr>
              <w:t>4</w:t>
            </w:r>
            <w:r w:rsidRPr="00995CB0">
              <w:rPr>
                <w:rFonts w:ascii="Times New Roman" w:hAnsi="Times New Roman" w:cs="Times New Roman"/>
                <w:b/>
                <w:bCs/>
                <w:color w:val="000000"/>
                <w:sz w:val="18"/>
                <w:szCs w:val="18"/>
                <w:vertAlign w:val="superscript"/>
              </w:rPr>
              <w:t>th</w:t>
            </w:r>
            <w:r w:rsidRPr="00995CB0">
              <w:rPr>
                <w:rFonts w:ascii="Times New Roman" w:hAnsi="Times New Roman" w:cs="Times New Roman"/>
                <w:b/>
                <w:bCs/>
                <w:color w:val="000000"/>
                <w:sz w:val="18"/>
                <w:szCs w:val="18"/>
              </w:rPr>
              <w:t xml:space="preserve"> quartile</w:t>
            </w:r>
          </w:p>
        </w:tc>
        <w:tc>
          <w:tcPr>
            <w:tcW w:w="856" w:type="dxa"/>
          </w:tcPr>
          <w:p w14:paraId="74E1D875" w14:textId="77777777" w:rsidR="0054280C" w:rsidRPr="00995CB0" w:rsidRDefault="00B71134">
            <w:pPr>
              <w:jc w:val="center"/>
              <w:rPr>
                <w:rFonts w:ascii="Times New Roman" w:hAnsi="Times New Roman" w:cs="Times New Roman"/>
                <w:b/>
                <w:bCs/>
                <w:color w:val="000000"/>
                <w:sz w:val="18"/>
                <w:szCs w:val="18"/>
              </w:rPr>
            </w:pPr>
            <w:r w:rsidRPr="00995CB0">
              <w:rPr>
                <w:rFonts w:ascii="Times New Roman" w:hAnsi="Times New Roman" w:cs="Times New Roman"/>
                <w:b/>
                <w:bCs/>
                <w:color w:val="000000"/>
                <w:sz w:val="18"/>
                <w:szCs w:val="18"/>
              </w:rPr>
              <w:t>P-value</w:t>
            </w:r>
          </w:p>
        </w:tc>
      </w:tr>
      <w:tr w:rsidR="00E36D7B" w:rsidRPr="00995CB0" w14:paraId="237F5967" w14:textId="77777777" w:rsidTr="00E36D7B">
        <w:tc>
          <w:tcPr>
            <w:tcW w:w="1795" w:type="dxa"/>
            <w:vMerge w:val="restart"/>
            <w:vAlign w:val="center"/>
          </w:tcPr>
          <w:p w14:paraId="23A4FAAF"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Auditory attention combined (</w:t>
            </w:r>
            <w:proofErr w:type="spellStart"/>
            <w:r w:rsidRPr="00995CB0">
              <w:rPr>
                <w:rFonts w:ascii="Times New Roman" w:hAnsi="Times New Roman" w:cs="Times New Roman"/>
                <w:color w:val="000000"/>
                <w:sz w:val="18"/>
                <w:szCs w:val="18"/>
              </w:rPr>
              <w:t>aac</w:t>
            </w:r>
            <w:proofErr w:type="spellEnd"/>
            <w:r w:rsidRPr="00995CB0">
              <w:rPr>
                <w:rFonts w:ascii="Times New Roman" w:hAnsi="Times New Roman" w:cs="Times New Roman"/>
                <w:color w:val="000000"/>
                <w:sz w:val="18"/>
                <w:szCs w:val="18"/>
              </w:rPr>
              <w:t>)</w:t>
            </w:r>
          </w:p>
        </w:tc>
        <w:tc>
          <w:tcPr>
            <w:tcW w:w="1373" w:type="dxa"/>
          </w:tcPr>
          <w:p w14:paraId="0B31C8DE"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0FF3B675" w14:textId="2FAFC0F9"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226</w:t>
            </w:r>
          </w:p>
        </w:tc>
        <w:tc>
          <w:tcPr>
            <w:tcW w:w="1227" w:type="dxa"/>
            <w:vAlign w:val="bottom"/>
          </w:tcPr>
          <w:p w14:paraId="13AB56C3" w14:textId="5D5CF909"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7.34 (3.44)</w:t>
            </w:r>
          </w:p>
        </w:tc>
        <w:tc>
          <w:tcPr>
            <w:tcW w:w="1159" w:type="dxa"/>
            <w:vAlign w:val="bottom"/>
          </w:tcPr>
          <w:p w14:paraId="2F2C296B" w14:textId="43C56A2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8.48 (3.78)</w:t>
            </w:r>
          </w:p>
        </w:tc>
        <w:tc>
          <w:tcPr>
            <w:tcW w:w="1227" w:type="dxa"/>
            <w:vAlign w:val="bottom"/>
          </w:tcPr>
          <w:p w14:paraId="4C3DB8A6" w14:textId="516C76C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8.34 (3.01)</w:t>
            </w:r>
          </w:p>
        </w:tc>
        <w:tc>
          <w:tcPr>
            <w:tcW w:w="1159" w:type="dxa"/>
            <w:vAlign w:val="bottom"/>
          </w:tcPr>
          <w:p w14:paraId="76E19CC8" w14:textId="62A78CB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8.72 (3.45)</w:t>
            </w:r>
          </w:p>
        </w:tc>
        <w:tc>
          <w:tcPr>
            <w:tcW w:w="856" w:type="dxa"/>
            <w:vAlign w:val="bottom"/>
          </w:tcPr>
          <w:p w14:paraId="484894C0" w14:textId="17964D0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0.028</w:t>
            </w:r>
            <w:r>
              <w:rPr>
                <w:rFonts w:ascii="Times New Roman" w:hAnsi="Times New Roman" w:cs="Times New Roman"/>
                <w:color w:val="000000"/>
                <w:sz w:val="18"/>
                <w:szCs w:val="18"/>
              </w:rPr>
              <w:t>*</w:t>
            </w:r>
          </w:p>
        </w:tc>
      </w:tr>
      <w:tr w:rsidR="00E36D7B" w:rsidRPr="00995CB0" w14:paraId="380CD41F" w14:textId="77777777" w:rsidTr="00E36D7B">
        <w:tc>
          <w:tcPr>
            <w:tcW w:w="1795" w:type="dxa"/>
            <w:vMerge/>
            <w:vAlign w:val="center"/>
          </w:tcPr>
          <w:p w14:paraId="67957B1D"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6CA0F84D"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766289F8" w14:textId="4B406C8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320</w:t>
            </w:r>
          </w:p>
        </w:tc>
        <w:tc>
          <w:tcPr>
            <w:tcW w:w="1227" w:type="dxa"/>
            <w:vAlign w:val="bottom"/>
          </w:tcPr>
          <w:p w14:paraId="3D53F3CB" w14:textId="1975D48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7.99 (4.14)</w:t>
            </w:r>
          </w:p>
        </w:tc>
        <w:tc>
          <w:tcPr>
            <w:tcW w:w="1159" w:type="dxa"/>
            <w:vAlign w:val="bottom"/>
          </w:tcPr>
          <w:p w14:paraId="58BC8098" w14:textId="7E64AD2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8.58 (3.68)</w:t>
            </w:r>
          </w:p>
        </w:tc>
        <w:tc>
          <w:tcPr>
            <w:tcW w:w="1227" w:type="dxa"/>
            <w:vAlign w:val="bottom"/>
          </w:tcPr>
          <w:p w14:paraId="529E3CDB" w14:textId="60F3796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8.65 (3.87)</w:t>
            </w:r>
          </w:p>
        </w:tc>
        <w:tc>
          <w:tcPr>
            <w:tcW w:w="1159" w:type="dxa"/>
            <w:vAlign w:val="bottom"/>
          </w:tcPr>
          <w:p w14:paraId="1B917E25" w14:textId="40B7512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8.59 (3.40)</w:t>
            </w:r>
          </w:p>
        </w:tc>
        <w:tc>
          <w:tcPr>
            <w:tcW w:w="856" w:type="dxa"/>
            <w:vAlign w:val="bottom"/>
          </w:tcPr>
          <w:p w14:paraId="37A10A17" w14:textId="1152C2E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0.78</w:t>
            </w:r>
            <w:r>
              <w:rPr>
                <w:rFonts w:ascii="Times New Roman" w:hAnsi="Times New Roman" w:cs="Times New Roman"/>
                <w:color w:val="000000"/>
                <w:sz w:val="18"/>
                <w:szCs w:val="18"/>
              </w:rPr>
              <w:t>0</w:t>
            </w:r>
          </w:p>
        </w:tc>
      </w:tr>
      <w:tr w:rsidR="00E36D7B" w:rsidRPr="00995CB0" w14:paraId="6D01A769" w14:textId="77777777" w:rsidTr="00E36D7B">
        <w:tc>
          <w:tcPr>
            <w:tcW w:w="1795" w:type="dxa"/>
            <w:vMerge/>
            <w:vAlign w:val="center"/>
          </w:tcPr>
          <w:p w14:paraId="5F3272D7"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2D6C8A2F"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37FDEC04" w14:textId="091D90A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23541F1C" w14:textId="1718518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9.81 (3.17)</w:t>
            </w:r>
          </w:p>
        </w:tc>
        <w:tc>
          <w:tcPr>
            <w:tcW w:w="1159" w:type="dxa"/>
            <w:vAlign w:val="bottom"/>
          </w:tcPr>
          <w:p w14:paraId="6D3A3DDA" w14:textId="6112EF2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9.32 (3.66)</w:t>
            </w:r>
          </w:p>
        </w:tc>
        <w:tc>
          <w:tcPr>
            <w:tcW w:w="1227" w:type="dxa"/>
            <w:vAlign w:val="bottom"/>
          </w:tcPr>
          <w:p w14:paraId="6E63B560" w14:textId="5A8EFF1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9.41 (3.50)</w:t>
            </w:r>
          </w:p>
        </w:tc>
        <w:tc>
          <w:tcPr>
            <w:tcW w:w="1159" w:type="dxa"/>
            <w:vAlign w:val="bottom"/>
          </w:tcPr>
          <w:p w14:paraId="02321459" w14:textId="37DCA61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9.66 (3.35)</w:t>
            </w:r>
          </w:p>
        </w:tc>
        <w:tc>
          <w:tcPr>
            <w:tcW w:w="856" w:type="dxa"/>
            <w:vAlign w:val="bottom"/>
          </w:tcPr>
          <w:p w14:paraId="5643402B" w14:textId="2171E56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0.265</w:t>
            </w:r>
          </w:p>
        </w:tc>
      </w:tr>
      <w:tr w:rsidR="00E36D7B" w:rsidRPr="00995CB0" w14:paraId="3A6868D5" w14:textId="77777777" w:rsidTr="00E36D7B">
        <w:tc>
          <w:tcPr>
            <w:tcW w:w="1795" w:type="dxa"/>
            <w:vMerge w:val="restart"/>
            <w:vAlign w:val="center"/>
          </w:tcPr>
          <w:p w14:paraId="7380464D"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Response set combined (</w:t>
            </w:r>
            <w:proofErr w:type="spellStart"/>
            <w:r w:rsidRPr="00995CB0">
              <w:rPr>
                <w:rFonts w:ascii="Times New Roman" w:hAnsi="Times New Roman" w:cs="Times New Roman"/>
                <w:color w:val="000000"/>
                <w:sz w:val="18"/>
                <w:szCs w:val="18"/>
              </w:rPr>
              <w:t>rsc</w:t>
            </w:r>
            <w:proofErr w:type="spellEnd"/>
            <w:r w:rsidRPr="00995CB0">
              <w:rPr>
                <w:rFonts w:ascii="Times New Roman" w:hAnsi="Times New Roman" w:cs="Times New Roman"/>
                <w:color w:val="000000"/>
                <w:sz w:val="18"/>
                <w:szCs w:val="18"/>
              </w:rPr>
              <w:t>)</w:t>
            </w:r>
          </w:p>
        </w:tc>
        <w:tc>
          <w:tcPr>
            <w:tcW w:w="1373" w:type="dxa"/>
          </w:tcPr>
          <w:p w14:paraId="1B15EC30"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3312BCCA" w14:textId="565B7991"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118</w:t>
            </w:r>
          </w:p>
        </w:tc>
        <w:tc>
          <w:tcPr>
            <w:tcW w:w="1227" w:type="dxa"/>
            <w:vAlign w:val="bottom"/>
          </w:tcPr>
          <w:p w14:paraId="70E15291" w14:textId="386A409F"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8.47 (3.46)</w:t>
            </w:r>
          </w:p>
        </w:tc>
        <w:tc>
          <w:tcPr>
            <w:tcW w:w="1159" w:type="dxa"/>
            <w:vAlign w:val="bottom"/>
          </w:tcPr>
          <w:p w14:paraId="0F2985EE" w14:textId="6632BA3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8.79 (3.51)</w:t>
            </w:r>
          </w:p>
        </w:tc>
        <w:tc>
          <w:tcPr>
            <w:tcW w:w="1227" w:type="dxa"/>
            <w:vAlign w:val="bottom"/>
          </w:tcPr>
          <w:p w14:paraId="4703BBAD" w14:textId="1213D681"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8.82 (2.84)</w:t>
            </w:r>
          </w:p>
        </w:tc>
        <w:tc>
          <w:tcPr>
            <w:tcW w:w="1159" w:type="dxa"/>
            <w:vAlign w:val="bottom"/>
          </w:tcPr>
          <w:p w14:paraId="7543A8DF" w14:textId="3A6EE76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8.74 (2.90)</w:t>
            </w:r>
          </w:p>
        </w:tc>
        <w:tc>
          <w:tcPr>
            <w:tcW w:w="856" w:type="dxa"/>
            <w:vAlign w:val="bottom"/>
          </w:tcPr>
          <w:p w14:paraId="3FB268B9" w14:textId="356C286D"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0.307</w:t>
            </w:r>
          </w:p>
        </w:tc>
      </w:tr>
      <w:tr w:rsidR="00E36D7B" w:rsidRPr="00995CB0" w14:paraId="54449840" w14:textId="77777777" w:rsidTr="00E36D7B">
        <w:tc>
          <w:tcPr>
            <w:tcW w:w="1795" w:type="dxa"/>
            <w:vMerge/>
            <w:vAlign w:val="center"/>
          </w:tcPr>
          <w:p w14:paraId="528A953C"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298C012E"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7B160824" w14:textId="6ABDF10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320</w:t>
            </w:r>
          </w:p>
        </w:tc>
        <w:tc>
          <w:tcPr>
            <w:tcW w:w="1227" w:type="dxa"/>
            <w:vAlign w:val="bottom"/>
          </w:tcPr>
          <w:p w14:paraId="17434365" w14:textId="63B8456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9.11 (3.04)</w:t>
            </w:r>
          </w:p>
        </w:tc>
        <w:tc>
          <w:tcPr>
            <w:tcW w:w="1159" w:type="dxa"/>
            <w:vAlign w:val="bottom"/>
          </w:tcPr>
          <w:p w14:paraId="0A7D25FA" w14:textId="6EEB19B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9.80 (3.20)</w:t>
            </w:r>
          </w:p>
        </w:tc>
        <w:tc>
          <w:tcPr>
            <w:tcW w:w="1227" w:type="dxa"/>
            <w:vAlign w:val="bottom"/>
          </w:tcPr>
          <w:p w14:paraId="7E26A8B4" w14:textId="40A33C20"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9.46 (2.85)</w:t>
            </w:r>
          </w:p>
        </w:tc>
        <w:tc>
          <w:tcPr>
            <w:tcW w:w="1159" w:type="dxa"/>
            <w:vAlign w:val="bottom"/>
          </w:tcPr>
          <w:p w14:paraId="2C230D22" w14:textId="1536E28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9.26 (2.99)</w:t>
            </w:r>
          </w:p>
        </w:tc>
        <w:tc>
          <w:tcPr>
            <w:tcW w:w="856" w:type="dxa"/>
            <w:vAlign w:val="bottom"/>
          </w:tcPr>
          <w:p w14:paraId="57BBA20C" w14:textId="1998040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0.593</w:t>
            </w:r>
          </w:p>
        </w:tc>
      </w:tr>
      <w:tr w:rsidR="00E36D7B" w:rsidRPr="00995CB0" w14:paraId="4221DD17" w14:textId="77777777" w:rsidTr="00E36D7B">
        <w:tc>
          <w:tcPr>
            <w:tcW w:w="1795" w:type="dxa"/>
            <w:vMerge/>
            <w:vAlign w:val="center"/>
          </w:tcPr>
          <w:p w14:paraId="6691ACAF"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7D9AA2D1"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306525AF" w14:textId="37A7BB9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33638ADC" w14:textId="6DA1F0C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10.11 (2.70)</w:t>
            </w:r>
          </w:p>
        </w:tc>
        <w:tc>
          <w:tcPr>
            <w:tcW w:w="1159" w:type="dxa"/>
            <w:vAlign w:val="bottom"/>
          </w:tcPr>
          <w:p w14:paraId="0CD2DD10" w14:textId="2439057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9.52 (2.77)</w:t>
            </w:r>
          </w:p>
        </w:tc>
        <w:tc>
          <w:tcPr>
            <w:tcW w:w="1227" w:type="dxa"/>
            <w:vAlign w:val="bottom"/>
          </w:tcPr>
          <w:p w14:paraId="107758B3" w14:textId="2D13F63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9.62 (3.01)</w:t>
            </w:r>
          </w:p>
        </w:tc>
        <w:tc>
          <w:tcPr>
            <w:tcW w:w="1159" w:type="dxa"/>
            <w:vAlign w:val="bottom"/>
          </w:tcPr>
          <w:p w14:paraId="4D92931C" w14:textId="22A58C3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9.62 (2.77)</w:t>
            </w:r>
          </w:p>
        </w:tc>
        <w:tc>
          <w:tcPr>
            <w:tcW w:w="856" w:type="dxa"/>
            <w:vAlign w:val="bottom"/>
          </w:tcPr>
          <w:p w14:paraId="0B2268F9" w14:textId="671A20C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0.079</w:t>
            </w:r>
          </w:p>
        </w:tc>
      </w:tr>
      <w:tr w:rsidR="00E36D7B" w:rsidRPr="00995CB0" w14:paraId="378F1F92" w14:textId="77777777" w:rsidTr="00E36D7B">
        <w:tc>
          <w:tcPr>
            <w:tcW w:w="1795" w:type="dxa"/>
            <w:vMerge w:val="restart"/>
            <w:vAlign w:val="center"/>
          </w:tcPr>
          <w:p w14:paraId="282BA3E2"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Inhibition-inhibition combined (</w:t>
            </w:r>
            <w:proofErr w:type="spellStart"/>
            <w:r w:rsidRPr="00995CB0">
              <w:rPr>
                <w:rFonts w:ascii="Times New Roman" w:hAnsi="Times New Roman" w:cs="Times New Roman"/>
                <w:color w:val="000000"/>
                <w:sz w:val="18"/>
                <w:szCs w:val="18"/>
              </w:rPr>
              <w:t>iic</w:t>
            </w:r>
            <w:proofErr w:type="spellEnd"/>
            <w:r w:rsidRPr="00995CB0">
              <w:rPr>
                <w:rFonts w:ascii="Times New Roman" w:hAnsi="Times New Roman" w:cs="Times New Roman"/>
                <w:color w:val="000000"/>
                <w:sz w:val="18"/>
                <w:szCs w:val="18"/>
              </w:rPr>
              <w:t>)</w:t>
            </w:r>
          </w:p>
        </w:tc>
        <w:tc>
          <w:tcPr>
            <w:tcW w:w="1373" w:type="dxa"/>
          </w:tcPr>
          <w:p w14:paraId="2D3AD77D"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4569ADB4" w14:textId="6347AD39"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220</w:t>
            </w:r>
          </w:p>
        </w:tc>
        <w:tc>
          <w:tcPr>
            <w:tcW w:w="1227" w:type="dxa"/>
            <w:vAlign w:val="bottom"/>
          </w:tcPr>
          <w:p w14:paraId="02399D53" w14:textId="13D5467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6.45 (3.57)</w:t>
            </w:r>
          </w:p>
        </w:tc>
        <w:tc>
          <w:tcPr>
            <w:tcW w:w="1159" w:type="dxa"/>
            <w:vAlign w:val="bottom"/>
          </w:tcPr>
          <w:p w14:paraId="77551ED7" w14:textId="382AD92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7.43 (2.79)</w:t>
            </w:r>
          </w:p>
        </w:tc>
        <w:tc>
          <w:tcPr>
            <w:tcW w:w="1227" w:type="dxa"/>
            <w:vAlign w:val="bottom"/>
          </w:tcPr>
          <w:p w14:paraId="178D05F6" w14:textId="4A1FE18F"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7.05 (3.05)</w:t>
            </w:r>
          </w:p>
        </w:tc>
        <w:tc>
          <w:tcPr>
            <w:tcW w:w="1159" w:type="dxa"/>
            <w:vAlign w:val="bottom"/>
          </w:tcPr>
          <w:p w14:paraId="182A6F7C" w14:textId="280E4DE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7.19 (2.93)</w:t>
            </w:r>
          </w:p>
        </w:tc>
        <w:tc>
          <w:tcPr>
            <w:tcW w:w="856" w:type="dxa"/>
            <w:vAlign w:val="bottom"/>
          </w:tcPr>
          <w:p w14:paraId="2F03959B" w14:textId="08C4333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0.013</w:t>
            </w:r>
            <w:r>
              <w:rPr>
                <w:rFonts w:ascii="Times New Roman" w:hAnsi="Times New Roman" w:cs="Times New Roman"/>
                <w:color w:val="000000"/>
                <w:sz w:val="18"/>
                <w:szCs w:val="18"/>
              </w:rPr>
              <w:t>*</w:t>
            </w:r>
          </w:p>
        </w:tc>
      </w:tr>
      <w:tr w:rsidR="00E36D7B" w:rsidRPr="00995CB0" w14:paraId="210E6FB8" w14:textId="77777777" w:rsidTr="00E36D7B">
        <w:tc>
          <w:tcPr>
            <w:tcW w:w="1795" w:type="dxa"/>
            <w:vMerge/>
            <w:vAlign w:val="center"/>
          </w:tcPr>
          <w:p w14:paraId="08BAE9BA"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05A53534"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2DF6BAF2" w14:textId="0E3FFC2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318</w:t>
            </w:r>
          </w:p>
        </w:tc>
        <w:tc>
          <w:tcPr>
            <w:tcW w:w="1227" w:type="dxa"/>
            <w:vAlign w:val="bottom"/>
          </w:tcPr>
          <w:p w14:paraId="6D6EB273" w14:textId="1EB97590"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5.82 (3.04)</w:t>
            </w:r>
          </w:p>
        </w:tc>
        <w:tc>
          <w:tcPr>
            <w:tcW w:w="1159" w:type="dxa"/>
            <w:vAlign w:val="bottom"/>
          </w:tcPr>
          <w:p w14:paraId="4AC0CC21" w14:textId="630CE03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6.65 (3.44)</w:t>
            </w:r>
          </w:p>
        </w:tc>
        <w:tc>
          <w:tcPr>
            <w:tcW w:w="1227" w:type="dxa"/>
            <w:vAlign w:val="bottom"/>
          </w:tcPr>
          <w:p w14:paraId="6163EC9F" w14:textId="7F3925B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6.64 (3.09)</w:t>
            </w:r>
          </w:p>
        </w:tc>
        <w:tc>
          <w:tcPr>
            <w:tcW w:w="1159" w:type="dxa"/>
            <w:vAlign w:val="bottom"/>
          </w:tcPr>
          <w:p w14:paraId="51797969" w14:textId="2AB0E3C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7.11 (3.19)</w:t>
            </w:r>
          </w:p>
        </w:tc>
        <w:tc>
          <w:tcPr>
            <w:tcW w:w="856" w:type="dxa"/>
            <w:vAlign w:val="bottom"/>
          </w:tcPr>
          <w:p w14:paraId="3C338F54" w14:textId="241BA61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0.044</w:t>
            </w:r>
            <w:r>
              <w:rPr>
                <w:rFonts w:ascii="Times New Roman" w:hAnsi="Times New Roman" w:cs="Times New Roman"/>
                <w:color w:val="000000"/>
                <w:sz w:val="18"/>
                <w:szCs w:val="18"/>
              </w:rPr>
              <w:t>*</w:t>
            </w:r>
          </w:p>
        </w:tc>
      </w:tr>
      <w:tr w:rsidR="00E36D7B" w:rsidRPr="00995CB0" w14:paraId="7E929992" w14:textId="77777777" w:rsidTr="00E36D7B">
        <w:tc>
          <w:tcPr>
            <w:tcW w:w="1795" w:type="dxa"/>
            <w:vMerge/>
            <w:vAlign w:val="center"/>
          </w:tcPr>
          <w:p w14:paraId="41E0B664"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64C1FE48"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0144F5D7" w14:textId="59EB99A9"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4D97D8E0" w14:textId="57EAB76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6.40 (2.86)</w:t>
            </w:r>
          </w:p>
        </w:tc>
        <w:tc>
          <w:tcPr>
            <w:tcW w:w="1159" w:type="dxa"/>
            <w:vAlign w:val="bottom"/>
          </w:tcPr>
          <w:p w14:paraId="5567E3D0" w14:textId="19FB253F"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6.32 (3.23)</w:t>
            </w:r>
          </w:p>
        </w:tc>
        <w:tc>
          <w:tcPr>
            <w:tcW w:w="1227" w:type="dxa"/>
            <w:vAlign w:val="bottom"/>
          </w:tcPr>
          <w:p w14:paraId="0D9B9116" w14:textId="279CFB59"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7.29 (3.28)</w:t>
            </w:r>
          </w:p>
        </w:tc>
        <w:tc>
          <w:tcPr>
            <w:tcW w:w="1159" w:type="dxa"/>
            <w:vAlign w:val="bottom"/>
          </w:tcPr>
          <w:p w14:paraId="2419A966" w14:textId="15FD0992"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7.05 (3.33)</w:t>
            </w:r>
          </w:p>
        </w:tc>
        <w:tc>
          <w:tcPr>
            <w:tcW w:w="856" w:type="dxa"/>
            <w:vAlign w:val="bottom"/>
          </w:tcPr>
          <w:p w14:paraId="07846E92" w14:textId="6654E7F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0.086</w:t>
            </w:r>
          </w:p>
        </w:tc>
      </w:tr>
      <w:tr w:rsidR="00E36D7B" w:rsidRPr="00995CB0" w14:paraId="4A709DE4" w14:textId="77777777" w:rsidTr="00E36D7B">
        <w:tc>
          <w:tcPr>
            <w:tcW w:w="1795" w:type="dxa"/>
            <w:vMerge w:val="restart"/>
            <w:vAlign w:val="center"/>
          </w:tcPr>
          <w:p w14:paraId="591A81A1"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Inhibition-naming combined (</w:t>
            </w:r>
            <w:proofErr w:type="spellStart"/>
            <w:r w:rsidRPr="00995CB0">
              <w:rPr>
                <w:rFonts w:ascii="Times New Roman" w:hAnsi="Times New Roman" w:cs="Times New Roman"/>
                <w:color w:val="000000"/>
                <w:sz w:val="18"/>
                <w:szCs w:val="18"/>
              </w:rPr>
              <w:t>inc</w:t>
            </w:r>
            <w:proofErr w:type="spellEnd"/>
            <w:r w:rsidRPr="00995CB0">
              <w:rPr>
                <w:rFonts w:ascii="Times New Roman" w:hAnsi="Times New Roman" w:cs="Times New Roman"/>
                <w:color w:val="000000"/>
                <w:sz w:val="18"/>
                <w:szCs w:val="18"/>
              </w:rPr>
              <w:t>)</w:t>
            </w:r>
          </w:p>
        </w:tc>
        <w:tc>
          <w:tcPr>
            <w:tcW w:w="1373" w:type="dxa"/>
          </w:tcPr>
          <w:p w14:paraId="68EBE69C"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3CFAE8CE" w14:textId="370247C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228</w:t>
            </w:r>
          </w:p>
        </w:tc>
        <w:tc>
          <w:tcPr>
            <w:tcW w:w="1227" w:type="dxa"/>
            <w:vAlign w:val="bottom"/>
          </w:tcPr>
          <w:p w14:paraId="00C20387" w14:textId="509E693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6.89 (3.49)</w:t>
            </w:r>
          </w:p>
        </w:tc>
        <w:tc>
          <w:tcPr>
            <w:tcW w:w="1159" w:type="dxa"/>
            <w:vAlign w:val="bottom"/>
          </w:tcPr>
          <w:p w14:paraId="2E0DF99B" w14:textId="45A7991D"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7.19 (3.85)</w:t>
            </w:r>
          </w:p>
        </w:tc>
        <w:tc>
          <w:tcPr>
            <w:tcW w:w="1227" w:type="dxa"/>
            <w:vAlign w:val="bottom"/>
          </w:tcPr>
          <w:p w14:paraId="692D858D" w14:textId="10330C7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7.25 (3.68)</w:t>
            </w:r>
          </w:p>
        </w:tc>
        <w:tc>
          <w:tcPr>
            <w:tcW w:w="1159" w:type="dxa"/>
            <w:vAlign w:val="bottom"/>
          </w:tcPr>
          <w:p w14:paraId="12695A30" w14:textId="7491CC32"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6.78 (3.74)</w:t>
            </w:r>
          </w:p>
        </w:tc>
        <w:tc>
          <w:tcPr>
            <w:tcW w:w="856" w:type="dxa"/>
            <w:vAlign w:val="bottom"/>
          </w:tcPr>
          <w:p w14:paraId="6EB5AB11" w14:textId="5941E64F"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0.973</w:t>
            </w:r>
          </w:p>
        </w:tc>
      </w:tr>
      <w:tr w:rsidR="00E36D7B" w:rsidRPr="00995CB0" w14:paraId="4D9FBB43" w14:textId="77777777" w:rsidTr="00E36D7B">
        <w:tc>
          <w:tcPr>
            <w:tcW w:w="1795" w:type="dxa"/>
            <w:vMerge/>
            <w:vAlign w:val="center"/>
          </w:tcPr>
          <w:p w14:paraId="5D661143"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2FB12496"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39D561E3" w14:textId="758B05D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318</w:t>
            </w:r>
          </w:p>
        </w:tc>
        <w:tc>
          <w:tcPr>
            <w:tcW w:w="1227" w:type="dxa"/>
            <w:vAlign w:val="bottom"/>
          </w:tcPr>
          <w:p w14:paraId="4A1921AC" w14:textId="724AA660"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5.91 (2.79)</w:t>
            </w:r>
          </w:p>
        </w:tc>
        <w:tc>
          <w:tcPr>
            <w:tcW w:w="1159" w:type="dxa"/>
            <w:vAlign w:val="bottom"/>
          </w:tcPr>
          <w:p w14:paraId="412DA604" w14:textId="37A5A09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6.27 (2.91)</w:t>
            </w:r>
          </w:p>
        </w:tc>
        <w:tc>
          <w:tcPr>
            <w:tcW w:w="1227" w:type="dxa"/>
            <w:vAlign w:val="bottom"/>
          </w:tcPr>
          <w:p w14:paraId="0F46BBD3" w14:textId="20A576D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6.29 (3.07)</w:t>
            </w:r>
          </w:p>
        </w:tc>
        <w:tc>
          <w:tcPr>
            <w:tcW w:w="1159" w:type="dxa"/>
            <w:vAlign w:val="bottom"/>
          </w:tcPr>
          <w:p w14:paraId="27A0555C" w14:textId="6ADF31C2"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6.54 (2.27)</w:t>
            </w:r>
          </w:p>
        </w:tc>
        <w:tc>
          <w:tcPr>
            <w:tcW w:w="856" w:type="dxa"/>
            <w:vAlign w:val="bottom"/>
          </w:tcPr>
          <w:p w14:paraId="4CF77DBE" w14:textId="75A01DE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0.274</w:t>
            </w:r>
          </w:p>
        </w:tc>
      </w:tr>
      <w:tr w:rsidR="00E36D7B" w:rsidRPr="00995CB0" w14:paraId="7B08E3DB" w14:textId="77777777" w:rsidTr="00E36D7B">
        <w:tc>
          <w:tcPr>
            <w:tcW w:w="1795" w:type="dxa"/>
            <w:vMerge/>
            <w:vAlign w:val="center"/>
          </w:tcPr>
          <w:p w14:paraId="03DFDFFF"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3EA0E745"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3DD50D4B" w14:textId="261B6BA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316BDE2C" w14:textId="2433286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6.33 (2.92)</w:t>
            </w:r>
          </w:p>
        </w:tc>
        <w:tc>
          <w:tcPr>
            <w:tcW w:w="1159" w:type="dxa"/>
            <w:vAlign w:val="bottom"/>
          </w:tcPr>
          <w:p w14:paraId="1237155B" w14:textId="4BEF3FB9"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6.18 (3.12)</w:t>
            </w:r>
          </w:p>
        </w:tc>
        <w:tc>
          <w:tcPr>
            <w:tcW w:w="1227" w:type="dxa"/>
            <w:vAlign w:val="bottom"/>
          </w:tcPr>
          <w:p w14:paraId="663AEF97" w14:textId="3E922C3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6.93 (2.99)</w:t>
            </w:r>
          </w:p>
        </w:tc>
        <w:tc>
          <w:tcPr>
            <w:tcW w:w="1159" w:type="dxa"/>
            <w:vAlign w:val="bottom"/>
          </w:tcPr>
          <w:p w14:paraId="7E066225" w14:textId="5825C07D"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6.47 (2.83)</w:t>
            </w:r>
          </w:p>
        </w:tc>
        <w:tc>
          <w:tcPr>
            <w:tcW w:w="856" w:type="dxa"/>
            <w:vAlign w:val="bottom"/>
          </w:tcPr>
          <w:p w14:paraId="55F03407" w14:textId="7AAF62C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0.824</w:t>
            </w:r>
          </w:p>
        </w:tc>
      </w:tr>
      <w:tr w:rsidR="00E36D7B" w:rsidRPr="00995CB0" w14:paraId="7D544202" w14:textId="77777777" w:rsidTr="00E36D7B">
        <w:tc>
          <w:tcPr>
            <w:tcW w:w="1795" w:type="dxa"/>
            <w:vMerge w:val="restart"/>
            <w:vAlign w:val="center"/>
          </w:tcPr>
          <w:p w14:paraId="1F1A374E"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Inhibition-switching combined (</w:t>
            </w:r>
            <w:proofErr w:type="spellStart"/>
            <w:r w:rsidRPr="00995CB0">
              <w:rPr>
                <w:rFonts w:ascii="Times New Roman" w:hAnsi="Times New Roman" w:cs="Times New Roman"/>
                <w:color w:val="000000"/>
                <w:sz w:val="18"/>
                <w:szCs w:val="18"/>
              </w:rPr>
              <w:t>isc</w:t>
            </w:r>
            <w:proofErr w:type="spellEnd"/>
            <w:r w:rsidRPr="00995CB0">
              <w:rPr>
                <w:rFonts w:ascii="Times New Roman" w:hAnsi="Times New Roman" w:cs="Times New Roman"/>
                <w:color w:val="000000"/>
                <w:sz w:val="18"/>
                <w:szCs w:val="18"/>
              </w:rPr>
              <w:t>)</w:t>
            </w:r>
          </w:p>
        </w:tc>
        <w:tc>
          <w:tcPr>
            <w:tcW w:w="1373" w:type="dxa"/>
          </w:tcPr>
          <w:p w14:paraId="4BC870CB"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639C0432" w14:textId="6A9C2100"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93</w:t>
            </w:r>
          </w:p>
        </w:tc>
        <w:tc>
          <w:tcPr>
            <w:tcW w:w="1227" w:type="dxa"/>
            <w:vAlign w:val="bottom"/>
          </w:tcPr>
          <w:p w14:paraId="7359D3F1" w14:textId="725C411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6.86 (2.21)</w:t>
            </w:r>
          </w:p>
        </w:tc>
        <w:tc>
          <w:tcPr>
            <w:tcW w:w="1159" w:type="dxa"/>
            <w:vAlign w:val="bottom"/>
          </w:tcPr>
          <w:p w14:paraId="5824C653" w14:textId="5CB22981"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6.00 (2.00)</w:t>
            </w:r>
          </w:p>
        </w:tc>
        <w:tc>
          <w:tcPr>
            <w:tcW w:w="1227" w:type="dxa"/>
            <w:vAlign w:val="bottom"/>
          </w:tcPr>
          <w:p w14:paraId="15D94F12" w14:textId="2494496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7.74 (3.15)</w:t>
            </w:r>
          </w:p>
        </w:tc>
        <w:tc>
          <w:tcPr>
            <w:tcW w:w="1159" w:type="dxa"/>
            <w:vAlign w:val="bottom"/>
          </w:tcPr>
          <w:p w14:paraId="4CBB351D" w14:textId="49923BB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7.50 (2.43)</w:t>
            </w:r>
          </w:p>
        </w:tc>
        <w:tc>
          <w:tcPr>
            <w:tcW w:w="856" w:type="dxa"/>
            <w:vAlign w:val="bottom"/>
          </w:tcPr>
          <w:p w14:paraId="44F16FA1" w14:textId="1D44E561"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0.185</w:t>
            </w:r>
          </w:p>
        </w:tc>
      </w:tr>
      <w:tr w:rsidR="00E36D7B" w:rsidRPr="00995CB0" w14:paraId="06815198" w14:textId="77777777" w:rsidTr="00E36D7B">
        <w:tc>
          <w:tcPr>
            <w:tcW w:w="1795" w:type="dxa"/>
            <w:vMerge/>
            <w:vAlign w:val="center"/>
          </w:tcPr>
          <w:p w14:paraId="247554B8"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443FD269"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5F77EF7E" w14:textId="34BB990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318</w:t>
            </w:r>
          </w:p>
        </w:tc>
        <w:tc>
          <w:tcPr>
            <w:tcW w:w="1227" w:type="dxa"/>
            <w:vAlign w:val="bottom"/>
          </w:tcPr>
          <w:p w14:paraId="172B9D73" w14:textId="01D3374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6.78 (2.78)</w:t>
            </w:r>
          </w:p>
        </w:tc>
        <w:tc>
          <w:tcPr>
            <w:tcW w:w="1159" w:type="dxa"/>
            <w:vAlign w:val="bottom"/>
          </w:tcPr>
          <w:p w14:paraId="7F441519" w14:textId="68B520D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7.54 (2.69)</w:t>
            </w:r>
          </w:p>
        </w:tc>
        <w:tc>
          <w:tcPr>
            <w:tcW w:w="1227" w:type="dxa"/>
            <w:vAlign w:val="bottom"/>
          </w:tcPr>
          <w:p w14:paraId="71EA557E" w14:textId="6911C4B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7.51 (2.88)</w:t>
            </w:r>
          </w:p>
        </w:tc>
        <w:tc>
          <w:tcPr>
            <w:tcW w:w="1159" w:type="dxa"/>
            <w:vAlign w:val="bottom"/>
          </w:tcPr>
          <w:p w14:paraId="45DEB4E4" w14:textId="3BD684F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8.28 (2.42)</w:t>
            </w:r>
          </w:p>
        </w:tc>
        <w:tc>
          <w:tcPr>
            <w:tcW w:w="856" w:type="dxa"/>
            <w:vAlign w:val="bottom"/>
          </w:tcPr>
          <w:p w14:paraId="0BCE5AE2" w14:textId="5C7EC4E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0.02</w:t>
            </w:r>
            <w:r>
              <w:rPr>
                <w:rFonts w:ascii="Times New Roman" w:hAnsi="Times New Roman" w:cs="Times New Roman"/>
                <w:color w:val="000000"/>
                <w:sz w:val="18"/>
                <w:szCs w:val="18"/>
              </w:rPr>
              <w:t>0*</w:t>
            </w:r>
          </w:p>
        </w:tc>
      </w:tr>
      <w:tr w:rsidR="00E36D7B" w:rsidRPr="00995CB0" w14:paraId="64883F94" w14:textId="77777777" w:rsidTr="00E36D7B">
        <w:tc>
          <w:tcPr>
            <w:tcW w:w="1795" w:type="dxa"/>
            <w:vMerge/>
            <w:vAlign w:val="center"/>
          </w:tcPr>
          <w:p w14:paraId="2A23DE41"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3D1239A2"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7F39C368" w14:textId="6A2C8EAD"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660A5887" w14:textId="729CE21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7.15 (2.65)</w:t>
            </w:r>
          </w:p>
        </w:tc>
        <w:tc>
          <w:tcPr>
            <w:tcW w:w="1159" w:type="dxa"/>
            <w:vAlign w:val="bottom"/>
          </w:tcPr>
          <w:p w14:paraId="35F314AD" w14:textId="74DAA862"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7.35 (3.24)</w:t>
            </w:r>
          </w:p>
        </w:tc>
        <w:tc>
          <w:tcPr>
            <w:tcW w:w="1227" w:type="dxa"/>
            <w:vAlign w:val="bottom"/>
          </w:tcPr>
          <w:p w14:paraId="496CFE53" w14:textId="138BA6C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7.47 (3.14)</w:t>
            </w:r>
          </w:p>
        </w:tc>
        <w:tc>
          <w:tcPr>
            <w:tcW w:w="1159" w:type="dxa"/>
            <w:vAlign w:val="bottom"/>
          </w:tcPr>
          <w:p w14:paraId="756588F2" w14:textId="360FA7D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7.89 (3.59)</w:t>
            </w:r>
          </w:p>
        </w:tc>
        <w:tc>
          <w:tcPr>
            <w:tcW w:w="856" w:type="dxa"/>
            <w:vAlign w:val="bottom"/>
          </w:tcPr>
          <w:p w14:paraId="5343A11A" w14:textId="44B1215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0.818</w:t>
            </w:r>
          </w:p>
        </w:tc>
      </w:tr>
      <w:tr w:rsidR="00E36D7B" w:rsidRPr="00995CB0" w14:paraId="4F5FAB21" w14:textId="77777777" w:rsidTr="00E36D7B">
        <w:tc>
          <w:tcPr>
            <w:tcW w:w="1795" w:type="dxa"/>
            <w:vMerge w:val="restart"/>
            <w:vAlign w:val="center"/>
          </w:tcPr>
          <w:p w14:paraId="59FC0880"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Comprehension of instructions total score (</w:t>
            </w:r>
            <w:proofErr w:type="spellStart"/>
            <w:r w:rsidRPr="00995CB0">
              <w:rPr>
                <w:rFonts w:ascii="Times New Roman" w:hAnsi="Times New Roman" w:cs="Times New Roman"/>
                <w:color w:val="000000"/>
                <w:sz w:val="18"/>
                <w:szCs w:val="18"/>
              </w:rPr>
              <w:t>cits</w:t>
            </w:r>
            <w:proofErr w:type="spellEnd"/>
            <w:r w:rsidRPr="00995CB0">
              <w:rPr>
                <w:rFonts w:ascii="Times New Roman" w:hAnsi="Times New Roman" w:cs="Times New Roman"/>
                <w:color w:val="000000"/>
                <w:sz w:val="18"/>
                <w:szCs w:val="18"/>
              </w:rPr>
              <w:t>)</w:t>
            </w:r>
          </w:p>
        </w:tc>
        <w:tc>
          <w:tcPr>
            <w:tcW w:w="1373" w:type="dxa"/>
          </w:tcPr>
          <w:p w14:paraId="34DEFA61"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693839F2" w14:textId="0C1A9CB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289</w:t>
            </w:r>
          </w:p>
        </w:tc>
        <w:tc>
          <w:tcPr>
            <w:tcW w:w="1227" w:type="dxa"/>
            <w:vAlign w:val="bottom"/>
          </w:tcPr>
          <w:p w14:paraId="2D13E988" w14:textId="16C31ED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6.92 (3.37)</w:t>
            </w:r>
          </w:p>
        </w:tc>
        <w:tc>
          <w:tcPr>
            <w:tcW w:w="1159" w:type="dxa"/>
            <w:vAlign w:val="bottom"/>
          </w:tcPr>
          <w:p w14:paraId="6FF2E078" w14:textId="120BB51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7.22 (2.63)</w:t>
            </w:r>
          </w:p>
        </w:tc>
        <w:tc>
          <w:tcPr>
            <w:tcW w:w="1227" w:type="dxa"/>
            <w:vAlign w:val="bottom"/>
          </w:tcPr>
          <w:p w14:paraId="539A422B" w14:textId="4A55DFC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6.93 (2.55)</w:t>
            </w:r>
          </w:p>
        </w:tc>
        <w:tc>
          <w:tcPr>
            <w:tcW w:w="1159" w:type="dxa"/>
            <w:vAlign w:val="bottom"/>
          </w:tcPr>
          <w:p w14:paraId="5FE95F15" w14:textId="06CA1AF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8.21 (2.95)</w:t>
            </w:r>
          </w:p>
        </w:tc>
        <w:tc>
          <w:tcPr>
            <w:tcW w:w="856" w:type="dxa"/>
            <w:vAlign w:val="bottom"/>
          </w:tcPr>
          <w:p w14:paraId="16F1A550" w14:textId="06544542"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0.003</w:t>
            </w:r>
            <w:r>
              <w:rPr>
                <w:rFonts w:ascii="Times New Roman" w:hAnsi="Times New Roman" w:cs="Times New Roman"/>
                <w:color w:val="000000"/>
                <w:sz w:val="18"/>
                <w:szCs w:val="18"/>
              </w:rPr>
              <w:t>*</w:t>
            </w:r>
          </w:p>
        </w:tc>
      </w:tr>
      <w:tr w:rsidR="00E36D7B" w:rsidRPr="00995CB0" w14:paraId="780E61E8" w14:textId="77777777" w:rsidTr="00E36D7B">
        <w:tc>
          <w:tcPr>
            <w:tcW w:w="1795" w:type="dxa"/>
            <w:vMerge/>
            <w:vAlign w:val="center"/>
          </w:tcPr>
          <w:p w14:paraId="2434EC41"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1D58363C"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5C254D40" w14:textId="3835E7F1"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NA</w:t>
            </w:r>
          </w:p>
        </w:tc>
        <w:tc>
          <w:tcPr>
            <w:tcW w:w="1227" w:type="dxa"/>
            <w:vAlign w:val="bottom"/>
          </w:tcPr>
          <w:p w14:paraId="1E116599" w14:textId="1074F1BF" w:rsidR="00E36D7B" w:rsidRPr="00E36D7B" w:rsidRDefault="00E36D7B" w:rsidP="00E36D7B">
            <w:pPr>
              <w:rPr>
                <w:rFonts w:ascii="Times New Roman" w:hAnsi="Times New Roman" w:cs="Times New Roman"/>
                <w:color w:val="000000"/>
                <w:sz w:val="18"/>
                <w:szCs w:val="18"/>
              </w:rPr>
            </w:pPr>
          </w:p>
        </w:tc>
        <w:tc>
          <w:tcPr>
            <w:tcW w:w="1159" w:type="dxa"/>
            <w:vAlign w:val="bottom"/>
          </w:tcPr>
          <w:p w14:paraId="1C734DCA" w14:textId="3AC951C9" w:rsidR="00E36D7B" w:rsidRPr="00E36D7B" w:rsidRDefault="00E36D7B" w:rsidP="00E36D7B">
            <w:pPr>
              <w:rPr>
                <w:rFonts w:ascii="Times New Roman" w:hAnsi="Times New Roman" w:cs="Times New Roman"/>
                <w:color w:val="000000"/>
                <w:sz w:val="18"/>
                <w:szCs w:val="18"/>
              </w:rPr>
            </w:pPr>
          </w:p>
        </w:tc>
        <w:tc>
          <w:tcPr>
            <w:tcW w:w="1227" w:type="dxa"/>
            <w:vAlign w:val="bottom"/>
          </w:tcPr>
          <w:p w14:paraId="0E7C027F" w14:textId="328C9B0B" w:rsidR="00E36D7B" w:rsidRPr="00E36D7B" w:rsidRDefault="00E36D7B" w:rsidP="00E36D7B">
            <w:pPr>
              <w:rPr>
                <w:rFonts w:ascii="Times New Roman" w:hAnsi="Times New Roman" w:cs="Times New Roman"/>
                <w:color w:val="000000"/>
                <w:sz w:val="18"/>
                <w:szCs w:val="18"/>
              </w:rPr>
            </w:pPr>
          </w:p>
        </w:tc>
        <w:tc>
          <w:tcPr>
            <w:tcW w:w="1159" w:type="dxa"/>
            <w:vAlign w:val="bottom"/>
          </w:tcPr>
          <w:p w14:paraId="467879E2" w14:textId="7A50B54B" w:rsidR="00E36D7B" w:rsidRPr="00E36D7B" w:rsidRDefault="00E36D7B" w:rsidP="00E36D7B">
            <w:pPr>
              <w:rPr>
                <w:rFonts w:ascii="Times New Roman" w:hAnsi="Times New Roman" w:cs="Times New Roman"/>
                <w:color w:val="000000"/>
                <w:sz w:val="18"/>
                <w:szCs w:val="18"/>
              </w:rPr>
            </w:pPr>
          </w:p>
        </w:tc>
        <w:tc>
          <w:tcPr>
            <w:tcW w:w="856" w:type="dxa"/>
            <w:vAlign w:val="bottom"/>
          </w:tcPr>
          <w:p w14:paraId="16E8B257" w14:textId="7895C7C4" w:rsidR="00E36D7B" w:rsidRPr="00E36D7B" w:rsidRDefault="00E36D7B" w:rsidP="00E36D7B">
            <w:pPr>
              <w:rPr>
                <w:rFonts w:ascii="Times New Roman" w:hAnsi="Times New Roman" w:cs="Times New Roman"/>
                <w:color w:val="000000"/>
                <w:sz w:val="18"/>
                <w:szCs w:val="18"/>
              </w:rPr>
            </w:pPr>
          </w:p>
        </w:tc>
      </w:tr>
      <w:tr w:rsidR="00E36D7B" w:rsidRPr="00995CB0" w14:paraId="5E074383" w14:textId="77777777" w:rsidTr="00E36D7B">
        <w:tc>
          <w:tcPr>
            <w:tcW w:w="1795" w:type="dxa"/>
            <w:vMerge/>
            <w:vAlign w:val="center"/>
          </w:tcPr>
          <w:p w14:paraId="5ACF0B39"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53EE72FB"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7DBDE8E3" w14:textId="1B243F90"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799C4745" w14:textId="212CAD0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6.53 (2.64)</w:t>
            </w:r>
          </w:p>
        </w:tc>
        <w:tc>
          <w:tcPr>
            <w:tcW w:w="1159" w:type="dxa"/>
            <w:vAlign w:val="bottom"/>
          </w:tcPr>
          <w:p w14:paraId="7B67172D" w14:textId="1A16046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6.19 (2.74)</w:t>
            </w:r>
          </w:p>
        </w:tc>
        <w:tc>
          <w:tcPr>
            <w:tcW w:w="1227" w:type="dxa"/>
            <w:vAlign w:val="bottom"/>
          </w:tcPr>
          <w:p w14:paraId="3CF115F4" w14:textId="5FFD384F"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6.32 (2.53)</w:t>
            </w:r>
          </w:p>
        </w:tc>
        <w:tc>
          <w:tcPr>
            <w:tcW w:w="1159" w:type="dxa"/>
            <w:vAlign w:val="bottom"/>
          </w:tcPr>
          <w:p w14:paraId="07E40E2E" w14:textId="398CD7D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6.32 (2.28)</w:t>
            </w:r>
          </w:p>
        </w:tc>
        <w:tc>
          <w:tcPr>
            <w:tcW w:w="856" w:type="dxa"/>
            <w:vAlign w:val="bottom"/>
          </w:tcPr>
          <w:p w14:paraId="5300BAB3" w14:textId="282D718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0.504</w:t>
            </w:r>
          </w:p>
        </w:tc>
      </w:tr>
      <w:tr w:rsidR="00E36D7B" w:rsidRPr="00995CB0" w14:paraId="6D0DE26F" w14:textId="77777777" w:rsidTr="00E36D7B">
        <w:tc>
          <w:tcPr>
            <w:tcW w:w="1795" w:type="dxa"/>
            <w:vMerge w:val="restart"/>
            <w:vAlign w:val="center"/>
          </w:tcPr>
          <w:p w14:paraId="57B5D44D" w14:textId="77777777" w:rsidR="00E36D7B" w:rsidRPr="00995CB0" w:rsidRDefault="00E36D7B" w:rsidP="00E36D7B">
            <w:pPr>
              <w:jc w:val="center"/>
              <w:rPr>
                <w:rFonts w:ascii="Times New Roman" w:hAnsi="Times New Roman" w:cs="Times New Roman"/>
                <w:color w:val="000000"/>
                <w:sz w:val="18"/>
                <w:szCs w:val="18"/>
              </w:rPr>
            </w:pPr>
            <w:proofErr w:type="gramStart"/>
            <w:r w:rsidRPr="00995CB0">
              <w:rPr>
                <w:rFonts w:ascii="Times New Roman" w:hAnsi="Times New Roman" w:cs="Times New Roman"/>
                <w:color w:val="000000"/>
                <w:sz w:val="18"/>
                <w:szCs w:val="18"/>
              </w:rPr>
              <w:t>Speeded</w:t>
            </w:r>
            <w:proofErr w:type="gramEnd"/>
            <w:r w:rsidRPr="00995CB0">
              <w:rPr>
                <w:rFonts w:ascii="Times New Roman" w:hAnsi="Times New Roman" w:cs="Times New Roman"/>
                <w:color w:val="000000"/>
                <w:sz w:val="18"/>
                <w:szCs w:val="18"/>
              </w:rPr>
              <w:t xml:space="preserve"> naming combined (</w:t>
            </w:r>
            <w:proofErr w:type="spellStart"/>
            <w:r w:rsidRPr="00995CB0">
              <w:rPr>
                <w:rFonts w:ascii="Times New Roman" w:hAnsi="Times New Roman" w:cs="Times New Roman"/>
                <w:color w:val="000000"/>
                <w:sz w:val="18"/>
                <w:szCs w:val="18"/>
              </w:rPr>
              <w:t>snc</w:t>
            </w:r>
            <w:proofErr w:type="spellEnd"/>
            <w:r w:rsidRPr="00995CB0">
              <w:rPr>
                <w:rFonts w:ascii="Times New Roman" w:hAnsi="Times New Roman" w:cs="Times New Roman"/>
                <w:color w:val="000000"/>
                <w:sz w:val="18"/>
                <w:szCs w:val="18"/>
              </w:rPr>
              <w:t>)</w:t>
            </w:r>
          </w:p>
        </w:tc>
        <w:tc>
          <w:tcPr>
            <w:tcW w:w="1373" w:type="dxa"/>
          </w:tcPr>
          <w:p w14:paraId="759E7466"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5AE45282" w14:textId="3E190AE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229</w:t>
            </w:r>
          </w:p>
        </w:tc>
        <w:tc>
          <w:tcPr>
            <w:tcW w:w="1227" w:type="dxa"/>
            <w:vAlign w:val="bottom"/>
          </w:tcPr>
          <w:p w14:paraId="043E1CF9" w14:textId="58FB212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5.93 (3.16)</w:t>
            </w:r>
          </w:p>
        </w:tc>
        <w:tc>
          <w:tcPr>
            <w:tcW w:w="1159" w:type="dxa"/>
            <w:vAlign w:val="bottom"/>
          </w:tcPr>
          <w:p w14:paraId="5DEA2478" w14:textId="0AF8A7C0"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5.88 (2.77)</w:t>
            </w:r>
          </w:p>
        </w:tc>
        <w:tc>
          <w:tcPr>
            <w:tcW w:w="1227" w:type="dxa"/>
            <w:vAlign w:val="bottom"/>
          </w:tcPr>
          <w:p w14:paraId="7A85E948" w14:textId="6D3D78B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5.46 (3.01)</w:t>
            </w:r>
          </w:p>
        </w:tc>
        <w:tc>
          <w:tcPr>
            <w:tcW w:w="1159" w:type="dxa"/>
            <w:vAlign w:val="bottom"/>
          </w:tcPr>
          <w:p w14:paraId="7E535940" w14:textId="44D9FE3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6.70 (3.22)</w:t>
            </w:r>
          </w:p>
        </w:tc>
        <w:tc>
          <w:tcPr>
            <w:tcW w:w="856" w:type="dxa"/>
            <w:vAlign w:val="bottom"/>
          </w:tcPr>
          <w:p w14:paraId="5E93F43E" w14:textId="33EE8DE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0.943</w:t>
            </w:r>
          </w:p>
        </w:tc>
      </w:tr>
      <w:tr w:rsidR="00E36D7B" w:rsidRPr="00995CB0" w14:paraId="0878B161" w14:textId="77777777" w:rsidTr="00E36D7B">
        <w:tc>
          <w:tcPr>
            <w:tcW w:w="1795" w:type="dxa"/>
            <w:vMerge/>
            <w:vAlign w:val="center"/>
          </w:tcPr>
          <w:p w14:paraId="48B4BC74"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58AE78FE"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386493B9" w14:textId="0F83006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NA</w:t>
            </w:r>
          </w:p>
        </w:tc>
        <w:tc>
          <w:tcPr>
            <w:tcW w:w="1227" w:type="dxa"/>
            <w:vAlign w:val="bottom"/>
          </w:tcPr>
          <w:p w14:paraId="0583E5D2" w14:textId="14D53148" w:rsidR="00E36D7B" w:rsidRPr="00E36D7B" w:rsidRDefault="00E36D7B" w:rsidP="00E36D7B">
            <w:pPr>
              <w:rPr>
                <w:rFonts w:ascii="Times New Roman" w:hAnsi="Times New Roman" w:cs="Times New Roman"/>
                <w:color w:val="000000"/>
                <w:sz w:val="18"/>
                <w:szCs w:val="18"/>
              </w:rPr>
            </w:pPr>
          </w:p>
        </w:tc>
        <w:tc>
          <w:tcPr>
            <w:tcW w:w="1159" w:type="dxa"/>
            <w:vAlign w:val="bottom"/>
          </w:tcPr>
          <w:p w14:paraId="301452F3" w14:textId="4A7BFAE8" w:rsidR="00E36D7B" w:rsidRPr="00E36D7B" w:rsidRDefault="00E36D7B" w:rsidP="00E36D7B">
            <w:pPr>
              <w:rPr>
                <w:rFonts w:ascii="Times New Roman" w:hAnsi="Times New Roman" w:cs="Times New Roman"/>
                <w:color w:val="000000"/>
                <w:sz w:val="18"/>
                <w:szCs w:val="18"/>
              </w:rPr>
            </w:pPr>
          </w:p>
        </w:tc>
        <w:tc>
          <w:tcPr>
            <w:tcW w:w="1227" w:type="dxa"/>
            <w:vAlign w:val="bottom"/>
          </w:tcPr>
          <w:p w14:paraId="16BF0DD2" w14:textId="068CD36C" w:rsidR="00E36D7B" w:rsidRPr="00E36D7B" w:rsidRDefault="00E36D7B" w:rsidP="00E36D7B">
            <w:pPr>
              <w:rPr>
                <w:rFonts w:ascii="Times New Roman" w:hAnsi="Times New Roman" w:cs="Times New Roman"/>
                <w:color w:val="000000"/>
                <w:sz w:val="18"/>
                <w:szCs w:val="18"/>
              </w:rPr>
            </w:pPr>
          </w:p>
        </w:tc>
        <w:tc>
          <w:tcPr>
            <w:tcW w:w="1159" w:type="dxa"/>
            <w:vAlign w:val="bottom"/>
          </w:tcPr>
          <w:p w14:paraId="3A81E717" w14:textId="5968E94B" w:rsidR="00E36D7B" w:rsidRPr="00E36D7B" w:rsidRDefault="00E36D7B" w:rsidP="00E36D7B">
            <w:pPr>
              <w:rPr>
                <w:rFonts w:ascii="Times New Roman" w:hAnsi="Times New Roman" w:cs="Times New Roman"/>
                <w:color w:val="000000"/>
                <w:sz w:val="18"/>
                <w:szCs w:val="18"/>
              </w:rPr>
            </w:pPr>
          </w:p>
        </w:tc>
        <w:tc>
          <w:tcPr>
            <w:tcW w:w="856" w:type="dxa"/>
            <w:vAlign w:val="bottom"/>
          </w:tcPr>
          <w:p w14:paraId="248B20DE" w14:textId="2D5A049A" w:rsidR="00E36D7B" w:rsidRPr="00E36D7B" w:rsidRDefault="00E36D7B" w:rsidP="00E36D7B">
            <w:pPr>
              <w:rPr>
                <w:rFonts w:ascii="Times New Roman" w:hAnsi="Times New Roman" w:cs="Times New Roman"/>
                <w:color w:val="000000"/>
                <w:sz w:val="18"/>
                <w:szCs w:val="18"/>
              </w:rPr>
            </w:pPr>
          </w:p>
        </w:tc>
      </w:tr>
      <w:tr w:rsidR="00E36D7B" w:rsidRPr="00995CB0" w14:paraId="610BC883" w14:textId="77777777" w:rsidTr="00E36D7B">
        <w:tc>
          <w:tcPr>
            <w:tcW w:w="1795" w:type="dxa"/>
            <w:vMerge/>
            <w:vAlign w:val="center"/>
          </w:tcPr>
          <w:p w14:paraId="193989B7"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4F650327"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7136C88E" w14:textId="3F3CD39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5DB8E42C" w14:textId="3E3B246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7.92 (3.03)</w:t>
            </w:r>
          </w:p>
        </w:tc>
        <w:tc>
          <w:tcPr>
            <w:tcW w:w="1159" w:type="dxa"/>
            <w:vAlign w:val="bottom"/>
          </w:tcPr>
          <w:p w14:paraId="19165E1A" w14:textId="304F7C5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7.45 (3.01)</w:t>
            </w:r>
          </w:p>
        </w:tc>
        <w:tc>
          <w:tcPr>
            <w:tcW w:w="1227" w:type="dxa"/>
            <w:vAlign w:val="bottom"/>
          </w:tcPr>
          <w:p w14:paraId="0A24D76D" w14:textId="661B7FE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8.30 (2.87)</w:t>
            </w:r>
          </w:p>
        </w:tc>
        <w:tc>
          <w:tcPr>
            <w:tcW w:w="1159" w:type="dxa"/>
            <w:vAlign w:val="bottom"/>
          </w:tcPr>
          <w:p w14:paraId="42692B1E" w14:textId="5D2A8B1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7.31 (2.44)</w:t>
            </w:r>
          </w:p>
        </w:tc>
        <w:tc>
          <w:tcPr>
            <w:tcW w:w="856" w:type="dxa"/>
            <w:vAlign w:val="bottom"/>
          </w:tcPr>
          <w:p w14:paraId="57A7F26B" w14:textId="083DD87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0.109</w:t>
            </w:r>
          </w:p>
        </w:tc>
      </w:tr>
      <w:tr w:rsidR="00E36D7B" w:rsidRPr="00995CB0" w14:paraId="1B4B764B" w14:textId="77777777" w:rsidTr="00E36D7B">
        <w:tc>
          <w:tcPr>
            <w:tcW w:w="1795" w:type="dxa"/>
            <w:vMerge w:val="restart"/>
            <w:vAlign w:val="center"/>
          </w:tcPr>
          <w:p w14:paraId="1C183B09"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Memory for faces total score (</w:t>
            </w:r>
            <w:proofErr w:type="spellStart"/>
            <w:r w:rsidRPr="00995CB0">
              <w:rPr>
                <w:rFonts w:ascii="Times New Roman" w:hAnsi="Times New Roman" w:cs="Times New Roman"/>
                <w:color w:val="000000"/>
                <w:sz w:val="18"/>
                <w:szCs w:val="18"/>
              </w:rPr>
              <w:t>mffts</w:t>
            </w:r>
            <w:proofErr w:type="spellEnd"/>
            <w:r w:rsidRPr="00995CB0">
              <w:rPr>
                <w:rFonts w:ascii="Times New Roman" w:hAnsi="Times New Roman" w:cs="Times New Roman"/>
                <w:color w:val="000000"/>
                <w:sz w:val="18"/>
                <w:szCs w:val="18"/>
              </w:rPr>
              <w:t>)</w:t>
            </w:r>
          </w:p>
        </w:tc>
        <w:tc>
          <w:tcPr>
            <w:tcW w:w="1373" w:type="dxa"/>
          </w:tcPr>
          <w:p w14:paraId="689D7BE5"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7CA6DFCC" w14:textId="5598C31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235</w:t>
            </w:r>
          </w:p>
        </w:tc>
        <w:tc>
          <w:tcPr>
            <w:tcW w:w="1227" w:type="dxa"/>
            <w:vAlign w:val="bottom"/>
          </w:tcPr>
          <w:p w14:paraId="28E48C9F" w14:textId="5BFDF87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7.63 (3.27)</w:t>
            </w:r>
          </w:p>
        </w:tc>
        <w:tc>
          <w:tcPr>
            <w:tcW w:w="1159" w:type="dxa"/>
            <w:vAlign w:val="bottom"/>
          </w:tcPr>
          <w:p w14:paraId="62F37ECF" w14:textId="450DD67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7.47 (2.64)</w:t>
            </w:r>
          </w:p>
        </w:tc>
        <w:tc>
          <w:tcPr>
            <w:tcW w:w="1227" w:type="dxa"/>
            <w:vAlign w:val="bottom"/>
          </w:tcPr>
          <w:p w14:paraId="3254BD3E" w14:textId="0AD0A39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7.18 (2.95)</w:t>
            </w:r>
          </w:p>
        </w:tc>
        <w:tc>
          <w:tcPr>
            <w:tcW w:w="1159" w:type="dxa"/>
            <w:vAlign w:val="bottom"/>
          </w:tcPr>
          <w:p w14:paraId="77ECB888" w14:textId="687FD5E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7.71 (2.38)</w:t>
            </w:r>
          </w:p>
        </w:tc>
        <w:tc>
          <w:tcPr>
            <w:tcW w:w="856" w:type="dxa"/>
            <w:vAlign w:val="bottom"/>
          </w:tcPr>
          <w:p w14:paraId="4F701E69" w14:textId="670647A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0.517</w:t>
            </w:r>
          </w:p>
        </w:tc>
      </w:tr>
      <w:tr w:rsidR="00E36D7B" w:rsidRPr="00995CB0" w14:paraId="21C36B13" w14:textId="77777777" w:rsidTr="00E36D7B">
        <w:tc>
          <w:tcPr>
            <w:tcW w:w="1795" w:type="dxa"/>
            <w:vMerge/>
            <w:vAlign w:val="center"/>
          </w:tcPr>
          <w:p w14:paraId="3905CE0C"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2EBE820B"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5D8FB81C" w14:textId="16E5C71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NA</w:t>
            </w:r>
          </w:p>
        </w:tc>
        <w:tc>
          <w:tcPr>
            <w:tcW w:w="1227" w:type="dxa"/>
            <w:vAlign w:val="bottom"/>
          </w:tcPr>
          <w:p w14:paraId="6D96FB63" w14:textId="4B74FB86" w:rsidR="00E36D7B" w:rsidRPr="00E36D7B" w:rsidRDefault="00E36D7B" w:rsidP="00E36D7B">
            <w:pPr>
              <w:rPr>
                <w:rFonts w:ascii="Times New Roman" w:hAnsi="Times New Roman" w:cs="Times New Roman"/>
                <w:color w:val="000000"/>
                <w:sz w:val="18"/>
                <w:szCs w:val="18"/>
              </w:rPr>
            </w:pPr>
          </w:p>
        </w:tc>
        <w:tc>
          <w:tcPr>
            <w:tcW w:w="1159" w:type="dxa"/>
            <w:vAlign w:val="bottom"/>
          </w:tcPr>
          <w:p w14:paraId="5436F069" w14:textId="7A4D95C7" w:rsidR="00E36D7B" w:rsidRPr="00E36D7B" w:rsidRDefault="00E36D7B" w:rsidP="00E36D7B">
            <w:pPr>
              <w:rPr>
                <w:rFonts w:ascii="Times New Roman" w:hAnsi="Times New Roman" w:cs="Times New Roman"/>
                <w:color w:val="000000"/>
                <w:sz w:val="18"/>
                <w:szCs w:val="18"/>
              </w:rPr>
            </w:pPr>
          </w:p>
        </w:tc>
        <w:tc>
          <w:tcPr>
            <w:tcW w:w="1227" w:type="dxa"/>
            <w:vAlign w:val="bottom"/>
          </w:tcPr>
          <w:p w14:paraId="5AB1D844" w14:textId="3525E71A" w:rsidR="00E36D7B" w:rsidRPr="00E36D7B" w:rsidRDefault="00E36D7B" w:rsidP="00E36D7B">
            <w:pPr>
              <w:rPr>
                <w:rFonts w:ascii="Times New Roman" w:hAnsi="Times New Roman" w:cs="Times New Roman"/>
                <w:color w:val="000000"/>
                <w:sz w:val="18"/>
                <w:szCs w:val="18"/>
              </w:rPr>
            </w:pPr>
          </w:p>
        </w:tc>
        <w:tc>
          <w:tcPr>
            <w:tcW w:w="1159" w:type="dxa"/>
            <w:vAlign w:val="bottom"/>
          </w:tcPr>
          <w:p w14:paraId="73C286A9" w14:textId="1BE89D31" w:rsidR="00E36D7B" w:rsidRPr="00E36D7B" w:rsidRDefault="00E36D7B" w:rsidP="00E36D7B">
            <w:pPr>
              <w:rPr>
                <w:rFonts w:ascii="Times New Roman" w:hAnsi="Times New Roman" w:cs="Times New Roman"/>
                <w:color w:val="000000"/>
                <w:sz w:val="18"/>
                <w:szCs w:val="18"/>
              </w:rPr>
            </w:pPr>
          </w:p>
        </w:tc>
        <w:tc>
          <w:tcPr>
            <w:tcW w:w="856" w:type="dxa"/>
            <w:vAlign w:val="bottom"/>
          </w:tcPr>
          <w:p w14:paraId="08B4F90F" w14:textId="422493FC" w:rsidR="00E36D7B" w:rsidRPr="00E36D7B" w:rsidRDefault="00E36D7B" w:rsidP="00E36D7B">
            <w:pPr>
              <w:rPr>
                <w:rFonts w:ascii="Times New Roman" w:hAnsi="Times New Roman" w:cs="Times New Roman"/>
                <w:color w:val="000000"/>
                <w:sz w:val="18"/>
                <w:szCs w:val="18"/>
              </w:rPr>
            </w:pPr>
          </w:p>
        </w:tc>
      </w:tr>
      <w:tr w:rsidR="00E36D7B" w:rsidRPr="00995CB0" w14:paraId="46DC2EBC" w14:textId="77777777" w:rsidTr="00E36D7B">
        <w:tc>
          <w:tcPr>
            <w:tcW w:w="1795" w:type="dxa"/>
            <w:vMerge/>
            <w:vAlign w:val="center"/>
          </w:tcPr>
          <w:p w14:paraId="60EF7B56"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5E5B7E5D"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770B93BE" w14:textId="173A27B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122FD7B0" w14:textId="494A1C62"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7.97 (2.61)</w:t>
            </w:r>
          </w:p>
        </w:tc>
        <w:tc>
          <w:tcPr>
            <w:tcW w:w="1159" w:type="dxa"/>
            <w:vAlign w:val="bottom"/>
          </w:tcPr>
          <w:p w14:paraId="5072318F" w14:textId="330DE22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8.22 (3.11)</w:t>
            </w:r>
          </w:p>
        </w:tc>
        <w:tc>
          <w:tcPr>
            <w:tcW w:w="1227" w:type="dxa"/>
            <w:vAlign w:val="bottom"/>
          </w:tcPr>
          <w:p w14:paraId="47E424BF" w14:textId="40BB804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8.12 (2.33)</w:t>
            </w:r>
          </w:p>
        </w:tc>
        <w:tc>
          <w:tcPr>
            <w:tcW w:w="1159" w:type="dxa"/>
            <w:vAlign w:val="bottom"/>
          </w:tcPr>
          <w:p w14:paraId="16629F83" w14:textId="370BAFC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8.24 (2.64)</w:t>
            </w:r>
          </w:p>
        </w:tc>
        <w:tc>
          <w:tcPr>
            <w:tcW w:w="856" w:type="dxa"/>
            <w:vAlign w:val="bottom"/>
          </w:tcPr>
          <w:p w14:paraId="608E1C2F" w14:textId="4A4E7FA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0.397</w:t>
            </w:r>
          </w:p>
        </w:tc>
      </w:tr>
      <w:tr w:rsidR="00E36D7B" w:rsidRPr="00995CB0" w14:paraId="34E377A6" w14:textId="77777777" w:rsidTr="00E36D7B">
        <w:tc>
          <w:tcPr>
            <w:tcW w:w="1795" w:type="dxa"/>
            <w:vMerge w:val="restart"/>
            <w:vAlign w:val="center"/>
          </w:tcPr>
          <w:p w14:paraId="07F9BF36"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Memory for faces delayed total score (</w:t>
            </w:r>
            <w:proofErr w:type="spellStart"/>
            <w:r w:rsidRPr="00995CB0">
              <w:rPr>
                <w:rFonts w:ascii="Times New Roman" w:hAnsi="Times New Roman" w:cs="Times New Roman"/>
                <w:color w:val="000000"/>
                <w:sz w:val="18"/>
                <w:szCs w:val="18"/>
              </w:rPr>
              <w:t>mffdts</w:t>
            </w:r>
            <w:proofErr w:type="spellEnd"/>
            <w:r w:rsidRPr="00995CB0">
              <w:rPr>
                <w:rFonts w:ascii="Times New Roman" w:hAnsi="Times New Roman" w:cs="Times New Roman"/>
                <w:color w:val="000000"/>
                <w:sz w:val="18"/>
                <w:szCs w:val="18"/>
              </w:rPr>
              <w:t>)</w:t>
            </w:r>
          </w:p>
        </w:tc>
        <w:tc>
          <w:tcPr>
            <w:tcW w:w="1373" w:type="dxa"/>
          </w:tcPr>
          <w:p w14:paraId="13293716"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2F3310DF" w14:textId="25D78942"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233</w:t>
            </w:r>
          </w:p>
        </w:tc>
        <w:tc>
          <w:tcPr>
            <w:tcW w:w="1227" w:type="dxa"/>
            <w:vAlign w:val="bottom"/>
          </w:tcPr>
          <w:p w14:paraId="551B1899" w14:textId="5F0D66E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8.56 (2.67)</w:t>
            </w:r>
          </w:p>
        </w:tc>
        <w:tc>
          <w:tcPr>
            <w:tcW w:w="1159" w:type="dxa"/>
            <w:vAlign w:val="bottom"/>
          </w:tcPr>
          <w:p w14:paraId="0B8B7A68" w14:textId="30CC831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8.76 (3.31)</w:t>
            </w:r>
          </w:p>
        </w:tc>
        <w:tc>
          <w:tcPr>
            <w:tcW w:w="1227" w:type="dxa"/>
            <w:vAlign w:val="bottom"/>
          </w:tcPr>
          <w:p w14:paraId="00E38C93" w14:textId="5B76BB3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8.90 (2.86)</w:t>
            </w:r>
          </w:p>
        </w:tc>
        <w:tc>
          <w:tcPr>
            <w:tcW w:w="1159" w:type="dxa"/>
            <w:vAlign w:val="bottom"/>
          </w:tcPr>
          <w:p w14:paraId="34949DFF" w14:textId="259DC51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8.33 (2.82)</w:t>
            </w:r>
          </w:p>
        </w:tc>
        <w:tc>
          <w:tcPr>
            <w:tcW w:w="856" w:type="dxa"/>
            <w:vAlign w:val="bottom"/>
          </w:tcPr>
          <w:p w14:paraId="447E1B20" w14:textId="5548CA7F"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0.928</w:t>
            </w:r>
          </w:p>
        </w:tc>
      </w:tr>
      <w:tr w:rsidR="00E36D7B" w:rsidRPr="00995CB0" w14:paraId="0F80DA17" w14:textId="77777777" w:rsidTr="00E36D7B">
        <w:tc>
          <w:tcPr>
            <w:tcW w:w="1795" w:type="dxa"/>
            <w:vMerge/>
            <w:vAlign w:val="center"/>
          </w:tcPr>
          <w:p w14:paraId="1571F55F"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4FDEFDBA"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38B89599" w14:textId="1BD44FB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NA</w:t>
            </w:r>
          </w:p>
        </w:tc>
        <w:tc>
          <w:tcPr>
            <w:tcW w:w="1227" w:type="dxa"/>
            <w:vAlign w:val="bottom"/>
          </w:tcPr>
          <w:p w14:paraId="1C4FDDEF" w14:textId="2EE1EB5B" w:rsidR="00E36D7B" w:rsidRPr="00E36D7B" w:rsidRDefault="00E36D7B" w:rsidP="00E36D7B">
            <w:pPr>
              <w:rPr>
                <w:rFonts w:ascii="Times New Roman" w:hAnsi="Times New Roman" w:cs="Times New Roman"/>
                <w:color w:val="000000"/>
                <w:sz w:val="18"/>
                <w:szCs w:val="18"/>
              </w:rPr>
            </w:pPr>
          </w:p>
        </w:tc>
        <w:tc>
          <w:tcPr>
            <w:tcW w:w="1159" w:type="dxa"/>
            <w:vAlign w:val="bottom"/>
          </w:tcPr>
          <w:p w14:paraId="3F01DB03" w14:textId="1476FD8E" w:rsidR="00E36D7B" w:rsidRPr="00E36D7B" w:rsidRDefault="00E36D7B" w:rsidP="00E36D7B">
            <w:pPr>
              <w:rPr>
                <w:rFonts w:ascii="Times New Roman" w:hAnsi="Times New Roman" w:cs="Times New Roman"/>
                <w:color w:val="000000"/>
                <w:sz w:val="18"/>
                <w:szCs w:val="18"/>
              </w:rPr>
            </w:pPr>
          </w:p>
        </w:tc>
        <w:tc>
          <w:tcPr>
            <w:tcW w:w="1227" w:type="dxa"/>
            <w:vAlign w:val="bottom"/>
          </w:tcPr>
          <w:p w14:paraId="453BDCFA" w14:textId="23E2F1D2" w:rsidR="00E36D7B" w:rsidRPr="00E36D7B" w:rsidRDefault="00E36D7B" w:rsidP="00E36D7B">
            <w:pPr>
              <w:rPr>
                <w:rFonts w:ascii="Times New Roman" w:hAnsi="Times New Roman" w:cs="Times New Roman"/>
                <w:color w:val="000000"/>
                <w:sz w:val="18"/>
                <w:szCs w:val="18"/>
              </w:rPr>
            </w:pPr>
          </w:p>
        </w:tc>
        <w:tc>
          <w:tcPr>
            <w:tcW w:w="1159" w:type="dxa"/>
            <w:vAlign w:val="bottom"/>
          </w:tcPr>
          <w:p w14:paraId="24994953" w14:textId="6FE2A638" w:rsidR="00E36D7B" w:rsidRPr="00E36D7B" w:rsidRDefault="00E36D7B" w:rsidP="00E36D7B">
            <w:pPr>
              <w:rPr>
                <w:rFonts w:ascii="Times New Roman" w:hAnsi="Times New Roman" w:cs="Times New Roman"/>
                <w:color w:val="000000"/>
                <w:sz w:val="18"/>
                <w:szCs w:val="18"/>
              </w:rPr>
            </w:pPr>
          </w:p>
        </w:tc>
        <w:tc>
          <w:tcPr>
            <w:tcW w:w="856" w:type="dxa"/>
            <w:vAlign w:val="bottom"/>
          </w:tcPr>
          <w:p w14:paraId="279EBB36" w14:textId="3C4B1534" w:rsidR="00E36D7B" w:rsidRPr="00E36D7B" w:rsidRDefault="00E36D7B" w:rsidP="00E36D7B">
            <w:pPr>
              <w:rPr>
                <w:rFonts w:ascii="Times New Roman" w:hAnsi="Times New Roman" w:cs="Times New Roman"/>
                <w:color w:val="000000"/>
                <w:sz w:val="18"/>
                <w:szCs w:val="18"/>
              </w:rPr>
            </w:pPr>
          </w:p>
        </w:tc>
      </w:tr>
      <w:tr w:rsidR="00E36D7B" w:rsidRPr="00995CB0" w14:paraId="671D818B" w14:textId="77777777" w:rsidTr="00E36D7B">
        <w:tc>
          <w:tcPr>
            <w:tcW w:w="1795" w:type="dxa"/>
            <w:vMerge/>
            <w:vAlign w:val="center"/>
          </w:tcPr>
          <w:p w14:paraId="5D3B652B"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4AA50108"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372564A7" w14:textId="63B9484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30931EDB" w14:textId="29B271C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8.37 (2.82)</w:t>
            </w:r>
          </w:p>
        </w:tc>
        <w:tc>
          <w:tcPr>
            <w:tcW w:w="1159" w:type="dxa"/>
            <w:vAlign w:val="bottom"/>
          </w:tcPr>
          <w:p w14:paraId="17137647" w14:textId="2F285B99"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8.80 (2.79)</w:t>
            </w:r>
          </w:p>
        </w:tc>
        <w:tc>
          <w:tcPr>
            <w:tcW w:w="1227" w:type="dxa"/>
            <w:vAlign w:val="bottom"/>
          </w:tcPr>
          <w:p w14:paraId="60AD368A" w14:textId="7AA4E00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8.10 (2.71)</w:t>
            </w:r>
          </w:p>
        </w:tc>
        <w:tc>
          <w:tcPr>
            <w:tcW w:w="1159" w:type="dxa"/>
            <w:vAlign w:val="bottom"/>
          </w:tcPr>
          <w:p w14:paraId="70124789" w14:textId="0FEF97E1"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8.46 (2.84)</w:t>
            </w:r>
          </w:p>
        </w:tc>
        <w:tc>
          <w:tcPr>
            <w:tcW w:w="856" w:type="dxa"/>
            <w:vAlign w:val="bottom"/>
          </w:tcPr>
          <w:p w14:paraId="084F5932" w14:textId="2C0ED754"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0.74</w:t>
            </w:r>
            <w:r>
              <w:rPr>
                <w:rFonts w:ascii="Times New Roman" w:hAnsi="Times New Roman" w:cs="Times New Roman"/>
                <w:color w:val="000000"/>
                <w:sz w:val="18"/>
                <w:szCs w:val="18"/>
              </w:rPr>
              <w:t>0</w:t>
            </w:r>
          </w:p>
        </w:tc>
      </w:tr>
      <w:tr w:rsidR="00E36D7B" w:rsidRPr="00995CB0" w14:paraId="149F257D" w14:textId="77777777" w:rsidTr="00E36D7B">
        <w:tc>
          <w:tcPr>
            <w:tcW w:w="1795" w:type="dxa"/>
            <w:vMerge w:val="restart"/>
            <w:vAlign w:val="center"/>
          </w:tcPr>
          <w:p w14:paraId="71FF9C0B"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Design copying process total score (</w:t>
            </w:r>
            <w:proofErr w:type="spellStart"/>
            <w:r w:rsidRPr="00995CB0">
              <w:rPr>
                <w:rFonts w:ascii="Times New Roman" w:hAnsi="Times New Roman" w:cs="Times New Roman"/>
                <w:color w:val="000000"/>
                <w:sz w:val="18"/>
                <w:szCs w:val="18"/>
              </w:rPr>
              <w:t>dcgts</w:t>
            </w:r>
            <w:proofErr w:type="spellEnd"/>
            <w:r w:rsidRPr="00995CB0">
              <w:rPr>
                <w:rFonts w:ascii="Times New Roman" w:hAnsi="Times New Roman" w:cs="Times New Roman"/>
                <w:color w:val="000000"/>
                <w:sz w:val="18"/>
                <w:szCs w:val="18"/>
              </w:rPr>
              <w:t>)</w:t>
            </w:r>
          </w:p>
        </w:tc>
        <w:tc>
          <w:tcPr>
            <w:tcW w:w="1373" w:type="dxa"/>
          </w:tcPr>
          <w:p w14:paraId="76123712"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33D7AF17" w14:textId="6F89E34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280</w:t>
            </w:r>
          </w:p>
        </w:tc>
        <w:tc>
          <w:tcPr>
            <w:tcW w:w="1227" w:type="dxa"/>
            <w:vAlign w:val="bottom"/>
          </w:tcPr>
          <w:p w14:paraId="7464E171" w14:textId="1A6C281B"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9.96 (4.84)</w:t>
            </w:r>
          </w:p>
        </w:tc>
        <w:tc>
          <w:tcPr>
            <w:tcW w:w="1159" w:type="dxa"/>
            <w:vAlign w:val="bottom"/>
          </w:tcPr>
          <w:p w14:paraId="5D298EF4" w14:textId="5EDA9798"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10.76 (4.79)</w:t>
            </w:r>
          </w:p>
        </w:tc>
        <w:tc>
          <w:tcPr>
            <w:tcW w:w="1227" w:type="dxa"/>
            <w:vAlign w:val="bottom"/>
          </w:tcPr>
          <w:p w14:paraId="1E5E1DDB" w14:textId="4549F9E3"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11.80 (4.77)</w:t>
            </w:r>
          </w:p>
        </w:tc>
        <w:tc>
          <w:tcPr>
            <w:tcW w:w="1159" w:type="dxa"/>
            <w:vAlign w:val="bottom"/>
          </w:tcPr>
          <w:p w14:paraId="1BAC0DAA" w14:textId="3CBA4BF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10.03 (4.90)</w:t>
            </w:r>
          </w:p>
        </w:tc>
        <w:tc>
          <w:tcPr>
            <w:tcW w:w="856" w:type="dxa"/>
            <w:vAlign w:val="bottom"/>
          </w:tcPr>
          <w:p w14:paraId="3294E197" w14:textId="104757FD"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0.541</w:t>
            </w:r>
          </w:p>
        </w:tc>
      </w:tr>
      <w:tr w:rsidR="00E36D7B" w:rsidRPr="00995CB0" w14:paraId="53DD21B6" w14:textId="77777777" w:rsidTr="00E36D7B">
        <w:tc>
          <w:tcPr>
            <w:tcW w:w="1795" w:type="dxa"/>
            <w:vMerge/>
            <w:vAlign w:val="center"/>
          </w:tcPr>
          <w:p w14:paraId="386DF8C3"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6DED2E33"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3F1240CE" w14:textId="5E5B24F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NA</w:t>
            </w:r>
          </w:p>
        </w:tc>
        <w:tc>
          <w:tcPr>
            <w:tcW w:w="1227" w:type="dxa"/>
            <w:vAlign w:val="bottom"/>
          </w:tcPr>
          <w:p w14:paraId="3A4CF66E" w14:textId="336E500A" w:rsidR="00E36D7B" w:rsidRPr="00E36D7B" w:rsidRDefault="00E36D7B" w:rsidP="00E36D7B">
            <w:pPr>
              <w:rPr>
                <w:rFonts w:ascii="Times New Roman" w:hAnsi="Times New Roman" w:cs="Times New Roman"/>
                <w:color w:val="000000"/>
                <w:sz w:val="18"/>
                <w:szCs w:val="18"/>
              </w:rPr>
            </w:pPr>
          </w:p>
        </w:tc>
        <w:tc>
          <w:tcPr>
            <w:tcW w:w="1159" w:type="dxa"/>
            <w:vAlign w:val="bottom"/>
          </w:tcPr>
          <w:p w14:paraId="35969A66" w14:textId="1A06C84C" w:rsidR="00E36D7B" w:rsidRPr="00E36D7B" w:rsidRDefault="00E36D7B" w:rsidP="00E36D7B">
            <w:pPr>
              <w:rPr>
                <w:rFonts w:ascii="Times New Roman" w:hAnsi="Times New Roman" w:cs="Times New Roman"/>
                <w:color w:val="000000"/>
                <w:sz w:val="18"/>
                <w:szCs w:val="18"/>
              </w:rPr>
            </w:pPr>
          </w:p>
        </w:tc>
        <w:tc>
          <w:tcPr>
            <w:tcW w:w="1227" w:type="dxa"/>
            <w:vAlign w:val="bottom"/>
          </w:tcPr>
          <w:p w14:paraId="6DAE1CFC" w14:textId="3E7D985C" w:rsidR="00E36D7B" w:rsidRPr="00E36D7B" w:rsidRDefault="00E36D7B" w:rsidP="00E36D7B">
            <w:pPr>
              <w:rPr>
                <w:rFonts w:ascii="Times New Roman" w:hAnsi="Times New Roman" w:cs="Times New Roman"/>
                <w:color w:val="000000"/>
                <w:sz w:val="18"/>
                <w:szCs w:val="18"/>
              </w:rPr>
            </w:pPr>
          </w:p>
        </w:tc>
        <w:tc>
          <w:tcPr>
            <w:tcW w:w="1159" w:type="dxa"/>
            <w:vAlign w:val="bottom"/>
          </w:tcPr>
          <w:p w14:paraId="4B9AD8E5" w14:textId="7E5C0DF6" w:rsidR="00E36D7B" w:rsidRPr="00E36D7B" w:rsidRDefault="00E36D7B" w:rsidP="00E36D7B">
            <w:pPr>
              <w:rPr>
                <w:rFonts w:ascii="Times New Roman" w:hAnsi="Times New Roman" w:cs="Times New Roman"/>
                <w:color w:val="000000"/>
                <w:sz w:val="18"/>
                <w:szCs w:val="18"/>
              </w:rPr>
            </w:pPr>
          </w:p>
        </w:tc>
        <w:tc>
          <w:tcPr>
            <w:tcW w:w="856" w:type="dxa"/>
            <w:vAlign w:val="bottom"/>
          </w:tcPr>
          <w:p w14:paraId="0E7FB205" w14:textId="2DAAC721" w:rsidR="00E36D7B" w:rsidRPr="00E36D7B" w:rsidRDefault="00E36D7B" w:rsidP="00E36D7B">
            <w:pPr>
              <w:rPr>
                <w:rFonts w:ascii="Times New Roman" w:hAnsi="Times New Roman" w:cs="Times New Roman"/>
                <w:color w:val="000000"/>
                <w:sz w:val="18"/>
                <w:szCs w:val="18"/>
              </w:rPr>
            </w:pPr>
          </w:p>
        </w:tc>
      </w:tr>
      <w:tr w:rsidR="00E36D7B" w:rsidRPr="00995CB0" w14:paraId="1EE79AA0" w14:textId="77777777" w:rsidTr="00E36D7B">
        <w:tc>
          <w:tcPr>
            <w:tcW w:w="1795" w:type="dxa"/>
            <w:vMerge/>
            <w:vAlign w:val="center"/>
          </w:tcPr>
          <w:p w14:paraId="65633049" w14:textId="77777777" w:rsidR="00E36D7B" w:rsidRPr="00995CB0" w:rsidRDefault="00E36D7B" w:rsidP="00E36D7B">
            <w:pPr>
              <w:jc w:val="center"/>
              <w:rPr>
                <w:rFonts w:ascii="Times New Roman" w:hAnsi="Times New Roman" w:cs="Times New Roman"/>
                <w:color w:val="000000"/>
                <w:sz w:val="18"/>
                <w:szCs w:val="18"/>
              </w:rPr>
            </w:pPr>
          </w:p>
        </w:tc>
        <w:tc>
          <w:tcPr>
            <w:tcW w:w="1373" w:type="dxa"/>
          </w:tcPr>
          <w:p w14:paraId="29405350"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23C8E208" w14:textId="5854AD0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6C9408B2" w14:textId="02F0CFED"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9.79 (3.30)</w:t>
            </w:r>
          </w:p>
        </w:tc>
        <w:tc>
          <w:tcPr>
            <w:tcW w:w="1159" w:type="dxa"/>
            <w:vAlign w:val="bottom"/>
          </w:tcPr>
          <w:p w14:paraId="061E92EC" w14:textId="2A6BF57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9.42 (3.74)</w:t>
            </w:r>
          </w:p>
        </w:tc>
        <w:tc>
          <w:tcPr>
            <w:tcW w:w="1227" w:type="dxa"/>
            <w:vAlign w:val="bottom"/>
          </w:tcPr>
          <w:p w14:paraId="5DF71DC2" w14:textId="4839974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9.27 (3.80)</w:t>
            </w:r>
          </w:p>
        </w:tc>
        <w:tc>
          <w:tcPr>
            <w:tcW w:w="1159" w:type="dxa"/>
            <w:vAlign w:val="bottom"/>
          </w:tcPr>
          <w:p w14:paraId="6C3D73E4" w14:textId="4DC0C0A2"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9.70 (3.44)</w:t>
            </w:r>
          </w:p>
        </w:tc>
        <w:tc>
          <w:tcPr>
            <w:tcW w:w="856" w:type="dxa"/>
            <w:vAlign w:val="bottom"/>
          </w:tcPr>
          <w:p w14:paraId="0C93D88F" w14:textId="142FFB5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0.331</w:t>
            </w:r>
          </w:p>
        </w:tc>
      </w:tr>
      <w:tr w:rsidR="00E36D7B" w:rsidRPr="00995CB0" w14:paraId="7478BE81" w14:textId="77777777" w:rsidTr="00E36D7B">
        <w:tc>
          <w:tcPr>
            <w:tcW w:w="1795" w:type="dxa"/>
            <w:vMerge w:val="restart"/>
            <w:vAlign w:val="center"/>
          </w:tcPr>
          <w:p w14:paraId="3623BA34" w14:textId="77777777" w:rsidR="00E36D7B" w:rsidRPr="00995CB0" w:rsidRDefault="00E36D7B" w:rsidP="00E36D7B">
            <w:pPr>
              <w:jc w:val="center"/>
              <w:rPr>
                <w:rFonts w:ascii="Times New Roman" w:hAnsi="Times New Roman" w:cs="Times New Roman"/>
                <w:color w:val="000000"/>
                <w:sz w:val="18"/>
                <w:szCs w:val="18"/>
              </w:rPr>
            </w:pPr>
            <w:r w:rsidRPr="00995CB0">
              <w:rPr>
                <w:rFonts w:ascii="Times New Roman" w:hAnsi="Times New Roman" w:cs="Times New Roman"/>
                <w:color w:val="000000"/>
                <w:sz w:val="18"/>
                <w:szCs w:val="18"/>
              </w:rPr>
              <w:t>Geometric puzzles total score (</w:t>
            </w:r>
            <w:proofErr w:type="spellStart"/>
            <w:r w:rsidRPr="00995CB0">
              <w:rPr>
                <w:rFonts w:ascii="Times New Roman" w:hAnsi="Times New Roman" w:cs="Times New Roman"/>
                <w:color w:val="000000"/>
                <w:sz w:val="18"/>
                <w:szCs w:val="18"/>
              </w:rPr>
              <w:t>gpts</w:t>
            </w:r>
            <w:proofErr w:type="spellEnd"/>
            <w:r w:rsidRPr="00995CB0">
              <w:rPr>
                <w:rFonts w:ascii="Times New Roman" w:hAnsi="Times New Roman" w:cs="Times New Roman"/>
                <w:color w:val="000000"/>
                <w:sz w:val="18"/>
                <w:szCs w:val="18"/>
              </w:rPr>
              <w:t>)</w:t>
            </w:r>
          </w:p>
        </w:tc>
        <w:tc>
          <w:tcPr>
            <w:tcW w:w="1373" w:type="dxa"/>
          </w:tcPr>
          <w:p w14:paraId="13AB1AB6"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2008</w:t>
            </w:r>
          </w:p>
        </w:tc>
        <w:tc>
          <w:tcPr>
            <w:tcW w:w="554" w:type="dxa"/>
            <w:vAlign w:val="bottom"/>
          </w:tcPr>
          <w:p w14:paraId="262C65FA" w14:textId="4F30C1C9"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289</w:t>
            </w:r>
          </w:p>
        </w:tc>
        <w:tc>
          <w:tcPr>
            <w:tcW w:w="1227" w:type="dxa"/>
            <w:vAlign w:val="bottom"/>
          </w:tcPr>
          <w:p w14:paraId="1050E198" w14:textId="057B294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8.88 (4.00)</w:t>
            </w:r>
          </w:p>
        </w:tc>
        <w:tc>
          <w:tcPr>
            <w:tcW w:w="1159" w:type="dxa"/>
            <w:vAlign w:val="bottom"/>
          </w:tcPr>
          <w:p w14:paraId="09EB396C" w14:textId="6333AAE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8.73 (2.84)</w:t>
            </w:r>
          </w:p>
        </w:tc>
        <w:tc>
          <w:tcPr>
            <w:tcW w:w="1227" w:type="dxa"/>
            <w:vAlign w:val="bottom"/>
          </w:tcPr>
          <w:p w14:paraId="2006965D" w14:textId="05FF5EBF"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8.37 (3.09)</w:t>
            </w:r>
          </w:p>
        </w:tc>
        <w:tc>
          <w:tcPr>
            <w:tcW w:w="1159" w:type="dxa"/>
            <w:vAlign w:val="bottom"/>
          </w:tcPr>
          <w:p w14:paraId="37C3351E" w14:textId="79609DA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8.22 (2.95)</w:t>
            </w:r>
          </w:p>
        </w:tc>
        <w:tc>
          <w:tcPr>
            <w:tcW w:w="856" w:type="dxa"/>
            <w:vAlign w:val="bottom"/>
          </w:tcPr>
          <w:p w14:paraId="56D996BD" w14:textId="09189DEE"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0.282</w:t>
            </w:r>
          </w:p>
        </w:tc>
      </w:tr>
      <w:tr w:rsidR="00E36D7B" w:rsidRPr="00995CB0" w14:paraId="1713851C" w14:textId="77777777" w:rsidTr="00E36D7B">
        <w:tc>
          <w:tcPr>
            <w:tcW w:w="1795" w:type="dxa"/>
            <w:vMerge/>
            <w:vAlign w:val="bottom"/>
          </w:tcPr>
          <w:p w14:paraId="57313FA4" w14:textId="77777777" w:rsidR="00E36D7B" w:rsidRPr="00995CB0" w:rsidRDefault="00E36D7B" w:rsidP="00E36D7B">
            <w:pPr>
              <w:rPr>
                <w:rFonts w:ascii="Times New Roman" w:hAnsi="Times New Roman" w:cs="Times New Roman"/>
                <w:color w:val="000000"/>
                <w:sz w:val="18"/>
                <w:szCs w:val="18"/>
              </w:rPr>
            </w:pPr>
          </w:p>
        </w:tc>
        <w:tc>
          <w:tcPr>
            <w:tcW w:w="1373" w:type="dxa"/>
          </w:tcPr>
          <w:p w14:paraId="17635C42"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Spring 2016</w:t>
            </w:r>
          </w:p>
        </w:tc>
        <w:tc>
          <w:tcPr>
            <w:tcW w:w="554" w:type="dxa"/>
            <w:vAlign w:val="bottom"/>
          </w:tcPr>
          <w:p w14:paraId="59D7161C" w14:textId="1E28A73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NA</w:t>
            </w:r>
          </w:p>
        </w:tc>
        <w:tc>
          <w:tcPr>
            <w:tcW w:w="1227" w:type="dxa"/>
            <w:vAlign w:val="bottom"/>
          </w:tcPr>
          <w:p w14:paraId="2B780A9D" w14:textId="4AF038A2" w:rsidR="00E36D7B" w:rsidRPr="00E36D7B" w:rsidRDefault="00E36D7B" w:rsidP="00E36D7B">
            <w:pPr>
              <w:rPr>
                <w:rFonts w:ascii="Times New Roman" w:hAnsi="Times New Roman" w:cs="Times New Roman"/>
                <w:color w:val="000000"/>
                <w:sz w:val="18"/>
                <w:szCs w:val="18"/>
              </w:rPr>
            </w:pPr>
          </w:p>
        </w:tc>
        <w:tc>
          <w:tcPr>
            <w:tcW w:w="1159" w:type="dxa"/>
            <w:vAlign w:val="bottom"/>
          </w:tcPr>
          <w:p w14:paraId="373BE5BA" w14:textId="2EC98CDD" w:rsidR="00E36D7B" w:rsidRPr="00E36D7B" w:rsidRDefault="00E36D7B" w:rsidP="00E36D7B">
            <w:pPr>
              <w:rPr>
                <w:rFonts w:ascii="Times New Roman" w:hAnsi="Times New Roman" w:cs="Times New Roman"/>
                <w:color w:val="000000"/>
                <w:sz w:val="18"/>
                <w:szCs w:val="18"/>
              </w:rPr>
            </w:pPr>
          </w:p>
        </w:tc>
        <w:tc>
          <w:tcPr>
            <w:tcW w:w="1227" w:type="dxa"/>
            <w:vAlign w:val="bottom"/>
          </w:tcPr>
          <w:p w14:paraId="0FE8EF5C" w14:textId="727D053F" w:rsidR="00E36D7B" w:rsidRPr="00E36D7B" w:rsidRDefault="00E36D7B" w:rsidP="00E36D7B">
            <w:pPr>
              <w:rPr>
                <w:rFonts w:ascii="Times New Roman" w:hAnsi="Times New Roman" w:cs="Times New Roman"/>
                <w:color w:val="000000"/>
                <w:sz w:val="18"/>
                <w:szCs w:val="18"/>
              </w:rPr>
            </w:pPr>
          </w:p>
        </w:tc>
        <w:tc>
          <w:tcPr>
            <w:tcW w:w="1159" w:type="dxa"/>
            <w:vAlign w:val="bottom"/>
          </w:tcPr>
          <w:p w14:paraId="76334747" w14:textId="71139F4B" w:rsidR="00E36D7B" w:rsidRPr="00E36D7B" w:rsidRDefault="00E36D7B" w:rsidP="00E36D7B">
            <w:pPr>
              <w:rPr>
                <w:rFonts w:ascii="Times New Roman" w:hAnsi="Times New Roman" w:cs="Times New Roman"/>
                <w:color w:val="000000"/>
                <w:sz w:val="18"/>
                <w:szCs w:val="18"/>
              </w:rPr>
            </w:pPr>
          </w:p>
        </w:tc>
        <w:tc>
          <w:tcPr>
            <w:tcW w:w="856" w:type="dxa"/>
            <w:vAlign w:val="bottom"/>
          </w:tcPr>
          <w:p w14:paraId="28426B1A" w14:textId="35ED4932" w:rsidR="00E36D7B" w:rsidRPr="00E36D7B" w:rsidRDefault="00E36D7B" w:rsidP="00E36D7B">
            <w:pPr>
              <w:rPr>
                <w:rFonts w:ascii="Times New Roman" w:hAnsi="Times New Roman" w:cs="Times New Roman"/>
                <w:color w:val="000000"/>
                <w:sz w:val="18"/>
                <w:szCs w:val="18"/>
              </w:rPr>
            </w:pPr>
          </w:p>
        </w:tc>
      </w:tr>
      <w:tr w:rsidR="00E36D7B" w:rsidRPr="00995CB0" w14:paraId="53AD36FD" w14:textId="77777777" w:rsidTr="00E36D7B">
        <w:tc>
          <w:tcPr>
            <w:tcW w:w="1795" w:type="dxa"/>
            <w:vMerge/>
            <w:vAlign w:val="bottom"/>
          </w:tcPr>
          <w:p w14:paraId="62E653A5" w14:textId="77777777" w:rsidR="00E36D7B" w:rsidRPr="00995CB0" w:rsidRDefault="00E36D7B" w:rsidP="00E36D7B">
            <w:pPr>
              <w:rPr>
                <w:rFonts w:ascii="Times New Roman" w:hAnsi="Times New Roman" w:cs="Times New Roman"/>
                <w:color w:val="000000"/>
                <w:sz w:val="18"/>
                <w:szCs w:val="18"/>
              </w:rPr>
            </w:pPr>
          </w:p>
        </w:tc>
        <w:tc>
          <w:tcPr>
            <w:tcW w:w="1373" w:type="dxa"/>
          </w:tcPr>
          <w:p w14:paraId="3923BDEE" w14:textId="77777777" w:rsidR="00E36D7B" w:rsidRPr="00995CB0" w:rsidRDefault="00E36D7B" w:rsidP="00E36D7B">
            <w:pPr>
              <w:rPr>
                <w:rFonts w:ascii="Times New Roman" w:hAnsi="Times New Roman" w:cs="Times New Roman"/>
                <w:color w:val="000000"/>
                <w:sz w:val="18"/>
                <w:szCs w:val="18"/>
              </w:rPr>
            </w:pPr>
            <w:r w:rsidRPr="00995CB0">
              <w:rPr>
                <w:rFonts w:ascii="Times New Roman" w:hAnsi="Times New Roman" w:cs="Times New Roman"/>
                <w:color w:val="000000"/>
                <w:sz w:val="18"/>
                <w:szCs w:val="18"/>
              </w:rPr>
              <w:t>Summer 2016</w:t>
            </w:r>
          </w:p>
        </w:tc>
        <w:tc>
          <w:tcPr>
            <w:tcW w:w="554" w:type="dxa"/>
            <w:vAlign w:val="bottom"/>
          </w:tcPr>
          <w:p w14:paraId="2B3A16E6" w14:textId="204D9EE7"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523</w:t>
            </w:r>
          </w:p>
        </w:tc>
        <w:tc>
          <w:tcPr>
            <w:tcW w:w="1227" w:type="dxa"/>
            <w:vAlign w:val="bottom"/>
          </w:tcPr>
          <w:p w14:paraId="6E8D3B4F" w14:textId="0ECF6505"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7.82 (2.58)</w:t>
            </w:r>
          </w:p>
        </w:tc>
        <w:tc>
          <w:tcPr>
            <w:tcW w:w="1159" w:type="dxa"/>
            <w:vAlign w:val="bottom"/>
          </w:tcPr>
          <w:p w14:paraId="3B294A06" w14:textId="09B8C8CC"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7.66 (2.36)</w:t>
            </w:r>
          </w:p>
        </w:tc>
        <w:tc>
          <w:tcPr>
            <w:tcW w:w="1227" w:type="dxa"/>
            <w:vAlign w:val="bottom"/>
          </w:tcPr>
          <w:p w14:paraId="3A0999A1" w14:textId="2D7FD206"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7.76 (2.51)</w:t>
            </w:r>
          </w:p>
        </w:tc>
        <w:tc>
          <w:tcPr>
            <w:tcW w:w="1159" w:type="dxa"/>
            <w:vAlign w:val="bottom"/>
          </w:tcPr>
          <w:p w14:paraId="1D5779FA" w14:textId="3F766D8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8.11 (2.30)</w:t>
            </w:r>
          </w:p>
        </w:tc>
        <w:tc>
          <w:tcPr>
            <w:tcW w:w="856" w:type="dxa"/>
            <w:vAlign w:val="bottom"/>
          </w:tcPr>
          <w:p w14:paraId="3FEF200C" w14:textId="2A015A0A" w:rsidR="00E36D7B" w:rsidRPr="00E36D7B" w:rsidRDefault="00E36D7B" w:rsidP="00E36D7B">
            <w:pPr>
              <w:rPr>
                <w:rFonts w:ascii="Times New Roman" w:hAnsi="Times New Roman" w:cs="Times New Roman"/>
                <w:color w:val="000000"/>
                <w:sz w:val="18"/>
                <w:szCs w:val="18"/>
              </w:rPr>
            </w:pPr>
            <w:r w:rsidRPr="00E36D7B">
              <w:rPr>
                <w:rFonts w:ascii="Times New Roman" w:hAnsi="Times New Roman" w:cs="Times New Roman"/>
                <w:color w:val="000000"/>
                <w:sz w:val="18"/>
                <w:szCs w:val="18"/>
              </w:rPr>
              <w:t>0.24</w:t>
            </w:r>
            <w:r>
              <w:rPr>
                <w:rFonts w:ascii="Times New Roman" w:hAnsi="Times New Roman" w:cs="Times New Roman"/>
                <w:color w:val="000000"/>
                <w:sz w:val="18"/>
                <w:szCs w:val="18"/>
              </w:rPr>
              <w:t>0</w:t>
            </w:r>
          </w:p>
        </w:tc>
      </w:tr>
    </w:tbl>
    <w:p w14:paraId="37235E74" w14:textId="06591911" w:rsidR="0054280C" w:rsidRPr="00995CB0" w:rsidRDefault="00B71134">
      <w:pPr>
        <w:rPr>
          <w:color w:val="000000"/>
          <w:sz w:val="18"/>
          <w:szCs w:val="18"/>
        </w:rPr>
      </w:pPr>
      <w:r w:rsidRPr="00995CB0">
        <w:rPr>
          <w:color w:val="000000"/>
          <w:sz w:val="18"/>
          <w:szCs w:val="18"/>
        </w:rPr>
        <w:t>* Significant (p</w:t>
      </w:r>
      <w:r w:rsidR="00995CB0">
        <w:rPr>
          <w:color w:val="000000"/>
          <w:sz w:val="18"/>
          <w:szCs w:val="18"/>
        </w:rPr>
        <w:t xml:space="preserve">-value </w:t>
      </w:r>
      <w:r w:rsidRPr="00995CB0">
        <w:rPr>
          <w:color w:val="000000"/>
          <w:sz w:val="18"/>
          <w:szCs w:val="18"/>
        </w:rPr>
        <w:t>&lt;</w:t>
      </w:r>
      <w:r w:rsidR="00995CB0">
        <w:rPr>
          <w:color w:val="000000"/>
          <w:sz w:val="18"/>
          <w:szCs w:val="18"/>
        </w:rPr>
        <w:t xml:space="preserve"> </w:t>
      </w:r>
      <w:r w:rsidRPr="00995CB0">
        <w:rPr>
          <w:color w:val="000000"/>
          <w:sz w:val="18"/>
          <w:szCs w:val="18"/>
        </w:rPr>
        <w:t>0.05)</w:t>
      </w:r>
    </w:p>
    <w:p w14:paraId="62EB5A1C" w14:textId="77777777" w:rsidR="0054280C" w:rsidRDefault="0054280C">
      <w:pPr>
        <w:rPr>
          <w:color w:val="000000"/>
          <w:sz w:val="22"/>
          <w:szCs w:val="22"/>
        </w:rPr>
      </w:pPr>
    </w:p>
    <w:p w14:paraId="79ECD96E" w14:textId="77777777" w:rsidR="0054280C" w:rsidRDefault="00B71134">
      <w:pPr>
        <w:rPr>
          <w:color w:val="000000"/>
          <w:sz w:val="22"/>
          <w:szCs w:val="22"/>
        </w:rPr>
      </w:pPr>
      <w:r>
        <w:rPr>
          <w:noProof/>
        </w:rPr>
        <w:lastRenderedPageBreak/>
        <mc:AlternateContent>
          <mc:Choice Requires="wpg">
            <w:drawing>
              <wp:inline distT="0" distB="0" distL="0" distR="0" wp14:anchorId="74E636B0" wp14:editId="3ECCF9DF">
                <wp:extent cx="3787140" cy="3784712"/>
                <wp:effectExtent l="0" t="0" r="3810" b="6350"/>
                <wp:docPr id="6" name="Picture 4498040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a:picLocks noChangeAspect="1"/>
                        </pic:cNvPicPr>
                      </pic:nvPicPr>
                      <pic:blipFill>
                        <a:blip r:embed="rId18"/>
                        <a:stretch/>
                      </pic:blipFill>
                      <pic:spPr bwMode="auto">
                        <a:xfrm>
                          <a:off x="0" y="0"/>
                          <a:ext cx="3793517" cy="37910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98.20pt;height:298.01pt;mso-wrap-distance-left:0.00pt;mso-wrap-distance-top:0.00pt;mso-wrap-distance-right:0.00pt;mso-wrap-distance-bottom:0.00pt;z-index:1;" stroked="false">
                <v:imagedata r:id="rId24" o:title=""/>
                <o:lock v:ext="edit" rotation="t"/>
              </v:shape>
            </w:pict>
          </mc:Fallback>
        </mc:AlternateContent>
      </w:r>
    </w:p>
    <w:p w14:paraId="0E5E5B6F" w14:textId="77777777" w:rsidR="0054280C" w:rsidRDefault="00B71134">
      <w:pPr>
        <w:rPr>
          <w:color w:val="000000"/>
          <w:sz w:val="22"/>
          <w:szCs w:val="22"/>
        </w:rPr>
      </w:pPr>
      <w:r>
        <w:rPr>
          <w:noProof/>
        </w:rPr>
        <mc:AlternateContent>
          <mc:Choice Requires="wpg">
            <w:drawing>
              <wp:inline distT="0" distB="0" distL="0" distR="0" wp14:anchorId="589AA445" wp14:editId="3F9CD71D">
                <wp:extent cx="3719121" cy="3714750"/>
                <wp:effectExtent l="0" t="0" r="0" b="0"/>
                <wp:docPr id="7" name="Picture 122447178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scatter chart&#10;&#10;Description automatically generated"/>
                        <pic:cNvPicPr>
                          <a:picLocks noChangeAspect="1"/>
                        </pic:cNvPicPr>
                      </pic:nvPicPr>
                      <pic:blipFill>
                        <a:blip r:embed="rId25"/>
                        <a:stretch/>
                      </pic:blipFill>
                      <pic:spPr bwMode="auto">
                        <a:xfrm>
                          <a:off x="0" y="0"/>
                          <a:ext cx="3720885" cy="371651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92.84pt;height:292.50pt;mso-wrap-distance-left:0.00pt;mso-wrap-distance-top:0.00pt;mso-wrap-distance-right:0.00pt;mso-wrap-distance-bottom:0.00pt;z-index:1;" stroked="false">
                <v:imagedata r:id="rId26" o:title=""/>
                <o:lock v:ext="edit" rotation="t"/>
              </v:shape>
            </w:pict>
          </mc:Fallback>
        </mc:AlternateContent>
      </w:r>
    </w:p>
    <w:p w14:paraId="54E65836" w14:textId="188D8596" w:rsidR="0054280C" w:rsidRDefault="00B71134">
      <w:pPr>
        <w:rPr>
          <w:color w:val="000000"/>
          <w:sz w:val="22"/>
          <w:szCs w:val="22"/>
        </w:rPr>
      </w:pPr>
      <w:r>
        <w:rPr>
          <w:b/>
          <w:bCs/>
          <w:color w:val="000000"/>
          <w:sz w:val="22"/>
          <w:szCs w:val="22"/>
        </w:rPr>
        <w:t>Supplementary Figure 1</w:t>
      </w:r>
      <w:r>
        <w:rPr>
          <w:color w:val="000000"/>
          <w:sz w:val="22"/>
          <w:szCs w:val="22"/>
        </w:rPr>
        <w:t xml:space="preserve">: Least Square Means LOESS Curves for distance and area variables with respect to select NEPSY scores. The LOESS Curves are adjusted for age, race, gender, days after Mother’s Day harvest z-score age-for-height, parental salary and education, and cohabitation with </w:t>
      </w:r>
      <w:r>
        <w:rPr>
          <w:color w:val="000000"/>
          <w:sz w:val="22"/>
          <w:szCs w:val="22"/>
        </w:rPr>
        <w:lastRenderedPageBreak/>
        <w:t>agricultural worker</w:t>
      </w:r>
      <w:commentRangeStart w:id="148"/>
      <w:r>
        <w:rPr>
          <w:color w:val="000000"/>
          <w:sz w:val="22"/>
          <w:szCs w:val="22"/>
        </w:rPr>
        <w:t>.</w:t>
      </w:r>
      <w:commentRangeEnd w:id="148"/>
      <w:r>
        <w:commentReference w:id="148"/>
      </w:r>
      <w:r w:rsidR="00C30E22">
        <w:rPr>
          <w:color w:val="000000"/>
          <w:sz w:val="22"/>
          <w:szCs w:val="22"/>
        </w:rPr>
        <w:t xml:space="preserve"> Dots are the participants adjusted scores. The lines are the LOESS Curves. The 95% confidence interval </w:t>
      </w:r>
      <w:proofErr w:type="gramStart"/>
      <w:r w:rsidR="00C30E22">
        <w:rPr>
          <w:color w:val="000000"/>
          <w:sz w:val="22"/>
          <w:szCs w:val="22"/>
        </w:rPr>
        <w:t>are</w:t>
      </w:r>
      <w:proofErr w:type="gramEnd"/>
      <w:r w:rsidR="00C30E22">
        <w:rPr>
          <w:color w:val="000000"/>
          <w:sz w:val="22"/>
          <w:szCs w:val="22"/>
        </w:rPr>
        <w:t xml:space="preserve"> the shaded areas. </w:t>
      </w:r>
    </w:p>
    <w:p w14:paraId="70E55FA7" w14:textId="77777777" w:rsidR="00062DE3" w:rsidRDefault="00062DE3">
      <w:pPr>
        <w:rPr>
          <w:color w:val="000000"/>
          <w:sz w:val="22"/>
          <w:szCs w:val="22"/>
        </w:rPr>
      </w:pPr>
    </w:p>
    <w:p w14:paraId="5ACD2A97" w14:textId="6695153D" w:rsidR="00062DE3" w:rsidRDefault="00527D81">
      <w:pPr>
        <w:rPr>
          <w:color w:val="000000"/>
          <w:sz w:val="22"/>
          <w:szCs w:val="22"/>
        </w:rPr>
      </w:pPr>
      <w:r>
        <w:rPr>
          <w:color w:val="000000"/>
          <w:sz w:val="22"/>
          <w:szCs w:val="22"/>
        </w:rPr>
        <w:br w:type="page"/>
      </w:r>
    </w:p>
    <w:tbl>
      <w:tblPr>
        <w:tblStyle w:val="TableGrid"/>
        <w:tblW w:w="9350" w:type="dxa"/>
        <w:tblLook w:val="04A0" w:firstRow="1" w:lastRow="0" w:firstColumn="1" w:lastColumn="0" w:noHBand="0" w:noVBand="1"/>
      </w:tblPr>
      <w:tblGrid>
        <w:gridCol w:w="1705"/>
        <w:gridCol w:w="2520"/>
        <w:gridCol w:w="2700"/>
        <w:gridCol w:w="2425"/>
      </w:tblGrid>
      <w:tr w:rsidR="001B03D6" w14:paraId="2583B141" w14:textId="2EBD48E2" w:rsidTr="00527D81">
        <w:trPr>
          <w:trHeight w:val="34"/>
        </w:trPr>
        <w:tc>
          <w:tcPr>
            <w:tcW w:w="1705" w:type="dxa"/>
            <w:noWrap/>
          </w:tcPr>
          <w:p w14:paraId="63ECD1D0" w14:textId="50CAF591" w:rsidR="001B03D6" w:rsidRPr="00527D81" w:rsidRDefault="001B03D6" w:rsidP="003B6389">
            <w:pPr>
              <w:rPr>
                <w:rFonts w:ascii="Times New Roman" w:hAnsi="Times New Roman" w:cs="Times New Roman"/>
                <w:color w:val="000000"/>
                <w:sz w:val="18"/>
                <w:szCs w:val="18"/>
              </w:rPr>
            </w:pPr>
          </w:p>
        </w:tc>
        <w:tc>
          <w:tcPr>
            <w:tcW w:w="2520" w:type="dxa"/>
            <w:noWrap/>
          </w:tcPr>
          <w:p w14:paraId="0F39F8EC" w14:textId="08E41B98" w:rsidR="001B03D6" w:rsidRPr="00527D81" w:rsidRDefault="001B03D6" w:rsidP="003B6389">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AAC</w:t>
            </w:r>
          </w:p>
        </w:tc>
        <w:tc>
          <w:tcPr>
            <w:tcW w:w="2700" w:type="dxa"/>
            <w:noWrap/>
          </w:tcPr>
          <w:p w14:paraId="3E0F3FD7" w14:textId="3352E4EE" w:rsidR="001B03D6" w:rsidRPr="00527D81" w:rsidRDefault="001B03D6" w:rsidP="003B6389">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RSC</w:t>
            </w:r>
          </w:p>
        </w:tc>
        <w:tc>
          <w:tcPr>
            <w:tcW w:w="2425" w:type="dxa"/>
          </w:tcPr>
          <w:p w14:paraId="2EA1E197" w14:textId="6B550AAC" w:rsidR="001B03D6" w:rsidRPr="00527D81" w:rsidRDefault="001B03D6" w:rsidP="003B6389">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IIC</w:t>
            </w:r>
          </w:p>
        </w:tc>
      </w:tr>
      <w:tr w:rsidR="001B03D6" w14:paraId="3C752954" w14:textId="5E7CC7C4" w:rsidTr="00AE5DF3">
        <w:trPr>
          <w:trHeight w:val="34"/>
        </w:trPr>
        <w:tc>
          <w:tcPr>
            <w:tcW w:w="1705" w:type="dxa"/>
            <w:noWrap/>
          </w:tcPr>
          <w:p w14:paraId="1E3C8D3E" w14:textId="05675E6C" w:rsidR="001B03D6" w:rsidRPr="00527D81" w:rsidRDefault="001B03D6" w:rsidP="001B03D6">
            <w:pPr>
              <w:rPr>
                <w:rFonts w:ascii="Times New Roman" w:hAnsi="Times New Roman" w:cs="Times New Roman"/>
                <w:color w:val="000000"/>
                <w:sz w:val="18"/>
                <w:szCs w:val="18"/>
              </w:rPr>
            </w:pPr>
            <w:r w:rsidRPr="00527D81">
              <w:rPr>
                <w:rFonts w:ascii="Times New Roman" w:hAnsi="Times New Roman" w:cs="Times New Roman"/>
                <w:color w:val="000000"/>
                <w:sz w:val="18"/>
                <w:szCs w:val="18"/>
              </w:rPr>
              <w:t>Distance</w:t>
            </w:r>
          </w:p>
        </w:tc>
        <w:tc>
          <w:tcPr>
            <w:tcW w:w="2520" w:type="dxa"/>
            <w:noWrap/>
            <w:vAlign w:val="bottom"/>
          </w:tcPr>
          <w:p w14:paraId="1403350E" w14:textId="5D9AD549"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0.044 (-0.068, 0.156)</w:t>
            </w:r>
          </w:p>
        </w:tc>
        <w:tc>
          <w:tcPr>
            <w:tcW w:w="2700" w:type="dxa"/>
            <w:noWrap/>
            <w:vAlign w:val="bottom"/>
          </w:tcPr>
          <w:p w14:paraId="5A171008" w14:textId="220FC850"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-0.021 (-0.113, 0.072)</w:t>
            </w:r>
          </w:p>
        </w:tc>
        <w:tc>
          <w:tcPr>
            <w:tcW w:w="2425" w:type="dxa"/>
            <w:shd w:val="clear" w:color="auto" w:fill="FFFF00"/>
            <w:vAlign w:val="bottom"/>
          </w:tcPr>
          <w:p w14:paraId="74089B91" w14:textId="4EDD1CD3"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0.169 (0.077, 0.262)</w:t>
            </w:r>
          </w:p>
        </w:tc>
      </w:tr>
      <w:tr w:rsidR="001B03D6" w14:paraId="600904AE" w14:textId="262BC77C" w:rsidTr="00AE5DF3">
        <w:trPr>
          <w:trHeight w:val="34"/>
        </w:trPr>
        <w:tc>
          <w:tcPr>
            <w:tcW w:w="1705" w:type="dxa"/>
            <w:noWrap/>
          </w:tcPr>
          <w:p w14:paraId="75BF561A" w14:textId="2B7502ED" w:rsidR="001B03D6" w:rsidRPr="00527D81" w:rsidRDefault="001B03D6" w:rsidP="001B03D6">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50m</w:t>
            </w:r>
          </w:p>
        </w:tc>
        <w:tc>
          <w:tcPr>
            <w:tcW w:w="2520" w:type="dxa"/>
            <w:noWrap/>
            <w:vAlign w:val="bottom"/>
          </w:tcPr>
          <w:p w14:paraId="48571470" w14:textId="37CBC936"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-0.009 (-0.091, 0.073)</w:t>
            </w:r>
          </w:p>
        </w:tc>
        <w:tc>
          <w:tcPr>
            <w:tcW w:w="2700" w:type="dxa"/>
            <w:noWrap/>
            <w:vAlign w:val="bottom"/>
          </w:tcPr>
          <w:p w14:paraId="4FB7E33B" w14:textId="3B36ECF1"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0.011 (-0.057, 0.078)</w:t>
            </w:r>
          </w:p>
        </w:tc>
        <w:tc>
          <w:tcPr>
            <w:tcW w:w="2425" w:type="dxa"/>
            <w:shd w:val="clear" w:color="auto" w:fill="FFFF00"/>
            <w:vAlign w:val="bottom"/>
          </w:tcPr>
          <w:p w14:paraId="7890B28A" w14:textId="13A79A87"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-0.096 (-0.16, -0.032)</w:t>
            </w:r>
          </w:p>
        </w:tc>
      </w:tr>
      <w:tr w:rsidR="001B03D6" w14:paraId="1FF806DE" w14:textId="591C8129" w:rsidTr="00AE5DF3">
        <w:trPr>
          <w:trHeight w:val="34"/>
        </w:trPr>
        <w:tc>
          <w:tcPr>
            <w:tcW w:w="1705" w:type="dxa"/>
            <w:noWrap/>
          </w:tcPr>
          <w:p w14:paraId="55056B50" w14:textId="72DAACF7" w:rsidR="001B03D6" w:rsidRPr="00527D81" w:rsidRDefault="001B03D6" w:rsidP="001B03D6">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100m</w:t>
            </w:r>
          </w:p>
        </w:tc>
        <w:tc>
          <w:tcPr>
            <w:tcW w:w="2520" w:type="dxa"/>
            <w:noWrap/>
            <w:vAlign w:val="bottom"/>
          </w:tcPr>
          <w:p w14:paraId="4BF2CFAD" w14:textId="4359610B"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-0.027 (-0.076, 0.023)</w:t>
            </w:r>
          </w:p>
        </w:tc>
        <w:tc>
          <w:tcPr>
            <w:tcW w:w="2700" w:type="dxa"/>
            <w:noWrap/>
            <w:vAlign w:val="bottom"/>
          </w:tcPr>
          <w:p w14:paraId="3D16041A" w14:textId="5EB71754"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0.007 (-0.033, 0.047)</w:t>
            </w:r>
          </w:p>
        </w:tc>
        <w:tc>
          <w:tcPr>
            <w:tcW w:w="2425" w:type="dxa"/>
            <w:shd w:val="clear" w:color="auto" w:fill="FFFF00"/>
            <w:vAlign w:val="bottom"/>
          </w:tcPr>
          <w:p w14:paraId="3593F3DD" w14:textId="1FDFF8A6"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-0.058 (-0.098, -0.018)</w:t>
            </w:r>
          </w:p>
        </w:tc>
      </w:tr>
      <w:tr w:rsidR="001B03D6" w14:paraId="6E50BD06" w14:textId="77AC478F" w:rsidTr="00AE5DF3">
        <w:trPr>
          <w:trHeight w:val="34"/>
        </w:trPr>
        <w:tc>
          <w:tcPr>
            <w:tcW w:w="1705" w:type="dxa"/>
            <w:noWrap/>
          </w:tcPr>
          <w:p w14:paraId="092C283A" w14:textId="6342EC12" w:rsidR="001B03D6" w:rsidRPr="00527D81" w:rsidRDefault="001B03D6" w:rsidP="001B03D6">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150m</w:t>
            </w:r>
          </w:p>
        </w:tc>
        <w:tc>
          <w:tcPr>
            <w:tcW w:w="2520" w:type="dxa"/>
            <w:noWrap/>
            <w:vAlign w:val="bottom"/>
          </w:tcPr>
          <w:p w14:paraId="7E0FE7AC" w14:textId="52B373CF"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-0.008 (-0.048, 0.033)</w:t>
            </w:r>
          </w:p>
        </w:tc>
        <w:tc>
          <w:tcPr>
            <w:tcW w:w="2700" w:type="dxa"/>
            <w:noWrap/>
            <w:vAlign w:val="bottom"/>
          </w:tcPr>
          <w:p w14:paraId="4337B0F0" w14:textId="6C4138E7"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0.012 (-0.021, 0.046)</w:t>
            </w:r>
          </w:p>
        </w:tc>
        <w:tc>
          <w:tcPr>
            <w:tcW w:w="2425" w:type="dxa"/>
            <w:shd w:val="clear" w:color="auto" w:fill="FFFF00"/>
            <w:vAlign w:val="bottom"/>
          </w:tcPr>
          <w:p w14:paraId="27423C00" w14:textId="6E52B658"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-0.068 (-0.101, -0.035)</w:t>
            </w:r>
          </w:p>
        </w:tc>
      </w:tr>
      <w:tr w:rsidR="001B03D6" w14:paraId="251B5FF9" w14:textId="31DE22F5" w:rsidTr="00AE5DF3">
        <w:trPr>
          <w:trHeight w:val="34"/>
        </w:trPr>
        <w:tc>
          <w:tcPr>
            <w:tcW w:w="1705" w:type="dxa"/>
            <w:noWrap/>
          </w:tcPr>
          <w:p w14:paraId="2A707BE7" w14:textId="76780616" w:rsidR="001B03D6" w:rsidRPr="00527D81" w:rsidRDefault="001B03D6" w:rsidP="001B03D6">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200m</w:t>
            </w:r>
          </w:p>
        </w:tc>
        <w:tc>
          <w:tcPr>
            <w:tcW w:w="2520" w:type="dxa"/>
            <w:noWrap/>
            <w:vAlign w:val="bottom"/>
          </w:tcPr>
          <w:p w14:paraId="384E15F9" w14:textId="389374E3"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-0.014 (-0.049, 0.021)</w:t>
            </w:r>
          </w:p>
        </w:tc>
        <w:tc>
          <w:tcPr>
            <w:tcW w:w="2700" w:type="dxa"/>
            <w:noWrap/>
            <w:vAlign w:val="bottom"/>
          </w:tcPr>
          <w:p w14:paraId="26ADCF1F" w14:textId="7642C457"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0.002 (-0.028, 0.031)</w:t>
            </w:r>
          </w:p>
        </w:tc>
        <w:tc>
          <w:tcPr>
            <w:tcW w:w="2425" w:type="dxa"/>
            <w:shd w:val="clear" w:color="auto" w:fill="FFFF00"/>
            <w:vAlign w:val="bottom"/>
          </w:tcPr>
          <w:p w14:paraId="31EFF0C3" w14:textId="762A3717"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-0.046 (-0.076, -0.015)</w:t>
            </w:r>
          </w:p>
        </w:tc>
      </w:tr>
      <w:tr w:rsidR="001B03D6" w14:paraId="6E0DC1B7" w14:textId="73EA51D6" w:rsidTr="00AE5DF3">
        <w:trPr>
          <w:trHeight w:val="34"/>
        </w:trPr>
        <w:tc>
          <w:tcPr>
            <w:tcW w:w="1705" w:type="dxa"/>
            <w:noWrap/>
          </w:tcPr>
          <w:p w14:paraId="263D8E6D" w14:textId="63ACBD59" w:rsidR="001B03D6" w:rsidRPr="00527D81" w:rsidRDefault="001B03D6" w:rsidP="001B03D6">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300m</w:t>
            </w:r>
          </w:p>
        </w:tc>
        <w:tc>
          <w:tcPr>
            <w:tcW w:w="2520" w:type="dxa"/>
            <w:noWrap/>
            <w:vAlign w:val="bottom"/>
          </w:tcPr>
          <w:p w14:paraId="228DC391" w14:textId="43130C4E"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-0.018 (-0.05, 0.013)</w:t>
            </w:r>
          </w:p>
        </w:tc>
        <w:tc>
          <w:tcPr>
            <w:tcW w:w="2700" w:type="dxa"/>
            <w:noWrap/>
            <w:vAlign w:val="bottom"/>
          </w:tcPr>
          <w:p w14:paraId="33944E98" w14:textId="2F2301E3"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0.004 (-0.022, 0.031)</w:t>
            </w:r>
          </w:p>
        </w:tc>
        <w:tc>
          <w:tcPr>
            <w:tcW w:w="2425" w:type="dxa"/>
            <w:shd w:val="clear" w:color="auto" w:fill="FFFF00"/>
            <w:vAlign w:val="bottom"/>
          </w:tcPr>
          <w:p w14:paraId="7F526730" w14:textId="4C906790"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-0.042 (-0.068, -0.015)</w:t>
            </w:r>
          </w:p>
        </w:tc>
      </w:tr>
      <w:tr w:rsidR="001B03D6" w14:paraId="21409F53" w14:textId="067D29B5" w:rsidTr="00AE5DF3">
        <w:trPr>
          <w:trHeight w:val="34"/>
        </w:trPr>
        <w:tc>
          <w:tcPr>
            <w:tcW w:w="1705" w:type="dxa"/>
            <w:noWrap/>
          </w:tcPr>
          <w:p w14:paraId="20CD86EA" w14:textId="3C1B259B" w:rsidR="001B03D6" w:rsidRPr="00527D81" w:rsidRDefault="001B03D6" w:rsidP="001B03D6">
            <w:pPr>
              <w:rPr>
                <w:rFonts w:ascii="Times New Roman" w:hAnsi="Times New Roman" w:cs="Times New Roman"/>
                <w:color w:val="000000"/>
                <w:sz w:val="18"/>
                <w:szCs w:val="18"/>
              </w:rPr>
            </w:pPr>
            <w:r w:rsidRPr="00527D81">
              <w:rPr>
                <w:rFonts w:ascii="Times New Roman" w:hAnsi="Times New Roman" w:cs="Times New Roman"/>
                <w:color w:val="000000"/>
                <w:sz w:val="18"/>
                <w:szCs w:val="18"/>
              </w:rPr>
              <w:t xml:space="preserve">Area within 500m </w:t>
            </w:r>
          </w:p>
        </w:tc>
        <w:tc>
          <w:tcPr>
            <w:tcW w:w="2520" w:type="dxa"/>
            <w:noWrap/>
            <w:vAlign w:val="bottom"/>
          </w:tcPr>
          <w:p w14:paraId="07BD752F" w14:textId="168DDD9C"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-0.02 (-0.049, 0.01</w:t>
            </w:r>
            <w:r w:rsidR="00D56636">
              <w:rPr>
                <w:rFonts w:ascii="Times New Roman" w:hAnsi="Times New Roman" w:cs="Times New Roman"/>
                <w:color w:val="000000"/>
                <w:sz w:val="18"/>
                <w:szCs w:val="18"/>
              </w:rPr>
              <w:t>0</w:t>
            </w:r>
            <w:r w:rsidRPr="00527D81">
              <w:rPr>
                <w:rFonts w:ascii="Times New Roman" w:hAnsi="Times New Roman" w:cs="Times New Roman"/>
                <w:color w:val="000000"/>
                <w:sz w:val="18"/>
                <w:szCs w:val="18"/>
              </w:rPr>
              <w:t>)</w:t>
            </w:r>
          </w:p>
        </w:tc>
        <w:tc>
          <w:tcPr>
            <w:tcW w:w="2700" w:type="dxa"/>
            <w:noWrap/>
            <w:vAlign w:val="bottom"/>
          </w:tcPr>
          <w:p w14:paraId="0A454C11" w14:textId="04F0A331"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0.011 (-0.014, 0.036)</w:t>
            </w:r>
          </w:p>
        </w:tc>
        <w:tc>
          <w:tcPr>
            <w:tcW w:w="2425" w:type="dxa"/>
            <w:shd w:val="clear" w:color="auto" w:fill="FFFF00"/>
            <w:vAlign w:val="bottom"/>
          </w:tcPr>
          <w:p w14:paraId="0AB5AA99" w14:textId="5AE1E30A"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-0.03 (-0.055, -0.005)</w:t>
            </w:r>
          </w:p>
        </w:tc>
      </w:tr>
      <w:tr w:rsidR="001B03D6" w14:paraId="62F4B521" w14:textId="4807E7EC" w:rsidTr="00527D81">
        <w:trPr>
          <w:trHeight w:val="34"/>
        </w:trPr>
        <w:tc>
          <w:tcPr>
            <w:tcW w:w="1705" w:type="dxa"/>
            <w:noWrap/>
          </w:tcPr>
          <w:p w14:paraId="472CF337" w14:textId="2D02F989" w:rsidR="001B03D6" w:rsidRPr="00527D81" w:rsidRDefault="001B03D6" w:rsidP="001B03D6">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1000m</w:t>
            </w:r>
          </w:p>
        </w:tc>
        <w:tc>
          <w:tcPr>
            <w:tcW w:w="2520" w:type="dxa"/>
            <w:noWrap/>
            <w:vAlign w:val="bottom"/>
          </w:tcPr>
          <w:p w14:paraId="227B6A6F" w14:textId="50567101"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-0.021 (-0.056, 0.015)</w:t>
            </w:r>
          </w:p>
        </w:tc>
        <w:tc>
          <w:tcPr>
            <w:tcW w:w="2700" w:type="dxa"/>
            <w:noWrap/>
            <w:vAlign w:val="bottom"/>
          </w:tcPr>
          <w:p w14:paraId="73AEFBEA" w14:textId="0F658532"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0.011 (-0.019, 0.041)</w:t>
            </w:r>
          </w:p>
        </w:tc>
        <w:tc>
          <w:tcPr>
            <w:tcW w:w="2425" w:type="dxa"/>
            <w:vAlign w:val="bottom"/>
          </w:tcPr>
          <w:p w14:paraId="72593694" w14:textId="26CFEDC5" w:rsidR="001B03D6" w:rsidRPr="00527D81" w:rsidRDefault="001B03D6" w:rsidP="001B03D6">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-0.029 (-0.06, 0.003)</w:t>
            </w:r>
          </w:p>
        </w:tc>
      </w:tr>
    </w:tbl>
    <w:p w14:paraId="51DBA1A5" w14:textId="77777777" w:rsidR="00527D81" w:rsidRDefault="00527D81">
      <w:pPr>
        <w:rPr>
          <w:b/>
          <w:bCs/>
          <w:color w:val="000000"/>
          <w:sz w:val="22"/>
          <w:szCs w:val="22"/>
        </w:rPr>
      </w:pPr>
    </w:p>
    <w:tbl>
      <w:tblPr>
        <w:tblStyle w:val="TableGrid"/>
        <w:tblW w:w="6925" w:type="dxa"/>
        <w:tblLook w:val="04A0" w:firstRow="1" w:lastRow="0" w:firstColumn="1" w:lastColumn="0" w:noHBand="0" w:noVBand="1"/>
      </w:tblPr>
      <w:tblGrid>
        <w:gridCol w:w="1705"/>
        <w:gridCol w:w="2520"/>
        <w:gridCol w:w="2700"/>
      </w:tblGrid>
      <w:tr w:rsidR="00A73875" w:rsidRPr="00527D81" w14:paraId="05BE13A6" w14:textId="77777777" w:rsidTr="00A73875">
        <w:trPr>
          <w:trHeight w:val="34"/>
        </w:trPr>
        <w:tc>
          <w:tcPr>
            <w:tcW w:w="1705" w:type="dxa"/>
            <w:noWrap/>
          </w:tcPr>
          <w:p w14:paraId="30250165" w14:textId="697FDF4C" w:rsidR="00A73875" w:rsidRPr="00A82C53" w:rsidRDefault="00A73875" w:rsidP="003B6389">
            <w:pPr>
              <w:rPr>
                <w:rFonts w:ascii="Times New Roman" w:hAnsi="Times New Roman" w:cs="Times New Roman"/>
                <w:color w:val="000000"/>
                <w:sz w:val="18"/>
                <w:szCs w:val="18"/>
              </w:rPr>
            </w:pPr>
          </w:p>
        </w:tc>
        <w:tc>
          <w:tcPr>
            <w:tcW w:w="2520" w:type="dxa"/>
            <w:noWrap/>
          </w:tcPr>
          <w:p w14:paraId="16B344EE" w14:textId="5DCEEF99" w:rsidR="00A73875" w:rsidRPr="00A82C53" w:rsidRDefault="00A73875" w:rsidP="003B6389">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INC</w:t>
            </w:r>
          </w:p>
        </w:tc>
        <w:tc>
          <w:tcPr>
            <w:tcW w:w="2700" w:type="dxa"/>
            <w:noWrap/>
          </w:tcPr>
          <w:p w14:paraId="76680BA4" w14:textId="5AF48EC4" w:rsidR="00A73875" w:rsidRPr="00A82C53" w:rsidRDefault="00A73875" w:rsidP="003B6389">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ISC</w:t>
            </w:r>
          </w:p>
        </w:tc>
      </w:tr>
      <w:tr w:rsidR="005E7C1C" w:rsidRPr="00527D81" w14:paraId="05AA7E5F" w14:textId="77777777" w:rsidTr="00A73875">
        <w:trPr>
          <w:trHeight w:val="34"/>
        </w:trPr>
        <w:tc>
          <w:tcPr>
            <w:tcW w:w="1705" w:type="dxa"/>
            <w:noWrap/>
          </w:tcPr>
          <w:p w14:paraId="680483FF" w14:textId="77777777" w:rsidR="005E7C1C" w:rsidRPr="00A82C53" w:rsidRDefault="005E7C1C" w:rsidP="005E7C1C">
            <w:pPr>
              <w:rPr>
                <w:rFonts w:ascii="Times New Roman" w:hAnsi="Times New Roman" w:cs="Times New Roman"/>
                <w:color w:val="000000"/>
                <w:sz w:val="18"/>
                <w:szCs w:val="18"/>
              </w:rPr>
            </w:pPr>
            <w:r w:rsidRPr="00A82C53">
              <w:rPr>
                <w:rFonts w:ascii="Times New Roman" w:hAnsi="Times New Roman" w:cs="Times New Roman"/>
                <w:color w:val="000000"/>
                <w:sz w:val="18"/>
                <w:szCs w:val="18"/>
              </w:rPr>
              <w:t>Distance</w:t>
            </w:r>
          </w:p>
        </w:tc>
        <w:tc>
          <w:tcPr>
            <w:tcW w:w="2520" w:type="dxa"/>
            <w:noWrap/>
            <w:vAlign w:val="bottom"/>
          </w:tcPr>
          <w:p w14:paraId="1048AC6D" w14:textId="7280F6C9"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0.049 (-0.045, 0.143)</w:t>
            </w:r>
          </w:p>
        </w:tc>
        <w:tc>
          <w:tcPr>
            <w:tcW w:w="2700" w:type="dxa"/>
            <w:noWrap/>
            <w:vAlign w:val="bottom"/>
          </w:tcPr>
          <w:p w14:paraId="4F0B7C75" w14:textId="500609C4"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0.084 (-0.004, 0.173)</w:t>
            </w:r>
          </w:p>
        </w:tc>
      </w:tr>
      <w:tr w:rsidR="005E7C1C" w:rsidRPr="00527D81" w14:paraId="406846CF" w14:textId="77777777" w:rsidTr="00A73875">
        <w:trPr>
          <w:trHeight w:val="34"/>
        </w:trPr>
        <w:tc>
          <w:tcPr>
            <w:tcW w:w="1705" w:type="dxa"/>
            <w:noWrap/>
          </w:tcPr>
          <w:p w14:paraId="78BEA5A6" w14:textId="77777777" w:rsidR="005E7C1C" w:rsidRPr="00A82C53" w:rsidRDefault="005E7C1C" w:rsidP="005E7C1C">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50m</w:t>
            </w:r>
          </w:p>
        </w:tc>
        <w:tc>
          <w:tcPr>
            <w:tcW w:w="2520" w:type="dxa"/>
            <w:noWrap/>
            <w:vAlign w:val="bottom"/>
          </w:tcPr>
          <w:p w14:paraId="44E5D8C6" w14:textId="07ABC049"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-0.017 (-0.086, 0.052)</w:t>
            </w:r>
          </w:p>
        </w:tc>
        <w:tc>
          <w:tcPr>
            <w:tcW w:w="2700" w:type="dxa"/>
            <w:noWrap/>
            <w:vAlign w:val="bottom"/>
          </w:tcPr>
          <w:p w14:paraId="40BA0D5B" w14:textId="4031672A"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-0.013 (-0.075, 0.048)</w:t>
            </w:r>
          </w:p>
        </w:tc>
      </w:tr>
      <w:tr w:rsidR="005E7C1C" w:rsidRPr="00527D81" w14:paraId="6904B376" w14:textId="77777777" w:rsidTr="00A73875">
        <w:trPr>
          <w:trHeight w:val="34"/>
        </w:trPr>
        <w:tc>
          <w:tcPr>
            <w:tcW w:w="1705" w:type="dxa"/>
            <w:noWrap/>
          </w:tcPr>
          <w:p w14:paraId="7B71429F" w14:textId="77777777" w:rsidR="005E7C1C" w:rsidRPr="00A82C53" w:rsidRDefault="005E7C1C" w:rsidP="005E7C1C">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100m</w:t>
            </w:r>
          </w:p>
        </w:tc>
        <w:tc>
          <w:tcPr>
            <w:tcW w:w="2520" w:type="dxa"/>
            <w:noWrap/>
            <w:vAlign w:val="bottom"/>
          </w:tcPr>
          <w:p w14:paraId="4315BC48" w14:textId="06DA27B8"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-0.032 (-0.073, 0.008)</w:t>
            </w:r>
          </w:p>
        </w:tc>
        <w:tc>
          <w:tcPr>
            <w:tcW w:w="2700" w:type="dxa"/>
            <w:noWrap/>
            <w:vAlign w:val="bottom"/>
          </w:tcPr>
          <w:p w14:paraId="33E4ED00" w14:textId="030CCD1A"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-0.031 (-0.069, 0.007)</w:t>
            </w:r>
          </w:p>
        </w:tc>
      </w:tr>
      <w:tr w:rsidR="005E7C1C" w:rsidRPr="00527D81" w14:paraId="647840A3" w14:textId="77777777" w:rsidTr="001941A9">
        <w:trPr>
          <w:trHeight w:val="34"/>
        </w:trPr>
        <w:tc>
          <w:tcPr>
            <w:tcW w:w="1705" w:type="dxa"/>
            <w:noWrap/>
          </w:tcPr>
          <w:p w14:paraId="74659B8B" w14:textId="77777777" w:rsidR="005E7C1C" w:rsidRPr="00A82C53" w:rsidRDefault="005E7C1C" w:rsidP="005E7C1C">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150m</w:t>
            </w:r>
          </w:p>
        </w:tc>
        <w:tc>
          <w:tcPr>
            <w:tcW w:w="2520" w:type="dxa"/>
            <w:noWrap/>
            <w:vAlign w:val="bottom"/>
          </w:tcPr>
          <w:p w14:paraId="790D0FFD" w14:textId="7C070A66"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-0.02 (-0.053, 0.013)</w:t>
            </w:r>
          </w:p>
        </w:tc>
        <w:tc>
          <w:tcPr>
            <w:tcW w:w="2700" w:type="dxa"/>
            <w:shd w:val="clear" w:color="auto" w:fill="FFFF00"/>
            <w:noWrap/>
            <w:vAlign w:val="bottom"/>
          </w:tcPr>
          <w:p w14:paraId="052B5DB7" w14:textId="303932EA"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-0.039 (-0.071, -0.008)</w:t>
            </w:r>
          </w:p>
        </w:tc>
      </w:tr>
      <w:tr w:rsidR="005E7C1C" w:rsidRPr="00527D81" w14:paraId="191E4DB7" w14:textId="77777777" w:rsidTr="00A73875">
        <w:trPr>
          <w:trHeight w:val="34"/>
        </w:trPr>
        <w:tc>
          <w:tcPr>
            <w:tcW w:w="1705" w:type="dxa"/>
            <w:noWrap/>
          </w:tcPr>
          <w:p w14:paraId="7454A0D4" w14:textId="77777777" w:rsidR="005E7C1C" w:rsidRPr="00A82C53" w:rsidRDefault="005E7C1C" w:rsidP="005E7C1C">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200m</w:t>
            </w:r>
          </w:p>
        </w:tc>
        <w:tc>
          <w:tcPr>
            <w:tcW w:w="2520" w:type="dxa"/>
            <w:noWrap/>
            <w:vAlign w:val="bottom"/>
          </w:tcPr>
          <w:p w14:paraId="6DAAC944" w14:textId="2ED1AF1B"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-0.027 (-0.057, 0.003)</w:t>
            </w:r>
          </w:p>
        </w:tc>
        <w:tc>
          <w:tcPr>
            <w:tcW w:w="2700" w:type="dxa"/>
            <w:noWrap/>
            <w:vAlign w:val="bottom"/>
          </w:tcPr>
          <w:p w14:paraId="4BF83767" w14:textId="5FACAE6C"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-0.028 (-0.056, 0</w:t>
            </w:r>
            <w:r w:rsidR="00D56636">
              <w:rPr>
                <w:rFonts w:ascii="Times New Roman" w:hAnsi="Times New Roman" w:cs="Times New Roman"/>
                <w:color w:val="000000"/>
                <w:sz w:val="18"/>
                <w:szCs w:val="18"/>
              </w:rPr>
              <w:t>.000</w:t>
            </w:r>
            <w:r w:rsidRPr="00A82C53">
              <w:rPr>
                <w:rFonts w:ascii="Times New Roman" w:hAnsi="Times New Roman" w:cs="Times New Roman"/>
                <w:color w:val="000000"/>
                <w:sz w:val="18"/>
                <w:szCs w:val="18"/>
              </w:rPr>
              <w:t>)</w:t>
            </w:r>
          </w:p>
        </w:tc>
      </w:tr>
      <w:tr w:rsidR="005E7C1C" w:rsidRPr="00527D81" w14:paraId="224053ED" w14:textId="77777777" w:rsidTr="001941A9">
        <w:trPr>
          <w:trHeight w:val="34"/>
        </w:trPr>
        <w:tc>
          <w:tcPr>
            <w:tcW w:w="1705" w:type="dxa"/>
            <w:noWrap/>
          </w:tcPr>
          <w:p w14:paraId="3A983714" w14:textId="77777777" w:rsidR="005E7C1C" w:rsidRPr="00A82C53" w:rsidRDefault="005E7C1C" w:rsidP="005E7C1C">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300m</w:t>
            </w:r>
          </w:p>
        </w:tc>
        <w:tc>
          <w:tcPr>
            <w:tcW w:w="2520" w:type="dxa"/>
            <w:noWrap/>
            <w:vAlign w:val="bottom"/>
          </w:tcPr>
          <w:p w14:paraId="7C85CCAF" w14:textId="1497E46B"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-0.026 (-0.053, 0.002)</w:t>
            </w:r>
          </w:p>
        </w:tc>
        <w:tc>
          <w:tcPr>
            <w:tcW w:w="2700" w:type="dxa"/>
            <w:shd w:val="clear" w:color="auto" w:fill="FFFF00"/>
            <w:noWrap/>
            <w:vAlign w:val="bottom"/>
          </w:tcPr>
          <w:p w14:paraId="340A4E49" w14:textId="6B419104"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-0.027 (-0.053, -0.001)</w:t>
            </w:r>
          </w:p>
        </w:tc>
      </w:tr>
      <w:tr w:rsidR="005E7C1C" w:rsidRPr="00527D81" w14:paraId="3AB9B372" w14:textId="77777777" w:rsidTr="001941A9">
        <w:trPr>
          <w:trHeight w:val="34"/>
        </w:trPr>
        <w:tc>
          <w:tcPr>
            <w:tcW w:w="1705" w:type="dxa"/>
            <w:noWrap/>
          </w:tcPr>
          <w:p w14:paraId="18E0761B" w14:textId="77777777" w:rsidR="005E7C1C" w:rsidRPr="00A82C53" w:rsidRDefault="005E7C1C" w:rsidP="005E7C1C">
            <w:pPr>
              <w:rPr>
                <w:rFonts w:ascii="Times New Roman" w:hAnsi="Times New Roman" w:cs="Times New Roman"/>
                <w:color w:val="000000"/>
                <w:sz w:val="18"/>
                <w:szCs w:val="18"/>
              </w:rPr>
            </w:pPr>
            <w:r w:rsidRPr="00A82C53">
              <w:rPr>
                <w:rFonts w:ascii="Times New Roman" w:hAnsi="Times New Roman" w:cs="Times New Roman"/>
                <w:color w:val="000000"/>
                <w:sz w:val="18"/>
                <w:szCs w:val="18"/>
              </w:rPr>
              <w:t xml:space="preserve">Area within 500m </w:t>
            </w:r>
          </w:p>
        </w:tc>
        <w:tc>
          <w:tcPr>
            <w:tcW w:w="2520" w:type="dxa"/>
            <w:noWrap/>
            <w:vAlign w:val="bottom"/>
          </w:tcPr>
          <w:p w14:paraId="761F9676" w14:textId="0C649A25"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-0.005 (-0.03, 0.02</w:t>
            </w:r>
            <w:r w:rsidR="00D56636">
              <w:rPr>
                <w:rFonts w:ascii="Times New Roman" w:hAnsi="Times New Roman" w:cs="Times New Roman"/>
                <w:color w:val="000000"/>
                <w:sz w:val="18"/>
                <w:szCs w:val="18"/>
              </w:rPr>
              <w:t>0</w:t>
            </w:r>
            <w:r w:rsidRPr="00A82C53">
              <w:rPr>
                <w:rFonts w:ascii="Times New Roman" w:hAnsi="Times New Roman" w:cs="Times New Roman"/>
                <w:color w:val="000000"/>
                <w:sz w:val="18"/>
                <w:szCs w:val="18"/>
              </w:rPr>
              <w:t>)</w:t>
            </w:r>
          </w:p>
        </w:tc>
        <w:tc>
          <w:tcPr>
            <w:tcW w:w="2700" w:type="dxa"/>
            <w:shd w:val="clear" w:color="auto" w:fill="FFFF00"/>
            <w:noWrap/>
            <w:vAlign w:val="bottom"/>
          </w:tcPr>
          <w:p w14:paraId="34DC36F6" w14:textId="3E7D2D93"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-0.032 (-0.057, -0.008)</w:t>
            </w:r>
          </w:p>
        </w:tc>
      </w:tr>
      <w:tr w:rsidR="005E7C1C" w:rsidRPr="00527D81" w14:paraId="4B0D42BC" w14:textId="77777777" w:rsidTr="00A73875">
        <w:trPr>
          <w:trHeight w:val="34"/>
        </w:trPr>
        <w:tc>
          <w:tcPr>
            <w:tcW w:w="1705" w:type="dxa"/>
            <w:noWrap/>
          </w:tcPr>
          <w:p w14:paraId="0125F1C3" w14:textId="77777777" w:rsidR="005E7C1C" w:rsidRPr="00A82C53" w:rsidRDefault="005E7C1C" w:rsidP="005E7C1C">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1000m</w:t>
            </w:r>
          </w:p>
        </w:tc>
        <w:tc>
          <w:tcPr>
            <w:tcW w:w="2520" w:type="dxa"/>
            <w:noWrap/>
            <w:vAlign w:val="bottom"/>
          </w:tcPr>
          <w:p w14:paraId="27B8750C" w14:textId="1651CBAA"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0.004 (-0.026, 0.034)</w:t>
            </w:r>
          </w:p>
        </w:tc>
        <w:tc>
          <w:tcPr>
            <w:tcW w:w="2700" w:type="dxa"/>
            <w:noWrap/>
            <w:vAlign w:val="bottom"/>
          </w:tcPr>
          <w:p w14:paraId="6A6F1178" w14:textId="2EF46D5D" w:rsidR="005E7C1C" w:rsidRPr="00A82C53" w:rsidRDefault="005E7C1C" w:rsidP="005E7C1C">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-0.018 (-0.044, 0.009)</w:t>
            </w:r>
          </w:p>
        </w:tc>
      </w:tr>
    </w:tbl>
    <w:p w14:paraId="5BE7486B" w14:textId="77777777" w:rsidR="00A73875" w:rsidRDefault="00A73875">
      <w:pPr>
        <w:rPr>
          <w:b/>
          <w:bCs/>
          <w:color w:val="000000"/>
          <w:sz w:val="22"/>
          <w:szCs w:val="22"/>
        </w:rPr>
      </w:pPr>
    </w:p>
    <w:p w14:paraId="1FF3D204" w14:textId="77777777" w:rsidR="00A73875" w:rsidRDefault="00A73875">
      <w:pPr>
        <w:rPr>
          <w:b/>
          <w:bCs/>
          <w:color w:val="000000"/>
          <w:sz w:val="22"/>
          <w:szCs w:val="22"/>
        </w:rPr>
      </w:pPr>
    </w:p>
    <w:tbl>
      <w:tblPr>
        <w:tblStyle w:val="TableGrid"/>
        <w:tblW w:w="9350" w:type="dxa"/>
        <w:tblLook w:val="04A0" w:firstRow="1" w:lastRow="0" w:firstColumn="1" w:lastColumn="0" w:noHBand="0" w:noVBand="1"/>
      </w:tblPr>
      <w:tblGrid>
        <w:gridCol w:w="1656"/>
        <w:gridCol w:w="2444"/>
        <w:gridCol w:w="2617"/>
        <w:gridCol w:w="2633"/>
      </w:tblGrid>
      <w:tr w:rsidR="00527D81" w:rsidRPr="00527D81" w14:paraId="3E262649" w14:textId="77777777" w:rsidTr="004775F1">
        <w:trPr>
          <w:trHeight w:val="34"/>
        </w:trPr>
        <w:tc>
          <w:tcPr>
            <w:tcW w:w="1656" w:type="dxa"/>
            <w:noWrap/>
          </w:tcPr>
          <w:p w14:paraId="1ABFBBDF" w14:textId="409AEC63" w:rsidR="00527D81" w:rsidRPr="00BC44FF" w:rsidRDefault="00527D81" w:rsidP="003B6389">
            <w:pPr>
              <w:rPr>
                <w:rFonts w:ascii="Times New Roman" w:hAnsi="Times New Roman" w:cs="Times New Roman"/>
                <w:color w:val="000000"/>
                <w:sz w:val="18"/>
                <w:szCs w:val="18"/>
              </w:rPr>
            </w:pPr>
          </w:p>
        </w:tc>
        <w:tc>
          <w:tcPr>
            <w:tcW w:w="2444" w:type="dxa"/>
            <w:noWrap/>
          </w:tcPr>
          <w:p w14:paraId="24BB23D9" w14:textId="1B7621AB" w:rsidR="00A36021" w:rsidRPr="00BC44FF" w:rsidRDefault="00A36021" w:rsidP="00A3602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 xml:space="preserve">Auditory </w:t>
            </w:r>
            <w:r w:rsidR="00BC44FF">
              <w:rPr>
                <w:rFonts w:ascii="Times New Roman" w:hAnsi="Times New Roman" w:cs="Times New Roman"/>
                <w:color w:val="000000"/>
                <w:sz w:val="18"/>
                <w:szCs w:val="18"/>
              </w:rPr>
              <w:t>A</w:t>
            </w:r>
            <w:r w:rsidRPr="00BC44FF">
              <w:rPr>
                <w:rFonts w:ascii="Times New Roman" w:hAnsi="Times New Roman" w:cs="Times New Roman"/>
                <w:color w:val="000000"/>
                <w:sz w:val="18"/>
                <w:szCs w:val="18"/>
              </w:rPr>
              <w:t>ttention</w:t>
            </w:r>
          </w:p>
          <w:p w14:paraId="48971EF2" w14:textId="4FF972BD" w:rsidR="00527D81" w:rsidRPr="00BC44FF" w:rsidRDefault="00A36021" w:rsidP="0024329E">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 xml:space="preserve">Response </w:t>
            </w:r>
            <w:r w:rsidR="00BC44FF">
              <w:rPr>
                <w:rFonts w:ascii="Times New Roman" w:hAnsi="Times New Roman" w:cs="Times New Roman"/>
                <w:color w:val="000000"/>
                <w:sz w:val="18"/>
                <w:szCs w:val="18"/>
              </w:rPr>
              <w:t>S</w:t>
            </w:r>
            <w:r w:rsidRPr="00BC44FF">
              <w:rPr>
                <w:rFonts w:ascii="Times New Roman" w:hAnsi="Times New Roman" w:cs="Times New Roman"/>
                <w:color w:val="000000"/>
                <w:sz w:val="18"/>
                <w:szCs w:val="18"/>
              </w:rPr>
              <w:t>et</w:t>
            </w:r>
          </w:p>
        </w:tc>
        <w:tc>
          <w:tcPr>
            <w:tcW w:w="2617" w:type="dxa"/>
            <w:noWrap/>
          </w:tcPr>
          <w:p w14:paraId="688B07F2" w14:textId="464EAB58" w:rsidR="00527D81" w:rsidRPr="00BC44FF" w:rsidRDefault="00A73875"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Inhibition</w:t>
            </w:r>
          </w:p>
        </w:tc>
        <w:tc>
          <w:tcPr>
            <w:tcW w:w="2633" w:type="dxa"/>
          </w:tcPr>
          <w:p w14:paraId="32EC71C8" w14:textId="397C0FC2" w:rsidR="00A73875" w:rsidRPr="00BC44FF" w:rsidRDefault="00BC44FF" w:rsidP="00A73875">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A</w:t>
            </w:r>
            <w:r w:rsidR="00A73875" w:rsidRPr="00BC44FF">
              <w:rPr>
                <w:rFonts w:ascii="Times New Roman" w:hAnsi="Times New Roman" w:cs="Times New Roman"/>
                <w:color w:val="000000"/>
                <w:sz w:val="18"/>
                <w:szCs w:val="18"/>
              </w:rPr>
              <w:t>ttention</w:t>
            </w:r>
            <w:r>
              <w:rPr>
                <w:rFonts w:ascii="Times New Roman" w:hAnsi="Times New Roman" w:cs="Times New Roman"/>
                <w:color w:val="000000"/>
                <w:sz w:val="18"/>
                <w:szCs w:val="18"/>
              </w:rPr>
              <w:t xml:space="preserve"> I</w:t>
            </w:r>
            <w:r w:rsidR="00A73875" w:rsidRPr="00BC44FF">
              <w:rPr>
                <w:rFonts w:ascii="Times New Roman" w:hAnsi="Times New Roman" w:cs="Times New Roman"/>
                <w:color w:val="000000"/>
                <w:sz w:val="18"/>
                <w:szCs w:val="18"/>
              </w:rPr>
              <w:t>nhibitory</w:t>
            </w:r>
            <w:r>
              <w:rPr>
                <w:rFonts w:ascii="Times New Roman" w:hAnsi="Times New Roman" w:cs="Times New Roman"/>
                <w:color w:val="000000"/>
                <w:sz w:val="18"/>
                <w:szCs w:val="18"/>
              </w:rPr>
              <w:t xml:space="preserve"> C</w:t>
            </w:r>
            <w:r w:rsidR="00A73875" w:rsidRPr="00BC44FF">
              <w:rPr>
                <w:rFonts w:ascii="Times New Roman" w:hAnsi="Times New Roman" w:cs="Times New Roman"/>
                <w:color w:val="000000"/>
                <w:sz w:val="18"/>
                <w:szCs w:val="18"/>
              </w:rPr>
              <w:t>ontrol</w:t>
            </w:r>
          </w:p>
          <w:p w14:paraId="38BCCD8B" w14:textId="51E26B3C" w:rsidR="00527D81" w:rsidRPr="00BC44FF" w:rsidRDefault="00527D81" w:rsidP="003B6389">
            <w:pPr>
              <w:jc w:val="center"/>
              <w:rPr>
                <w:rFonts w:ascii="Times New Roman" w:hAnsi="Times New Roman" w:cs="Times New Roman"/>
                <w:color w:val="000000"/>
                <w:sz w:val="18"/>
                <w:szCs w:val="18"/>
              </w:rPr>
            </w:pPr>
          </w:p>
        </w:tc>
      </w:tr>
      <w:tr w:rsidR="001941A9" w:rsidRPr="00527D81" w14:paraId="086DDEEF" w14:textId="77777777" w:rsidTr="001941A9">
        <w:trPr>
          <w:trHeight w:val="34"/>
        </w:trPr>
        <w:tc>
          <w:tcPr>
            <w:tcW w:w="1656" w:type="dxa"/>
            <w:noWrap/>
          </w:tcPr>
          <w:p w14:paraId="5897A1B9" w14:textId="2BE9A0B6" w:rsidR="004775F1" w:rsidRPr="00BC44FF" w:rsidRDefault="004775F1" w:rsidP="004775F1">
            <w:pPr>
              <w:rPr>
                <w:rFonts w:ascii="Times New Roman" w:hAnsi="Times New Roman" w:cs="Times New Roman"/>
                <w:color w:val="000000"/>
                <w:sz w:val="18"/>
                <w:szCs w:val="18"/>
              </w:rPr>
            </w:pPr>
          </w:p>
        </w:tc>
        <w:tc>
          <w:tcPr>
            <w:tcW w:w="2444" w:type="dxa"/>
            <w:noWrap/>
            <w:vAlign w:val="bottom"/>
          </w:tcPr>
          <w:p w14:paraId="4C2422ED" w14:textId="16DA191D"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0.016 (-0.068, 0.1</w:t>
            </w:r>
            <w:r w:rsidR="00D56636">
              <w:rPr>
                <w:rFonts w:ascii="Times New Roman" w:hAnsi="Times New Roman" w:cs="Times New Roman"/>
                <w:color w:val="000000"/>
                <w:sz w:val="18"/>
                <w:szCs w:val="18"/>
              </w:rPr>
              <w:t>00</w:t>
            </w:r>
            <w:r w:rsidRPr="00BC44FF">
              <w:rPr>
                <w:rFonts w:ascii="Times New Roman" w:hAnsi="Times New Roman" w:cs="Times New Roman"/>
                <w:color w:val="000000"/>
                <w:sz w:val="18"/>
                <w:szCs w:val="18"/>
              </w:rPr>
              <w:t>)</w:t>
            </w:r>
          </w:p>
        </w:tc>
        <w:tc>
          <w:tcPr>
            <w:tcW w:w="2617" w:type="dxa"/>
            <w:shd w:val="clear" w:color="auto" w:fill="FFFF00"/>
            <w:noWrap/>
            <w:vAlign w:val="bottom"/>
          </w:tcPr>
          <w:p w14:paraId="215CCD71" w14:textId="189BD606"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0.135 (0.06</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 0.21</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w:t>
            </w:r>
          </w:p>
        </w:tc>
        <w:tc>
          <w:tcPr>
            <w:tcW w:w="2633" w:type="dxa"/>
            <w:shd w:val="clear" w:color="auto" w:fill="FFFF00"/>
            <w:vAlign w:val="bottom"/>
          </w:tcPr>
          <w:p w14:paraId="00423EBF" w14:textId="6C78D019"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0.086 (0.02</w:t>
            </w:r>
            <w:r w:rsidR="00AC0733">
              <w:rPr>
                <w:rFonts w:ascii="Times New Roman" w:hAnsi="Times New Roman" w:cs="Times New Roman"/>
                <w:color w:val="000000"/>
                <w:sz w:val="18"/>
                <w:szCs w:val="18"/>
              </w:rPr>
              <w:t>0</w:t>
            </w:r>
            <w:r w:rsidRPr="00BC44FF">
              <w:rPr>
                <w:rFonts w:ascii="Times New Roman" w:hAnsi="Times New Roman" w:cs="Times New Roman"/>
                <w:color w:val="000000"/>
                <w:sz w:val="18"/>
                <w:szCs w:val="18"/>
              </w:rPr>
              <w:t>, 0.152)</w:t>
            </w:r>
          </w:p>
        </w:tc>
      </w:tr>
      <w:tr w:rsidR="004775F1" w:rsidRPr="00527D81" w14:paraId="1DE63A28" w14:textId="77777777" w:rsidTr="001941A9">
        <w:trPr>
          <w:trHeight w:val="34"/>
        </w:trPr>
        <w:tc>
          <w:tcPr>
            <w:tcW w:w="1656" w:type="dxa"/>
            <w:noWrap/>
          </w:tcPr>
          <w:p w14:paraId="7A0E3D7B" w14:textId="77777777" w:rsidR="004775F1" w:rsidRPr="00BC44FF" w:rsidRDefault="004775F1" w:rsidP="004775F1">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50m</w:t>
            </w:r>
          </w:p>
        </w:tc>
        <w:tc>
          <w:tcPr>
            <w:tcW w:w="2444" w:type="dxa"/>
            <w:noWrap/>
            <w:vAlign w:val="bottom"/>
          </w:tcPr>
          <w:p w14:paraId="0F598AEB" w14:textId="24EE8FA5"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-0.003 (-0.067, 0.062)</w:t>
            </w:r>
          </w:p>
        </w:tc>
        <w:tc>
          <w:tcPr>
            <w:tcW w:w="2617" w:type="dxa"/>
            <w:shd w:val="clear" w:color="auto" w:fill="FFFF00"/>
            <w:noWrap/>
            <w:vAlign w:val="bottom"/>
          </w:tcPr>
          <w:p w14:paraId="79330BA5" w14:textId="174D5BC5"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-0.059 (-0.109, -0.009)</w:t>
            </w:r>
          </w:p>
        </w:tc>
        <w:tc>
          <w:tcPr>
            <w:tcW w:w="2633" w:type="dxa"/>
            <w:vAlign w:val="bottom"/>
          </w:tcPr>
          <w:p w14:paraId="3652B493" w14:textId="5600291D"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-0.034 (-0.082, 0.013)</w:t>
            </w:r>
          </w:p>
        </w:tc>
      </w:tr>
      <w:tr w:rsidR="001941A9" w:rsidRPr="00527D81" w14:paraId="1968E941" w14:textId="77777777" w:rsidTr="001941A9">
        <w:trPr>
          <w:trHeight w:val="34"/>
        </w:trPr>
        <w:tc>
          <w:tcPr>
            <w:tcW w:w="1656" w:type="dxa"/>
            <w:noWrap/>
          </w:tcPr>
          <w:p w14:paraId="2451C056" w14:textId="77777777" w:rsidR="004775F1" w:rsidRPr="00BC44FF" w:rsidRDefault="004775F1" w:rsidP="004775F1">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100m</w:t>
            </w:r>
          </w:p>
        </w:tc>
        <w:tc>
          <w:tcPr>
            <w:tcW w:w="2444" w:type="dxa"/>
            <w:noWrap/>
            <w:vAlign w:val="bottom"/>
          </w:tcPr>
          <w:p w14:paraId="6F4C78BC" w14:textId="598D6EF5"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-0.011 (-0.047, 0.026)</w:t>
            </w:r>
          </w:p>
        </w:tc>
        <w:tc>
          <w:tcPr>
            <w:tcW w:w="2617" w:type="dxa"/>
            <w:shd w:val="clear" w:color="auto" w:fill="FFFF00"/>
            <w:noWrap/>
            <w:vAlign w:val="bottom"/>
          </w:tcPr>
          <w:p w14:paraId="63C0A7CD" w14:textId="0AACC0D6"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-0.047 (-0.079, -0.015)</w:t>
            </w:r>
          </w:p>
        </w:tc>
        <w:tc>
          <w:tcPr>
            <w:tcW w:w="2633" w:type="dxa"/>
            <w:shd w:val="clear" w:color="auto" w:fill="FFFF00"/>
            <w:vAlign w:val="bottom"/>
          </w:tcPr>
          <w:p w14:paraId="70F245B3" w14:textId="37EF5DC6"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-0.035 (-0.063, -0.006)</w:t>
            </w:r>
          </w:p>
        </w:tc>
      </w:tr>
      <w:tr w:rsidR="001941A9" w:rsidRPr="00527D81" w14:paraId="0631C519" w14:textId="77777777" w:rsidTr="001941A9">
        <w:trPr>
          <w:trHeight w:val="34"/>
        </w:trPr>
        <w:tc>
          <w:tcPr>
            <w:tcW w:w="1656" w:type="dxa"/>
            <w:noWrap/>
          </w:tcPr>
          <w:p w14:paraId="68C91497" w14:textId="77777777" w:rsidR="004775F1" w:rsidRPr="00BC44FF" w:rsidRDefault="004775F1" w:rsidP="004775F1">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150m</w:t>
            </w:r>
          </w:p>
        </w:tc>
        <w:tc>
          <w:tcPr>
            <w:tcW w:w="2444" w:type="dxa"/>
            <w:noWrap/>
            <w:vAlign w:val="bottom"/>
          </w:tcPr>
          <w:p w14:paraId="0527C49E" w14:textId="285929E5"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0.003 (-0.027, 0.032)</w:t>
            </w:r>
          </w:p>
        </w:tc>
        <w:tc>
          <w:tcPr>
            <w:tcW w:w="2617" w:type="dxa"/>
            <w:shd w:val="clear" w:color="auto" w:fill="FFFF00"/>
            <w:noWrap/>
            <w:vAlign w:val="bottom"/>
          </w:tcPr>
          <w:p w14:paraId="61AE9A1E" w14:textId="495F2EA2"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-0.056 (-0.083, -0.03</w:t>
            </w:r>
            <w:r w:rsidR="00D56636">
              <w:rPr>
                <w:rFonts w:ascii="Times New Roman" w:hAnsi="Times New Roman" w:cs="Times New Roman"/>
                <w:color w:val="000000"/>
                <w:sz w:val="18"/>
                <w:szCs w:val="18"/>
              </w:rPr>
              <w:t>0</w:t>
            </w:r>
            <w:r w:rsidRPr="00BC44FF">
              <w:rPr>
                <w:rFonts w:ascii="Times New Roman" w:hAnsi="Times New Roman" w:cs="Times New Roman"/>
                <w:color w:val="000000"/>
                <w:sz w:val="18"/>
                <w:szCs w:val="18"/>
              </w:rPr>
              <w:t>)</w:t>
            </w:r>
          </w:p>
        </w:tc>
        <w:tc>
          <w:tcPr>
            <w:tcW w:w="2633" w:type="dxa"/>
            <w:shd w:val="clear" w:color="auto" w:fill="FFFF00"/>
            <w:vAlign w:val="bottom"/>
          </w:tcPr>
          <w:p w14:paraId="025B5E00" w14:textId="4DD43A2C"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-0.031 (-0.054, -0.007)</w:t>
            </w:r>
          </w:p>
        </w:tc>
      </w:tr>
      <w:tr w:rsidR="001941A9" w:rsidRPr="00527D81" w14:paraId="0E3FE8C9" w14:textId="77777777" w:rsidTr="001941A9">
        <w:trPr>
          <w:trHeight w:val="34"/>
        </w:trPr>
        <w:tc>
          <w:tcPr>
            <w:tcW w:w="1656" w:type="dxa"/>
            <w:noWrap/>
          </w:tcPr>
          <w:p w14:paraId="3E63122C" w14:textId="77777777" w:rsidR="004775F1" w:rsidRPr="00BC44FF" w:rsidRDefault="004775F1" w:rsidP="004775F1">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200m</w:t>
            </w:r>
          </w:p>
        </w:tc>
        <w:tc>
          <w:tcPr>
            <w:tcW w:w="2444" w:type="dxa"/>
            <w:noWrap/>
            <w:vAlign w:val="bottom"/>
          </w:tcPr>
          <w:p w14:paraId="79BCF465" w14:textId="117D2FBD"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-0.007 (-0.033, 0.019)</w:t>
            </w:r>
          </w:p>
        </w:tc>
        <w:tc>
          <w:tcPr>
            <w:tcW w:w="2617" w:type="dxa"/>
            <w:shd w:val="clear" w:color="auto" w:fill="FFFF00"/>
            <w:noWrap/>
            <w:vAlign w:val="bottom"/>
          </w:tcPr>
          <w:p w14:paraId="60F8B01D" w14:textId="71B66107"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-0.036 (-0.061, -0.011)</w:t>
            </w:r>
          </w:p>
        </w:tc>
        <w:tc>
          <w:tcPr>
            <w:tcW w:w="2633" w:type="dxa"/>
            <w:shd w:val="clear" w:color="auto" w:fill="FFFF00"/>
            <w:vAlign w:val="bottom"/>
          </w:tcPr>
          <w:p w14:paraId="3F893841" w14:textId="62EF18E9"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-0.027 (-0.048, -0.006)</w:t>
            </w:r>
          </w:p>
        </w:tc>
      </w:tr>
      <w:tr w:rsidR="001941A9" w:rsidRPr="00527D81" w14:paraId="0BB090BA" w14:textId="77777777" w:rsidTr="001941A9">
        <w:trPr>
          <w:trHeight w:val="34"/>
        </w:trPr>
        <w:tc>
          <w:tcPr>
            <w:tcW w:w="1656" w:type="dxa"/>
            <w:noWrap/>
          </w:tcPr>
          <w:p w14:paraId="44D23253" w14:textId="77777777" w:rsidR="004775F1" w:rsidRPr="00BC44FF" w:rsidRDefault="004775F1" w:rsidP="004775F1">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300m</w:t>
            </w:r>
          </w:p>
        </w:tc>
        <w:tc>
          <w:tcPr>
            <w:tcW w:w="2444" w:type="dxa"/>
            <w:noWrap/>
            <w:vAlign w:val="bottom"/>
          </w:tcPr>
          <w:p w14:paraId="4EE162AF" w14:textId="4AFF012D"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-0.008 (-0.031, 0.016)</w:t>
            </w:r>
          </w:p>
        </w:tc>
        <w:tc>
          <w:tcPr>
            <w:tcW w:w="2617" w:type="dxa"/>
            <w:shd w:val="clear" w:color="auto" w:fill="FFFF00"/>
            <w:noWrap/>
            <w:vAlign w:val="bottom"/>
          </w:tcPr>
          <w:p w14:paraId="3793A6D2" w14:textId="506546F2"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-0.035 (-0.057, -0.013)</w:t>
            </w:r>
          </w:p>
        </w:tc>
        <w:tc>
          <w:tcPr>
            <w:tcW w:w="2633" w:type="dxa"/>
            <w:shd w:val="clear" w:color="auto" w:fill="FFFF00"/>
            <w:vAlign w:val="bottom"/>
          </w:tcPr>
          <w:p w14:paraId="36739890" w14:textId="30730B25"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-0.026 (-0.045, -0.007)</w:t>
            </w:r>
          </w:p>
        </w:tc>
      </w:tr>
      <w:tr w:rsidR="001941A9" w:rsidRPr="00527D81" w14:paraId="5D336B9C" w14:textId="77777777" w:rsidTr="001941A9">
        <w:trPr>
          <w:trHeight w:val="34"/>
        </w:trPr>
        <w:tc>
          <w:tcPr>
            <w:tcW w:w="1656" w:type="dxa"/>
            <w:noWrap/>
          </w:tcPr>
          <w:p w14:paraId="0FACDCD5" w14:textId="77777777" w:rsidR="004775F1" w:rsidRPr="00BC44FF" w:rsidRDefault="004775F1" w:rsidP="004775F1">
            <w:pPr>
              <w:rPr>
                <w:rFonts w:ascii="Times New Roman" w:hAnsi="Times New Roman" w:cs="Times New Roman"/>
                <w:color w:val="000000"/>
                <w:sz w:val="18"/>
                <w:szCs w:val="18"/>
              </w:rPr>
            </w:pPr>
            <w:r w:rsidRPr="00BC44FF">
              <w:rPr>
                <w:rFonts w:ascii="Times New Roman" w:hAnsi="Times New Roman" w:cs="Times New Roman"/>
                <w:color w:val="000000"/>
                <w:sz w:val="18"/>
                <w:szCs w:val="18"/>
              </w:rPr>
              <w:t xml:space="preserve">Area within 500m </w:t>
            </w:r>
          </w:p>
        </w:tc>
        <w:tc>
          <w:tcPr>
            <w:tcW w:w="2444" w:type="dxa"/>
            <w:noWrap/>
            <w:vAlign w:val="bottom"/>
          </w:tcPr>
          <w:p w14:paraId="75A07FC3" w14:textId="3E32CA0F"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-0.006 (-0.027, 0.016)</w:t>
            </w:r>
          </w:p>
        </w:tc>
        <w:tc>
          <w:tcPr>
            <w:tcW w:w="2617" w:type="dxa"/>
            <w:shd w:val="clear" w:color="auto" w:fill="FFFF00"/>
            <w:noWrap/>
            <w:vAlign w:val="bottom"/>
          </w:tcPr>
          <w:p w14:paraId="2952585F" w14:textId="654A73BB"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-0.031 (-0.051, -0.011)</w:t>
            </w:r>
          </w:p>
        </w:tc>
        <w:tc>
          <w:tcPr>
            <w:tcW w:w="2633" w:type="dxa"/>
            <w:shd w:val="clear" w:color="auto" w:fill="FFFF00"/>
            <w:vAlign w:val="bottom"/>
          </w:tcPr>
          <w:p w14:paraId="57150A27" w14:textId="5AE36811"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 (-0.037, -0.002)</w:t>
            </w:r>
          </w:p>
        </w:tc>
      </w:tr>
      <w:tr w:rsidR="004775F1" w:rsidRPr="00527D81" w14:paraId="08C28664" w14:textId="77777777" w:rsidTr="004775F1">
        <w:trPr>
          <w:trHeight w:val="34"/>
        </w:trPr>
        <w:tc>
          <w:tcPr>
            <w:tcW w:w="1656" w:type="dxa"/>
            <w:noWrap/>
          </w:tcPr>
          <w:p w14:paraId="18B419AA" w14:textId="77777777" w:rsidR="004775F1" w:rsidRPr="00BC44FF" w:rsidRDefault="004775F1" w:rsidP="004775F1">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1000m</w:t>
            </w:r>
          </w:p>
        </w:tc>
        <w:tc>
          <w:tcPr>
            <w:tcW w:w="2444" w:type="dxa"/>
            <w:noWrap/>
            <w:vAlign w:val="bottom"/>
          </w:tcPr>
          <w:p w14:paraId="50494801" w14:textId="48021AB7"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-0.008 (-0.035, 0.02</w:t>
            </w:r>
            <w:r w:rsidR="00D56636">
              <w:rPr>
                <w:rFonts w:ascii="Times New Roman" w:hAnsi="Times New Roman" w:cs="Times New Roman"/>
                <w:color w:val="000000"/>
                <w:sz w:val="18"/>
                <w:szCs w:val="18"/>
              </w:rPr>
              <w:t>0</w:t>
            </w:r>
            <w:r w:rsidRPr="00BC44FF">
              <w:rPr>
                <w:rFonts w:ascii="Times New Roman" w:hAnsi="Times New Roman" w:cs="Times New Roman"/>
                <w:color w:val="000000"/>
                <w:sz w:val="18"/>
                <w:szCs w:val="18"/>
              </w:rPr>
              <w:t>)</w:t>
            </w:r>
          </w:p>
        </w:tc>
        <w:tc>
          <w:tcPr>
            <w:tcW w:w="2617" w:type="dxa"/>
            <w:noWrap/>
            <w:vAlign w:val="bottom"/>
          </w:tcPr>
          <w:p w14:paraId="265C1F83" w14:textId="582AAC90"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-0.022 (-0.046, 0.002)</w:t>
            </w:r>
          </w:p>
        </w:tc>
        <w:tc>
          <w:tcPr>
            <w:tcW w:w="2633" w:type="dxa"/>
            <w:vAlign w:val="bottom"/>
          </w:tcPr>
          <w:p w14:paraId="3731B391" w14:textId="143D3D2D" w:rsidR="004775F1" w:rsidRPr="00BC44FF" w:rsidRDefault="004775F1" w:rsidP="004775F1">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-0.014 (-0.035, 0.007)</w:t>
            </w:r>
          </w:p>
        </w:tc>
      </w:tr>
    </w:tbl>
    <w:p w14:paraId="0A8114A2" w14:textId="77777777" w:rsidR="00527D81" w:rsidRDefault="00527D81">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4775F1" w:rsidRPr="00527D81" w14:paraId="7998AE31" w14:textId="77777777" w:rsidTr="003B6389">
        <w:trPr>
          <w:trHeight w:val="34"/>
        </w:trPr>
        <w:tc>
          <w:tcPr>
            <w:tcW w:w="1705" w:type="dxa"/>
            <w:noWrap/>
          </w:tcPr>
          <w:p w14:paraId="76D39429" w14:textId="0EC3522A" w:rsidR="004775F1" w:rsidRPr="00BC44FF" w:rsidRDefault="004775F1" w:rsidP="003B6389">
            <w:pPr>
              <w:rPr>
                <w:rFonts w:ascii="Times New Roman" w:hAnsi="Times New Roman" w:cs="Times New Roman"/>
                <w:color w:val="000000"/>
                <w:sz w:val="18"/>
                <w:szCs w:val="18"/>
              </w:rPr>
            </w:pPr>
          </w:p>
        </w:tc>
        <w:tc>
          <w:tcPr>
            <w:tcW w:w="2520" w:type="dxa"/>
            <w:noWrap/>
          </w:tcPr>
          <w:p w14:paraId="2DE7D64B" w14:textId="6248747D" w:rsidR="004775F1" w:rsidRPr="00BC44FF" w:rsidRDefault="004775F1"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CITS</w:t>
            </w:r>
          </w:p>
        </w:tc>
        <w:tc>
          <w:tcPr>
            <w:tcW w:w="2700" w:type="dxa"/>
            <w:noWrap/>
          </w:tcPr>
          <w:p w14:paraId="3214B637" w14:textId="0185158E" w:rsidR="004775F1" w:rsidRPr="00BC44FF" w:rsidRDefault="004775F1"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SNC</w:t>
            </w:r>
          </w:p>
        </w:tc>
        <w:tc>
          <w:tcPr>
            <w:tcW w:w="2425" w:type="dxa"/>
          </w:tcPr>
          <w:p w14:paraId="5F9F33F2" w14:textId="1B869FA8" w:rsidR="004775F1" w:rsidRPr="00BC44FF" w:rsidRDefault="004775F1"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Language</w:t>
            </w:r>
          </w:p>
        </w:tc>
      </w:tr>
      <w:tr w:rsidR="00A10E2B" w:rsidRPr="00527D81" w14:paraId="15766FBB" w14:textId="77777777" w:rsidTr="003B6389">
        <w:trPr>
          <w:trHeight w:val="34"/>
        </w:trPr>
        <w:tc>
          <w:tcPr>
            <w:tcW w:w="1705" w:type="dxa"/>
            <w:noWrap/>
          </w:tcPr>
          <w:p w14:paraId="715F817D" w14:textId="77777777" w:rsidR="00A10E2B" w:rsidRPr="00BC44FF" w:rsidRDefault="00A10E2B" w:rsidP="00A10E2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Distance</w:t>
            </w:r>
          </w:p>
        </w:tc>
        <w:tc>
          <w:tcPr>
            <w:tcW w:w="2520" w:type="dxa"/>
            <w:noWrap/>
            <w:vAlign w:val="bottom"/>
          </w:tcPr>
          <w:p w14:paraId="77F783A1" w14:textId="1EEC4817"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0.068 (-0.035, 0.17</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w:t>
            </w:r>
          </w:p>
        </w:tc>
        <w:tc>
          <w:tcPr>
            <w:tcW w:w="2700" w:type="dxa"/>
            <w:noWrap/>
            <w:vAlign w:val="bottom"/>
          </w:tcPr>
          <w:p w14:paraId="6D81B4FE" w14:textId="40D2D3E7"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-0.089 (-0.199, 0.021)</w:t>
            </w:r>
          </w:p>
        </w:tc>
        <w:tc>
          <w:tcPr>
            <w:tcW w:w="2425" w:type="dxa"/>
            <w:vAlign w:val="bottom"/>
          </w:tcPr>
          <w:p w14:paraId="240957B5" w14:textId="6022B46C"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0.007 (-0.073, 0.086)</w:t>
            </w:r>
          </w:p>
        </w:tc>
      </w:tr>
      <w:tr w:rsidR="00A10E2B" w:rsidRPr="00527D81" w14:paraId="3250F9A5" w14:textId="77777777" w:rsidTr="003B6389">
        <w:trPr>
          <w:trHeight w:val="34"/>
        </w:trPr>
        <w:tc>
          <w:tcPr>
            <w:tcW w:w="1705" w:type="dxa"/>
            <w:noWrap/>
          </w:tcPr>
          <w:p w14:paraId="7BA91C84" w14:textId="77777777" w:rsidR="00A10E2B" w:rsidRPr="00BC44FF" w:rsidRDefault="00A10E2B" w:rsidP="00A10E2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50m</w:t>
            </w:r>
          </w:p>
        </w:tc>
        <w:tc>
          <w:tcPr>
            <w:tcW w:w="2520" w:type="dxa"/>
            <w:noWrap/>
            <w:vAlign w:val="bottom"/>
          </w:tcPr>
          <w:p w14:paraId="21B7EE03" w14:textId="10648CBF"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-0.045 (-0.121, 0.032)</w:t>
            </w:r>
          </w:p>
        </w:tc>
        <w:tc>
          <w:tcPr>
            <w:tcW w:w="2700" w:type="dxa"/>
            <w:noWrap/>
            <w:vAlign w:val="bottom"/>
          </w:tcPr>
          <w:p w14:paraId="2832BEE2" w14:textId="7F3E4BB2"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0.074 (-0.003, 0.152)</w:t>
            </w:r>
          </w:p>
        </w:tc>
        <w:tc>
          <w:tcPr>
            <w:tcW w:w="2425" w:type="dxa"/>
            <w:vAlign w:val="bottom"/>
          </w:tcPr>
          <w:p w14:paraId="3DD1BD1E" w14:textId="06A5DD3E"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w:t>
            </w:r>
            <w:r w:rsidR="00B0444E">
              <w:rPr>
                <w:rFonts w:ascii="Times New Roman" w:hAnsi="Times New Roman" w:cs="Times New Roman"/>
                <w:color w:val="000000"/>
                <w:sz w:val="18"/>
                <w:szCs w:val="18"/>
              </w:rPr>
              <w:t>.000</w:t>
            </w:r>
            <w:r w:rsidRPr="00BC44FF">
              <w:rPr>
                <w:rFonts w:ascii="Times New Roman" w:hAnsi="Times New Roman" w:cs="Times New Roman"/>
                <w:color w:val="000000"/>
                <w:sz w:val="18"/>
                <w:szCs w:val="18"/>
              </w:rPr>
              <w:t xml:space="preserve"> (-0.058, 0.057)</w:t>
            </w:r>
          </w:p>
        </w:tc>
      </w:tr>
      <w:tr w:rsidR="00A10E2B" w:rsidRPr="00527D81" w14:paraId="0FF32316" w14:textId="77777777" w:rsidTr="003B6389">
        <w:trPr>
          <w:trHeight w:val="34"/>
        </w:trPr>
        <w:tc>
          <w:tcPr>
            <w:tcW w:w="1705" w:type="dxa"/>
            <w:noWrap/>
          </w:tcPr>
          <w:p w14:paraId="67860F4C" w14:textId="77777777" w:rsidR="00A10E2B" w:rsidRPr="00BC44FF" w:rsidRDefault="00A10E2B" w:rsidP="00A10E2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100m</w:t>
            </w:r>
          </w:p>
        </w:tc>
        <w:tc>
          <w:tcPr>
            <w:tcW w:w="2520" w:type="dxa"/>
            <w:noWrap/>
            <w:vAlign w:val="bottom"/>
          </w:tcPr>
          <w:p w14:paraId="1D05C714" w14:textId="029811B7"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-0.016 (-0.062, 0.03</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w:t>
            </w:r>
          </w:p>
        </w:tc>
        <w:tc>
          <w:tcPr>
            <w:tcW w:w="2700" w:type="dxa"/>
            <w:noWrap/>
            <w:vAlign w:val="bottom"/>
          </w:tcPr>
          <w:p w14:paraId="01B31666" w14:textId="380562C6"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0.042 (-0.01, 0.093)</w:t>
            </w:r>
          </w:p>
        </w:tc>
        <w:tc>
          <w:tcPr>
            <w:tcW w:w="2425" w:type="dxa"/>
            <w:vAlign w:val="bottom"/>
          </w:tcPr>
          <w:p w14:paraId="4E6EE926" w14:textId="1F95411F"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0.006 (-0.03, 0.041)</w:t>
            </w:r>
          </w:p>
        </w:tc>
      </w:tr>
      <w:tr w:rsidR="00A10E2B" w:rsidRPr="00527D81" w14:paraId="5F3D6BBC" w14:textId="77777777" w:rsidTr="003B6389">
        <w:trPr>
          <w:trHeight w:val="34"/>
        </w:trPr>
        <w:tc>
          <w:tcPr>
            <w:tcW w:w="1705" w:type="dxa"/>
            <w:noWrap/>
          </w:tcPr>
          <w:p w14:paraId="7D95CA05" w14:textId="77777777" w:rsidR="00A10E2B" w:rsidRPr="00BC44FF" w:rsidRDefault="00A10E2B" w:rsidP="00A10E2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150m</w:t>
            </w:r>
          </w:p>
        </w:tc>
        <w:tc>
          <w:tcPr>
            <w:tcW w:w="2520" w:type="dxa"/>
            <w:noWrap/>
            <w:vAlign w:val="bottom"/>
          </w:tcPr>
          <w:p w14:paraId="76742982" w14:textId="478B1F80"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-0.007 (-0.045, 0.031)</w:t>
            </w:r>
          </w:p>
        </w:tc>
        <w:tc>
          <w:tcPr>
            <w:tcW w:w="2700" w:type="dxa"/>
            <w:noWrap/>
            <w:vAlign w:val="bottom"/>
          </w:tcPr>
          <w:p w14:paraId="61695EA1" w14:textId="5B36CE06"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0.019 (-0.024, 0.061)</w:t>
            </w:r>
          </w:p>
        </w:tc>
        <w:tc>
          <w:tcPr>
            <w:tcW w:w="2425" w:type="dxa"/>
            <w:vAlign w:val="bottom"/>
          </w:tcPr>
          <w:p w14:paraId="226030D0" w14:textId="01DDEC60"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0.002 (-0.027, 0.032)</w:t>
            </w:r>
          </w:p>
        </w:tc>
      </w:tr>
      <w:tr w:rsidR="00A10E2B" w:rsidRPr="00527D81" w14:paraId="22F3926E" w14:textId="77777777" w:rsidTr="003B6389">
        <w:trPr>
          <w:trHeight w:val="34"/>
        </w:trPr>
        <w:tc>
          <w:tcPr>
            <w:tcW w:w="1705" w:type="dxa"/>
            <w:noWrap/>
          </w:tcPr>
          <w:p w14:paraId="525AF2C6" w14:textId="77777777" w:rsidR="00A10E2B" w:rsidRPr="00BC44FF" w:rsidRDefault="00A10E2B" w:rsidP="00A10E2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200m</w:t>
            </w:r>
          </w:p>
        </w:tc>
        <w:tc>
          <w:tcPr>
            <w:tcW w:w="2520" w:type="dxa"/>
            <w:noWrap/>
            <w:vAlign w:val="bottom"/>
          </w:tcPr>
          <w:p w14:paraId="062069DA" w14:textId="3AAC647E"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-0.007 (-0.04</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 0.026)</w:t>
            </w:r>
          </w:p>
        </w:tc>
        <w:tc>
          <w:tcPr>
            <w:tcW w:w="2700" w:type="dxa"/>
            <w:noWrap/>
            <w:vAlign w:val="bottom"/>
          </w:tcPr>
          <w:p w14:paraId="24899475" w14:textId="4219D36D"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0.005 (-0.031, 0.042)</w:t>
            </w:r>
          </w:p>
        </w:tc>
        <w:tc>
          <w:tcPr>
            <w:tcW w:w="2425" w:type="dxa"/>
            <w:vAlign w:val="bottom"/>
          </w:tcPr>
          <w:p w14:paraId="4D111230" w14:textId="5D28276D"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(-0.03, 0.022)</w:t>
            </w:r>
          </w:p>
        </w:tc>
      </w:tr>
      <w:tr w:rsidR="00A10E2B" w:rsidRPr="00527D81" w14:paraId="46D7D2AF" w14:textId="77777777" w:rsidTr="003B6389">
        <w:trPr>
          <w:trHeight w:val="34"/>
        </w:trPr>
        <w:tc>
          <w:tcPr>
            <w:tcW w:w="1705" w:type="dxa"/>
            <w:noWrap/>
          </w:tcPr>
          <w:p w14:paraId="75455B60" w14:textId="77777777" w:rsidR="00A10E2B" w:rsidRPr="00BC44FF" w:rsidRDefault="00A10E2B" w:rsidP="00A10E2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300m</w:t>
            </w:r>
          </w:p>
        </w:tc>
        <w:tc>
          <w:tcPr>
            <w:tcW w:w="2520" w:type="dxa"/>
            <w:noWrap/>
            <w:vAlign w:val="bottom"/>
          </w:tcPr>
          <w:p w14:paraId="00CF74C7" w14:textId="519ACCB7"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 xml:space="preserve"> (-0.038, 0.018)</w:t>
            </w:r>
          </w:p>
        </w:tc>
        <w:tc>
          <w:tcPr>
            <w:tcW w:w="2700" w:type="dxa"/>
            <w:noWrap/>
            <w:vAlign w:val="bottom"/>
          </w:tcPr>
          <w:p w14:paraId="31BFB65C" w14:textId="2BE50DB3"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(-0.036, 0.028)</w:t>
            </w:r>
          </w:p>
        </w:tc>
        <w:tc>
          <w:tcPr>
            <w:tcW w:w="2425" w:type="dxa"/>
            <w:vAlign w:val="bottom"/>
          </w:tcPr>
          <w:p w14:paraId="22C3A684" w14:textId="18902B31"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 xml:space="preserve"> (-0.032, 0.012)</w:t>
            </w:r>
          </w:p>
        </w:tc>
      </w:tr>
      <w:tr w:rsidR="00A10E2B" w:rsidRPr="00527D81" w14:paraId="6D8156AF" w14:textId="77777777" w:rsidTr="003B6389">
        <w:trPr>
          <w:trHeight w:val="34"/>
        </w:trPr>
        <w:tc>
          <w:tcPr>
            <w:tcW w:w="1705" w:type="dxa"/>
            <w:noWrap/>
          </w:tcPr>
          <w:p w14:paraId="60BA52A9" w14:textId="77777777" w:rsidR="00A10E2B" w:rsidRPr="00BC44FF" w:rsidRDefault="00A10E2B" w:rsidP="00A10E2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 xml:space="preserve">Area within 500m </w:t>
            </w:r>
          </w:p>
        </w:tc>
        <w:tc>
          <w:tcPr>
            <w:tcW w:w="2520" w:type="dxa"/>
            <w:noWrap/>
            <w:vAlign w:val="bottom"/>
          </w:tcPr>
          <w:p w14:paraId="6701FFB3" w14:textId="4C00B133"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-0.015 (-0.041, 0.01</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w:t>
            </w:r>
          </w:p>
        </w:tc>
        <w:tc>
          <w:tcPr>
            <w:tcW w:w="2700" w:type="dxa"/>
            <w:noWrap/>
            <w:vAlign w:val="bottom"/>
          </w:tcPr>
          <w:p w14:paraId="52BB5BDB" w14:textId="1EEC1A34"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0.006 (-0.024, 0.036)</w:t>
            </w:r>
          </w:p>
        </w:tc>
        <w:tc>
          <w:tcPr>
            <w:tcW w:w="2425" w:type="dxa"/>
            <w:vAlign w:val="bottom"/>
          </w:tcPr>
          <w:p w14:paraId="78BFB4A0" w14:textId="004A3552"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-0.007 (-0.028, 0.014)</w:t>
            </w:r>
          </w:p>
        </w:tc>
      </w:tr>
      <w:tr w:rsidR="00A10E2B" w:rsidRPr="00527D81" w14:paraId="61AC77E2" w14:textId="77777777" w:rsidTr="003B6389">
        <w:trPr>
          <w:trHeight w:val="34"/>
        </w:trPr>
        <w:tc>
          <w:tcPr>
            <w:tcW w:w="1705" w:type="dxa"/>
            <w:noWrap/>
          </w:tcPr>
          <w:p w14:paraId="15E75B75" w14:textId="77777777" w:rsidR="00A10E2B" w:rsidRPr="00BC44FF" w:rsidRDefault="00A10E2B" w:rsidP="00A10E2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1000m</w:t>
            </w:r>
          </w:p>
        </w:tc>
        <w:tc>
          <w:tcPr>
            <w:tcW w:w="2520" w:type="dxa"/>
            <w:noWrap/>
            <w:vAlign w:val="bottom"/>
          </w:tcPr>
          <w:p w14:paraId="67AC4FEC" w14:textId="53111702"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-0.006 (-0.037, 0.025)</w:t>
            </w:r>
          </w:p>
        </w:tc>
        <w:tc>
          <w:tcPr>
            <w:tcW w:w="2700" w:type="dxa"/>
            <w:noWrap/>
            <w:vAlign w:val="bottom"/>
          </w:tcPr>
          <w:p w14:paraId="58830852" w14:textId="7CAFEB54"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0.017 (-0.019, 0.053)</w:t>
            </w:r>
          </w:p>
        </w:tc>
        <w:tc>
          <w:tcPr>
            <w:tcW w:w="2425" w:type="dxa"/>
            <w:vAlign w:val="bottom"/>
          </w:tcPr>
          <w:p w14:paraId="35E307BC" w14:textId="3967EDFF" w:rsidR="00A10E2B" w:rsidRPr="00BC44FF" w:rsidRDefault="00A10E2B" w:rsidP="00A10E2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0.003 (-0.022, 0.028)</w:t>
            </w:r>
          </w:p>
        </w:tc>
      </w:tr>
    </w:tbl>
    <w:p w14:paraId="219A8550" w14:textId="77777777" w:rsidR="004775F1" w:rsidRDefault="004775F1">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A10E2B" w:rsidRPr="00527D81" w14:paraId="30465551" w14:textId="77777777" w:rsidTr="003B6389">
        <w:trPr>
          <w:trHeight w:val="34"/>
        </w:trPr>
        <w:tc>
          <w:tcPr>
            <w:tcW w:w="1705" w:type="dxa"/>
            <w:noWrap/>
          </w:tcPr>
          <w:p w14:paraId="43BACABA" w14:textId="3E7465C4" w:rsidR="00A10E2B" w:rsidRPr="00BC44FF" w:rsidRDefault="00A10E2B" w:rsidP="003B6389">
            <w:pPr>
              <w:rPr>
                <w:rFonts w:ascii="Times New Roman" w:hAnsi="Times New Roman" w:cs="Times New Roman"/>
                <w:color w:val="000000"/>
                <w:sz w:val="18"/>
                <w:szCs w:val="18"/>
              </w:rPr>
            </w:pPr>
          </w:p>
        </w:tc>
        <w:tc>
          <w:tcPr>
            <w:tcW w:w="2520" w:type="dxa"/>
            <w:noWrap/>
          </w:tcPr>
          <w:p w14:paraId="70001EB4" w14:textId="457AB986" w:rsidR="00A10E2B" w:rsidRPr="00BC44FF" w:rsidRDefault="006A27E2"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MFFTS</w:t>
            </w:r>
          </w:p>
        </w:tc>
        <w:tc>
          <w:tcPr>
            <w:tcW w:w="2700" w:type="dxa"/>
            <w:noWrap/>
          </w:tcPr>
          <w:p w14:paraId="4FA6D720" w14:textId="72B4A553" w:rsidR="00A10E2B" w:rsidRPr="00BC44FF" w:rsidRDefault="006A27E2"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MFFDTS</w:t>
            </w:r>
          </w:p>
        </w:tc>
        <w:tc>
          <w:tcPr>
            <w:tcW w:w="2425" w:type="dxa"/>
          </w:tcPr>
          <w:p w14:paraId="4E97CAA7" w14:textId="00250CE4" w:rsidR="00A10E2B" w:rsidRPr="00BC44FF" w:rsidRDefault="006A27E2"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Memory</w:t>
            </w:r>
          </w:p>
        </w:tc>
      </w:tr>
      <w:tr w:rsidR="006611EB" w:rsidRPr="00527D81" w14:paraId="59DE98DF" w14:textId="77777777" w:rsidTr="003B6389">
        <w:trPr>
          <w:trHeight w:val="34"/>
        </w:trPr>
        <w:tc>
          <w:tcPr>
            <w:tcW w:w="1705" w:type="dxa"/>
            <w:noWrap/>
          </w:tcPr>
          <w:p w14:paraId="1543C671" w14:textId="77777777" w:rsidR="006611EB" w:rsidRPr="00BC44FF" w:rsidRDefault="006611EB" w:rsidP="006611E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Distance</w:t>
            </w:r>
          </w:p>
        </w:tc>
        <w:tc>
          <w:tcPr>
            <w:tcW w:w="2520" w:type="dxa"/>
            <w:noWrap/>
            <w:vAlign w:val="bottom"/>
          </w:tcPr>
          <w:p w14:paraId="64209180" w14:textId="562B4062"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0.066 (-0.039, 0.172)</w:t>
            </w:r>
          </w:p>
        </w:tc>
        <w:tc>
          <w:tcPr>
            <w:tcW w:w="2700" w:type="dxa"/>
            <w:noWrap/>
            <w:vAlign w:val="bottom"/>
          </w:tcPr>
          <w:p w14:paraId="507ABB08" w14:textId="5A0CD496"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-0.013 (-0.115, 0.089)</w:t>
            </w:r>
          </w:p>
        </w:tc>
        <w:tc>
          <w:tcPr>
            <w:tcW w:w="2425" w:type="dxa"/>
            <w:vAlign w:val="bottom"/>
          </w:tcPr>
          <w:p w14:paraId="0F661274" w14:textId="0D1C7DC8"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-0.006 (-0.057, 0.045)</w:t>
            </w:r>
          </w:p>
        </w:tc>
      </w:tr>
      <w:tr w:rsidR="006611EB" w:rsidRPr="00527D81" w14:paraId="351E3CB3" w14:textId="77777777" w:rsidTr="003B6389">
        <w:trPr>
          <w:trHeight w:val="34"/>
        </w:trPr>
        <w:tc>
          <w:tcPr>
            <w:tcW w:w="1705" w:type="dxa"/>
            <w:noWrap/>
          </w:tcPr>
          <w:p w14:paraId="4B9B8DB6" w14:textId="77777777" w:rsidR="006611EB" w:rsidRPr="00BC44FF" w:rsidRDefault="006611EB" w:rsidP="006611E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50m</w:t>
            </w:r>
          </w:p>
        </w:tc>
        <w:tc>
          <w:tcPr>
            <w:tcW w:w="2520" w:type="dxa"/>
            <w:noWrap/>
            <w:vAlign w:val="bottom"/>
          </w:tcPr>
          <w:p w14:paraId="29984BC5" w14:textId="6333687E"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-0.045 (-0.123, 0.033)</w:t>
            </w:r>
          </w:p>
        </w:tc>
        <w:tc>
          <w:tcPr>
            <w:tcW w:w="2700" w:type="dxa"/>
            <w:noWrap/>
            <w:vAlign w:val="bottom"/>
          </w:tcPr>
          <w:p w14:paraId="529F9770" w14:textId="10816996"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-0.023 (-0.093, 0.047)</w:t>
            </w:r>
          </w:p>
        </w:tc>
        <w:tc>
          <w:tcPr>
            <w:tcW w:w="2425" w:type="dxa"/>
            <w:vAlign w:val="bottom"/>
          </w:tcPr>
          <w:p w14:paraId="4F81797B" w14:textId="651AD286"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-0.011 (-0.046, 0.024)</w:t>
            </w:r>
          </w:p>
        </w:tc>
      </w:tr>
      <w:tr w:rsidR="006611EB" w:rsidRPr="00527D81" w14:paraId="7A387216" w14:textId="77777777" w:rsidTr="003B6389">
        <w:trPr>
          <w:trHeight w:val="34"/>
        </w:trPr>
        <w:tc>
          <w:tcPr>
            <w:tcW w:w="1705" w:type="dxa"/>
            <w:noWrap/>
          </w:tcPr>
          <w:p w14:paraId="640B70C6" w14:textId="77777777" w:rsidR="006611EB" w:rsidRPr="00BC44FF" w:rsidRDefault="006611EB" w:rsidP="006611E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100m</w:t>
            </w:r>
          </w:p>
        </w:tc>
        <w:tc>
          <w:tcPr>
            <w:tcW w:w="2520" w:type="dxa"/>
            <w:noWrap/>
            <w:vAlign w:val="bottom"/>
          </w:tcPr>
          <w:p w14:paraId="25F23C4A" w14:textId="1EA840A2"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-0.031 (-0.079, 0.017)</w:t>
            </w:r>
          </w:p>
        </w:tc>
        <w:tc>
          <w:tcPr>
            <w:tcW w:w="2700" w:type="dxa"/>
            <w:noWrap/>
            <w:vAlign w:val="bottom"/>
          </w:tcPr>
          <w:p w14:paraId="58FFACFC" w14:textId="065A8AAF"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-0.003 (-0.048, 0.042)</w:t>
            </w:r>
          </w:p>
        </w:tc>
        <w:tc>
          <w:tcPr>
            <w:tcW w:w="2425" w:type="dxa"/>
            <w:vAlign w:val="bottom"/>
          </w:tcPr>
          <w:p w14:paraId="639C3209" w14:textId="37C60981"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-0.002 (-0.025, 0.02)</w:t>
            </w:r>
          </w:p>
        </w:tc>
      </w:tr>
      <w:tr w:rsidR="006611EB" w:rsidRPr="00527D81" w14:paraId="03648637" w14:textId="77777777" w:rsidTr="003B6389">
        <w:trPr>
          <w:trHeight w:val="34"/>
        </w:trPr>
        <w:tc>
          <w:tcPr>
            <w:tcW w:w="1705" w:type="dxa"/>
            <w:noWrap/>
          </w:tcPr>
          <w:p w14:paraId="627DA8A1" w14:textId="77777777" w:rsidR="006611EB" w:rsidRPr="00BC44FF" w:rsidRDefault="006611EB" w:rsidP="006611E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150m</w:t>
            </w:r>
          </w:p>
        </w:tc>
        <w:tc>
          <w:tcPr>
            <w:tcW w:w="2520" w:type="dxa"/>
            <w:noWrap/>
            <w:vAlign w:val="bottom"/>
          </w:tcPr>
          <w:p w14:paraId="09BB2566" w14:textId="03177F7A"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0.003 (-0.036, 0.041)</w:t>
            </w:r>
          </w:p>
        </w:tc>
        <w:tc>
          <w:tcPr>
            <w:tcW w:w="2700" w:type="dxa"/>
            <w:noWrap/>
            <w:vAlign w:val="bottom"/>
          </w:tcPr>
          <w:p w14:paraId="6B9665A9" w14:textId="0AC0B2BE"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 (-0.026, 0.046)</w:t>
            </w:r>
          </w:p>
        </w:tc>
        <w:tc>
          <w:tcPr>
            <w:tcW w:w="2425" w:type="dxa"/>
            <w:vAlign w:val="bottom"/>
          </w:tcPr>
          <w:p w14:paraId="03C6F9A9" w14:textId="728F54E8"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(-0.014, 0.022)</w:t>
            </w:r>
          </w:p>
        </w:tc>
      </w:tr>
      <w:tr w:rsidR="006611EB" w:rsidRPr="00527D81" w14:paraId="240C778B" w14:textId="77777777" w:rsidTr="003B6389">
        <w:trPr>
          <w:trHeight w:val="34"/>
        </w:trPr>
        <w:tc>
          <w:tcPr>
            <w:tcW w:w="1705" w:type="dxa"/>
            <w:noWrap/>
          </w:tcPr>
          <w:p w14:paraId="427D99D6" w14:textId="77777777" w:rsidR="006611EB" w:rsidRPr="00BC44FF" w:rsidRDefault="006611EB" w:rsidP="006611E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200m</w:t>
            </w:r>
          </w:p>
        </w:tc>
        <w:tc>
          <w:tcPr>
            <w:tcW w:w="2520" w:type="dxa"/>
            <w:noWrap/>
            <w:vAlign w:val="bottom"/>
          </w:tcPr>
          <w:p w14:paraId="678386E0" w14:textId="67F20D9A"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(-0.03</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 0.038)</w:t>
            </w:r>
          </w:p>
        </w:tc>
        <w:tc>
          <w:tcPr>
            <w:tcW w:w="2700" w:type="dxa"/>
            <w:noWrap/>
            <w:vAlign w:val="bottom"/>
          </w:tcPr>
          <w:p w14:paraId="3BDA1AF0" w14:textId="1904F628"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0.009 (-0.024, 0.041)</w:t>
            </w:r>
          </w:p>
        </w:tc>
        <w:tc>
          <w:tcPr>
            <w:tcW w:w="2425" w:type="dxa"/>
            <w:vAlign w:val="bottom"/>
          </w:tcPr>
          <w:p w14:paraId="394841AE" w14:textId="7E6439BA"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(-0.012, 0.02)</w:t>
            </w:r>
          </w:p>
        </w:tc>
      </w:tr>
      <w:tr w:rsidR="006611EB" w:rsidRPr="00527D81" w14:paraId="3984C126" w14:textId="77777777" w:rsidTr="003B6389">
        <w:trPr>
          <w:trHeight w:val="34"/>
        </w:trPr>
        <w:tc>
          <w:tcPr>
            <w:tcW w:w="1705" w:type="dxa"/>
            <w:noWrap/>
          </w:tcPr>
          <w:p w14:paraId="0D52E657" w14:textId="77777777" w:rsidR="006611EB" w:rsidRPr="00BC44FF" w:rsidRDefault="006611EB" w:rsidP="006611E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300m</w:t>
            </w:r>
          </w:p>
        </w:tc>
        <w:tc>
          <w:tcPr>
            <w:tcW w:w="2520" w:type="dxa"/>
            <w:noWrap/>
            <w:vAlign w:val="bottom"/>
          </w:tcPr>
          <w:p w14:paraId="405B5F16" w14:textId="7AC0C497"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(-0.034, 0.026)</w:t>
            </w:r>
          </w:p>
        </w:tc>
        <w:tc>
          <w:tcPr>
            <w:tcW w:w="2700" w:type="dxa"/>
            <w:noWrap/>
            <w:vAlign w:val="bottom"/>
          </w:tcPr>
          <w:p w14:paraId="0C5BB3C6" w14:textId="11A9D8AD"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0.024 (-0.005, 0.053)</w:t>
            </w:r>
          </w:p>
        </w:tc>
        <w:tc>
          <w:tcPr>
            <w:tcW w:w="2425" w:type="dxa"/>
            <w:vAlign w:val="bottom"/>
          </w:tcPr>
          <w:p w14:paraId="350C722C" w14:textId="4AF1CC8A"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0.012 (-0.003, 0.026)</w:t>
            </w:r>
          </w:p>
        </w:tc>
      </w:tr>
      <w:tr w:rsidR="006611EB" w:rsidRPr="00527D81" w14:paraId="7CFF60A6" w14:textId="77777777" w:rsidTr="003B6389">
        <w:trPr>
          <w:trHeight w:val="34"/>
        </w:trPr>
        <w:tc>
          <w:tcPr>
            <w:tcW w:w="1705" w:type="dxa"/>
            <w:noWrap/>
          </w:tcPr>
          <w:p w14:paraId="34F2AD5D" w14:textId="77777777" w:rsidR="006611EB" w:rsidRPr="00BC44FF" w:rsidRDefault="006611EB" w:rsidP="006611E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 xml:space="preserve">Area within 500m </w:t>
            </w:r>
          </w:p>
        </w:tc>
        <w:tc>
          <w:tcPr>
            <w:tcW w:w="2520" w:type="dxa"/>
            <w:noWrap/>
            <w:vAlign w:val="bottom"/>
          </w:tcPr>
          <w:p w14:paraId="5CF1AB77" w14:textId="2B59BBC9"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-0.001 (-0.028, 0.027)</w:t>
            </w:r>
          </w:p>
        </w:tc>
        <w:tc>
          <w:tcPr>
            <w:tcW w:w="2700" w:type="dxa"/>
            <w:noWrap/>
            <w:vAlign w:val="bottom"/>
          </w:tcPr>
          <w:p w14:paraId="3E4BD689" w14:textId="1E637D73"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0.024 (-0.003, 0.052)</w:t>
            </w:r>
          </w:p>
        </w:tc>
        <w:tc>
          <w:tcPr>
            <w:tcW w:w="2425" w:type="dxa"/>
            <w:vAlign w:val="bottom"/>
          </w:tcPr>
          <w:p w14:paraId="7E722B98" w14:textId="00FBEC54"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0.012 (-0.002, 0.025)</w:t>
            </w:r>
          </w:p>
        </w:tc>
      </w:tr>
      <w:tr w:rsidR="006611EB" w:rsidRPr="00527D81" w14:paraId="667F6006" w14:textId="77777777" w:rsidTr="003B6389">
        <w:trPr>
          <w:trHeight w:val="34"/>
        </w:trPr>
        <w:tc>
          <w:tcPr>
            <w:tcW w:w="1705" w:type="dxa"/>
            <w:noWrap/>
          </w:tcPr>
          <w:p w14:paraId="6C2BB903" w14:textId="77777777" w:rsidR="006611EB" w:rsidRPr="00BC44FF" w:rsidRDefault="006611EB" w:rsidP="006611EB">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1000m</w:t>
            </w:r>
          </w:p>
        </w:tc>
        <w:tc>
          <w:tcPr>
            <w:tcW w:w="2520" w:type="dxa"/>
            <w:noWrap/>
            <w:vAlign w:val="bottom"/>
          </w:tcPr>
          <w:p w14:paraId="646599E7" w14:textId="27285F97"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-0.015 (-0.048, 0.018)</w:t>
            </w:r>
          </w:p>
        </w:tc>
        <w:tc>
          <w:tcPr>
            <w:tcW w:w="2700" w:type="dxa"/>
            <w:noWrap/>
            <w:vAlign w:val="bottom"/>
          </w:tcPr>
          <w:p w14:paraId="28CE2FD3" w14:textId="6DD5C5B3"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0.002 (-0.03</w:t>
            </w:r>
            <w:r w:rsidR="00B0444E">
              <w:rPr>
                <w:rFonts w:ascii="Times New Roman" w:hAnsi="Times New Roman" w:cs="Times New Roman"/>
                <w:color w:val="000000"/>
                <w:sz w:val="18"/>
                <w:szCs w:val="18"/>
              </w:rPr>
              <w:t>0</w:t>
            </w:r>
            <w:r w:rsidRPr="00BC44FF">
              <w:rPr>
                <w:rFonts w:ascii="Times New Roman" w:hAnsi="Times New Roman" w:cs="Times New Roman"/>
                <w:color w:val="000000"/>
                <w:sz w:val="18"/>
                <w:szCs w:val="18"/>
              </w:rPr>
              <w:t>, 0.034)</w:t>
            </w:r>
          </w:p>
        </w:tc>
        <w:tc>
          <w:tcPr>
            <w:tcW w:w="2425" w:type="dxa"/>
            <w:vAlign w:val="bottom"/>
          </w:tcPr>
          <w:p w14:paraId="090D83A1" w14:textId="0D48FB8B" w:rsidR="006611EB" w:rsidRPr="00BC44FF" w:rsidRDefault="006611EB" w:rsidP="006611EB">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0.001 (-0.015, 0.017)</w:t>
            </w:r>
          </w:p>
        </w:tc>
      </w:tr>
    </w:tbl>
    <w:p w14:paraId="2BD7ECD2" w14:textId="77777777" w:rsidR="00A10E2B" w:rsidRDefault="00A10E2B">
      <w:pPr>
        <w:rPr>
          <w:b/>
          <w:bCs/>
          <w:color w:val="000000"/>
          <w:sz w:val="22"/>
          <w:szCs w:val="22"/>
        </w:rPr>
      </w:pPr>
    </w:p>
    <w:tbl>
      <w:tblPr>
        <w:tblStyle w:val="TableGrid"/>
        <w:tblW w:w="9350" w:type="dxa"/>
        <w:tblLook w:val="04A0" w:firstRow="1" w:lastRow="0" w:firstColumn="1" w:lastColumn="0" w:noHBand="0" w:noVBand="1"/>
      </w:tblPr>
      <w:tblGrid>
        <w:gridCol w:w="1705"/>
        <w:gridCol w:w="2520"/>
        <w:gridCol w:w="2700"/>
        <w:gridCol w:w="2425"/>
      </w:tblGrid>
      <w:tr w:rsidR="006611EB" w:rsidRPr="00527D81" w14:paraId="00AB1B30" w14:textId="77777777" w:rsidTr="003B6389">
        <w:trPr>
          <w:trHeight w:val="34"/>
        </w:trPr>
        <w:tc>
          <w:tcPr>
            <w:tcW w:w="1705" w:type="dxa"/>
            <w:noWrap/>
          </w:tcPr>
          <w:p w14:paraId="0AA315E4" w14:textId="7A40A696" w:rsidR="006611EB" w:rsidRPr="00BC44FF" w:rsidRDefault="006611EB" w:rsidP="003B6389">
            <w:pPr>
              <w:rPr>
                <w:rFonts w:ascii="Times New Roman" w:hAnsi="Times New Roman" w:cs="Times New Roman"/>
                <w:color w:val="000000"/>
                <w:sz w:val="18"/>
                <w:szCs w:val="18"/>
              </w:rPr>
            </w:pPr>
          </w:p>
        </w:tc>
        <w:tc>
          <w:tcPr>
            <w:tcW w:w="2520" w:type="dxa"/>
            <w:noWrap/>
          </w:tcPr>
          <w:p w14:paraId="2D8B8659" w14:textId="195DBE35" w:rsidR="006611EB" w:rsidRPr="00BC44FF" w:rsidRDefault="006611EB"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DCGTS</w:t>
            </w:r>
          </w:p>
        </w:tc>
        <w:tc>
          <w:tcPr>
            <w:tcW w:w="2700" w:type="dxa"/>
            <w:noWrap/>
          </w:tcPr>
          <w:p w14:paraId="5CADD8DA" w14:textId="41ADDCDF" w:rsidR="006611EB" w:rsidRPr="00BC44FF" w:rsidRDefault="006611EB" w:rsidP="003B6389">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GPTS</w:t>
            </w:r>
          </w:p>
        </w:tc>
        <w:tc>
          <w:tcPr>
            <w:tcW w:w="2425" w:type="dxa"/>
          </w:tcPr>
          <w:p w14:paraId="1464F8D7" w14:textId="2CC9F239" w:rsidR="006611EB" w:rsidRPr="00BC44FF" w:rsidRDefault="00BC44FF" w:rsidP="0024329E">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Visuospatial Processing</w:t>
            </w:r>
          </w:p>
        </w:tc>
      </w:tr>
      <w:tr w:rsidR="00BC44FF" w:rsidRPr="00527D81" w14:paraId="547F4ED2" w14:textId="77777777" w:rsidTr="003B6389">
        <w:trPr>
          <w:trHeight w:val="34"/>
        </w:trPr>
        <w:tc>
          <w:tcPr>
            <w:tcW w:w="1705" w:type="dxa"/>
            <w:noWrap/>
          </w:tcPr>
          <w:p w14:paraId="3F3EB410" w14:textId="77777777" w:rsidR="00BC44FF" w:rsidRPr="00BC44FF" w:rsidRDefault="00BC44FF" w:rsidP="00BC44FF">
            <w:pPr>
              <w:rPr>
                <w:rFonts w:ascii="Times New Roman" w:hAnsi="Times New Roman" w:cs="Times New Roman"/>
                <w:color w:val="000000"/>
                <w:sz w:val="18"/>
                <w:szCs w:val="18"/>
              </w:rPr>
            </w:pPr>
            <w:r w:rsidRPr="00BC44FF">
              <w:rPr>
                <w:rFonts w:ascii="Times New Roman" w:hAnsi="Times New Roman" w:cs="Times New Roman"/>
                <w:color w:val="000000"/>
                <w:sz w:val="18"/>
                <w:szCs w:val="18"/>
              </w:rPr>
              <w:t>Distance</w:t>
            </w:r>
          </w:p>
        </w:tc>
        <w:tc>
          <w:tcPr>
            <w:tcW w:w="2520" w:type="dxa"/>
            <w:noWrap/>
            <w:vAlign w:val="bottom"/>
          </w:tcPr>
          <w:p w14:paraId="638EA96C" w14:textId="0EE464A2"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-0.031 (-0.172, 0.11)</w:t>
            </w:r>
          </w:p>
        </w:tc>
        <w:tc>
          <w:tcPr>
            <w:tcW w:w="2700" w:type="dxa"/>
            <w:noWrap/>
            <w:vAlign w:val="bottom"/>
          </w:tcPr>
          <w:p w14:paraId="730670D8" w14:textId="77E480C8"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0.014 (-0.087, 0.115)</w:t>
            </w:r>
          </w:p>
        </w:tc>
        <w:tc>
          <w:tcPr>
            <w:tcW w:w="2425" w:type="dxa"/>
            <w:vAlign w:val="bottom"/>
          </w:tcPr>
          <w:p w14:paraId="5923FBCA" w14:textId="309AD237"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-0.008 (-0.099, 0.082)</w:t>
            </w:r>
          </w:p>
        </w:tc>
      </w:tr>
      <w:tr w:rsidR="00BC44FF" w:rsidRPr="00527D81" w14:paraId="7B995306" w14:textId="77777777" w:rsidTr="003B6389">
        <w:trPr>
          <w:trHeight w:val="34"/>
        </w:trPr>
        <w:tc>
          <w:tcPr>
            <w:tcW w:w="1705" w:type="dxa"/>
            <w:noWrap/>
          </w:tcPr>
          <w:p w14:paraId="32FFB158" w14:textId="77777777" w:rsidR="00BC44FF" w:rsidRPr="00BC44FF" w:rsidRDefault="00BC44FF" w:rsidP="00BC44FF">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50m</w:t>
            </w:r>
          </w:p>
        </w:tc>
        <w:tc>
          <w:tcPr>
            <w:tcW w:w="2520" w:type="dxa"/>
            <w:noWrap/>
            <w:vAlign w:val="bottom"/>
          </w:tcPr>
          <w:p w14:paraId="16435BC2" w14:textId="5EB9AA79"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0.026 (-0.076, 0.128)</w:t>
            </w:r>
          </w:p>
        </w:tc>
        <w:tc>
          <w:tcPr>
            <w:tcW w:w="2700" w:type="dxa"/>
            <w:noWrap/>
            <w:vAlign w:val="bottom"/>
          </w:tcPr>
          <w:p w14:paraId="3123CC56" w14:textId="2C942380"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-0.029 (-0.103, 0.045)</w:t>
            </w:r>
          </w:p>
        </w:tc>
        <w:tc>
          <w:tcPr>
            <w:tcW w:w="2425" w:type="dxa"/>
            <w:vAlign w:val="bottom"/>
          </w:tcPr>
          <w:p w14:paraId="4562D52F" w14:textId="3354FAF3"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 (-0.069, 0.068)</w:t>
            </w:r>
          </w:p>
        </w:tc>
      </w:tr>
      <w:tr w:rsidR="00BC44FF" w:rsidRPr="00527D81" w14:paraId="49D99378" w14:textId="77777777" w:rsidTr="003B6389">
        <w:trPr>
          <w:trHeight w:val="34"/>
        </w:trPr>
        <w:tc>
          <w:tcPr>
            <w:tcW w:w="1705" w:type="dxa"/>
            <w:noWrap/>
          </w:tcPr>
          <w:p w14:paraId="4412FD0C" w14:textId="77777777" w:rsidR="00BC44FF" w:rsidRPr="00BC44FF" w:rsidRDefault="00BC44FF" w:rsidP="00BC44FF">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100m</w:t>
            </w:r>
          </w:p>
        </w:tc>
        <w:tc>
          <w:tcPr>
            <w:tcW w:w="2520" w:type="dxa"/>
            <w:noWrap/>
            <w:vAlign w:val="bottom"/>
          </w:tcPr>
          <w:p w14:paraId="2782968B" w14:textId="58167FD9"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0.024 (-0.039, 0.088)</w:t>
            </w:r>
          </w:p>
        </w:tc>
        <w:tc>
          <w:tcPr>
            <w:tcW w:w="2700" w:type="dxa"/>
            <w:noWrap/>
            <w:vAlign w:val="bottom"/>
          </w:tcPr>
          <w:p w14:paraId="57D61C86" w14:textId="2E8F86C2"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-0.017 (-0.062, 0.027)</w:t>
            </w:r>
          </w:p>
        </w:tc>
        <w:tc>
          <w:tcPr>
            <w:tcW w:w="2425" w:type="dxa"/>
            <w:vAlign w:val="bottom"/>
          </w:tcPr>
          <w:p w14:paraId="4C112C34" w14:textId="5D564330"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0.003 (-0.037, 0.044)</w:t>
            </w:r>
          </w:p>
        </w:tc>
      </w:tr>
      <w:tr w:rsidR="00BC44FF" w:rsidRPr="00527D81" w14:paraId="3944D3B0" w14:textId="77777777" w:rsidTr="003B6389">
        <w:trPr>
          <w:trHeight w:val="34"/>
        </w:trPr>
        <w:tc>
          <w:tcPr>
            <w:tcW w:w="1705" w:type="dxa"/>
            <w:noWrap/>
          </w:tcPr>
          <w:p w14:paraId="3AFB2E7F" w14:textId="77777777" w:rsidR="00BC44FF" w:rsidRPr="00BC44FF" w:rsidRDefault="00BC44FF" w:rsidP="00BC44FF">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150m</w:t>
            </w:r>
          </w:p>
        </w:tc>
        <w:tc>
          <w:tcPr>
            <w:tcW w:w="2520" w:type="dxa"/>
            <w:noWrap/>
            <w:vAlign w:val="bottom"/>
          </w:tcPr>
          <w:p w14:paraId="5133980D" w14:textId="3E6CA4DD"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 (-0.051, 0.051)</w:t>
            </w:r>
          </w:p>
        </w:tc>
        <w:tc>
          <w:tcPr>
            <w:tcW w:w="2700" w:type="dxa"/>
            <w:noWrap/>
            <w:vAlign w:val="bottom"/>
          </w:tcPr>
          <w:p w14:paraId="435D035D" w14:textId="2EBDE0D6"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0.005 (-0.033, 0.043)</w:t>
            </w:r>
          </w:p>
        </w:tc>
        <w:tc>
          <w:tcPr>
            <w:tcW w:w="2425" w:type="dxa"/>
            <w:vAlign w:val="bottom"/>
          </w:tcPr>
          <w:p w14:paraId="6256DC0D" w14:textId="6346AC07"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(-0.03, 0.037)</w:t>
            </w:r>
          </w:p>
        </w:tc>
      </w:tr>
      <w:tr w:rsidR="00BC44FF" w:rsidRPr="00527D81" w14:paraId="3C04EE31" w14:textId="77777777" w:rsidTr="003B6389">
        <w:trPr>
          <w:trHeight w:val="34"/>
        </w:trPr>
        <w:tc>
          <w:tcPr>
            <w:tcW w:w="1705" w:type="dxa"/>
            <w:noWrap/>
          </w:tcPr>
          <w:p w14:paraId="2079CF2C" w14:textId="77777777" w:rsidR="00BC44FF" w:rsidRPr="00BC44FF" w:rsidRDefault="00BC44FF" w:rsidP="00BC44FF">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200m</w:t>
            </w:r>
          </w:p>
        </w:tc>
        <w:tc>
          <w:tcPr>
            <w:tcW w:w="2520" w:type="dxa"/>
            <w:noWrap/>
            <w:vAlign w:val="bottom"/>
          </w:tcPr>
          <w:p w14:paraId="7C0D825A" w14:textId="5ED09D82"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0.012 (-0.035, 0.058)</w:t>
            </w:r>
          </w:p>
        </w:tc>
        <w:tc>
          <w:tcPr>
            <w:tcW w:w="2700" w:type="dxa"/>
            <w:noWrap/>
            <w:vAlign w:val="bottom"/>
          </w:tcPr>
          <w:p w14:paraId="2D4EBFD1" w14:textId="23252ED5"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0.003 (-0.031, 0.036)</w:t>
            </w:r>
          </w:p>
        </w:tc>
        <w:tc>
          <w:tcPr>
            <w:tcW w:w="2425" w:type="dxa"/>
            <w:vAlign w:val="bottom"/>
          </w:tcPr>
          <w:p w14:paraId="412177FD" w14:textId="75F5768B"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0.006 (-0.024, 0.036)</w:t>
            </w:r>
          </w:p>
        </w:tc>
      </w:tr>
      <w:tr w:rsidR="00BC44FF" w:rsidRPr="00527D81" w14:paraId="7F490A6D" w14:textId="77777777" w:rsidTr="003B6389">
        <w:trPr>
          <w:trHeight w:val="34"/>
        </w:trPr>
        <w:tc>
          <w:tcPr>
            <w:tcW w:w="1705" w:type="dxa"/>
            <w:noWrap/>
          </w:tcPr>
          <w:p w14:paraId="24329A01" w14:textId="77777777" w:rsidR="00BC44FF" w:rsidRPr="00BC44FF" w:rsidRDefault="00BC44FF" w:rsidP="00BC44FF">
            <w:pPr>
              <w:rPr>
                <w:rFonts w:ascii="Times New Roman" w:hAnsi="Times New Roman" w:cs="Times New Roman"/>
                <w:color w:val="000000"/>
                <w:sz w:val="18"/>
                <w:szCs w:val="18"/>
              </w:rPr>
            </w:pPr>
            <w:r w:rsidRPr="00BC44FF">
              <w:rPr>
                <w:rFonts w:ascii="Times New Roman" w:hAnsi="Times New Roman" w:cs="Times New Roman"/>
                <w:color w:val="000000"/>
                <w:sz w:val="18"/>
                <w:szCs w:val="18"/>
              </w:rPr>
              <w:lastRenderedPageBreak/>
              <w:t>Area within 300m</w:t>
            </w:r>
          </w:p>
        </w:tc>
        <w:tc>
          <w:tcPr>
            <w:tcW w:w="2520" w:type="dxa"/>
            <w:noWrap/>
            <w:vAlign w:val="bottom"/>
          </w:tcPr>
          <w:p w14:paraId="444AE7CA" w14:textId="5B823F73"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-0.005 (-0.047, 0.037)</w:t>
            </w:r>
          </w:p>
        </w:tc>
        <w:tc>
          <w:tcPr>
            <w:tcW w:w="2700" w:type="dxa"/>
            <w:noWrap/>
            <w:vAlign w:val="bottom"/>
          </w:tcPr>
          <w:p w14:paraId="08AAF88B" w14:textId="7C2B4B9C"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-0.001 (-0.03, 0.027)</w:t>
            </w:r>
          </w:p>
        </w:tc>
        <w:tc>
          <w:tcPr>
            <w:tcW w:w="2425" w:type="dxa"/>
            <w:vAlign w:val="bottom"/>
          </w:tcPr>
          <w:p w14:paraId="220D9CE7" w14:textId="58C4B12C"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(-0.03, 0.023)</w:t>
            </w:r>
          </w:p>
        </w:tc>
      </w:tr>
      <w:tr w:rsidR="00BC44FF" w:rsidRPr="00527D81" w14:paraId="632C313A" w14:textId="77777777" w:rsidTr="003B6389">
        <w:trPr>
          <w:trHeight w:val="34"/>
        </w:trPr>
        <w:tc>
          <w:tcPr>
            <w:tcW w:w="1705" w:type="dxa"/>
            <w:noWrap/>
          </w:tcPr>
          <w:p w14:paraId="302206DD" w14:textId="77777777" w:rsidR="00BC44FF" w:rsidRPr="00BC44FF" w:rsidRDefault="00BC44FF" w:rsidP="00BC44FF">
            <w:pPr>
              <w:rPr>
                <w:rFonts w:ascii="Times New Roman" w:hAnsi="Times New Roman" w:cs="Times New Roman"/>
                <w:color w:val="000000"/>
                <w:sz w:val="18"/>
                <w:szCs w:val="18"/>
              </w:rPr>
            </w:pPr>
            <w:r w:rsidRPr="00BC44FF">
              <w:rPr>
                <w:rFonts w:ascii="Times New Roman" w:hAnsi="Times New Roman" w:cs="Times New Roman"/>
                <w:color w:val="000000"/>
                <w:sz w:val="18"/>
                <w:szCs w:val="18"/>
              </w:rPr>
              <w:t xml:space="preserve">Area within 500m </w:t>
            </w:r>
          </w:p>
        </w:tc>
        <w:tc>
          <w:tcPr>
            <w:tcW w:w="2520" w:type="dxa"/>
            <w:noWrap/>
            <w:vAlign w:val="bottom"/>
          </w:tcPr>
          <w:p w14:paraId="246E0B27" w14:textId="70E500D3"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0.014 (-0.025, 0.053)</w:t>
            </w:r>
          </w:p>
        </w:tc>
        <w:tc>
          <w:tcPr>
            <w:tcW w:w="2700" w:type="dxa"/>
            <w:noWrap/>
            <w:vAlign w:val="bottom"/>
          </w:tcPr>
          <w:p w14:paraId="2CAE99DB" w14:textId="43F16981"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-0.007 (-0.033, 0.02)</w:t>
            </w:r>
          </w:p>
        </w:tc>
        <w:tc>
          <w:tcPr>
            <w:tcW w:w="2425" w:type="dxa"/>
            <w:vAlign w:val="bottom"/>
          </w:tcPr>
          <w:p w14:paraId="4151335C" w14:textId="5065A50D"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0.003 (-0.022, 0.028)</w:t>
            </w:r>
          </w:p>
        </w:tc>
      </w:tr>
      <w:tr w:rsidR="00BC44FF" w:rsidRPr="00527D81" w14:paraId="25F89755" w14:textId="77777777" w:rsidTr="003B6389">
        <w:trPr>
          <w:trHeight w:val="34"/>
        </w:trPr>
        <w:tc>
          <w:tcPr>
            <w:tcW w:w="1705" w:type="dxa"/>
            <w:noWrap/>
          </w:tcPr>
          <w:p w14:paraId="316971FC" w14:textId="77777777" w:rsidR="00BC44FF" w:rsidRPr="00BC44FF" w:rsidRDefault="00BC44FF" w:rsidP="00BC44FF">
            <w:pPr>
              <w:rPr>
                <w:rFonts w:ascii="Times New Roman" w:hAnsi="Times New Roman" w:cs="Times New Roman"/>
                <w:color w:val="000000"/>
                <w:sz w:val="18"/>
                <w:szCs w:val="18"/>
              </w:rPr>
            </w:pPr>
            <w:r w:rsidRPr="00BC44FF">
              <w:rPr>
                <w:rFonts w:ascii="Times New Roman" w:hAnsi="Times New Roman" w:cs="Times New Roman"/>
                <w:color w:val="000000"/>
                <w:sz w:val="18"/>
                <w:szCs w:val="18"/>
              </w:rPr>
              <w:t>Area within 1000m</w:t>
            </w:r>
          </w:p>
        </w:tc>
        <w:tc>
          <w:tcPr>
            <w:tcW w:w="2520" w:type="dxa"/>
            <w:noWrap/>
            <w:vAlign w:val="bottom"/>
          </w:tcPr>
          <w:p w14:paraId="3546AA50" w14:textId="4BD569A3"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0.008 (-0.038, 0.053)</w:t>
            </w:r>
          </w:p>
        </w:tc>
        <w:tc>
          <w:tcPr>
            <w:tcW w:w="2700" w:type="dxa"/>
            <w:noWrap/>
            <w:vAlign w:val="bottom"/>
          </w:tcPr>
          <w:p w14:paraId="730089C3" w14:textId="24E2A767"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0.002 (-0.029, 0.032)</w:t>
            </w:r>
          </w:p>
        </w:tc>
        <w:tc>
          <w:tcPr>
            <w:tcW w:w="2425" w:type="dxa"/>
            <w:vAlign w:val="bottom"/>
          </w:tcPr>
          <w:p w14:paraId="76B201B6" w14:textId="67C32AF9" w:rsidR="00BC44FF" w:rsidRPr="00BC44FF" w:rsidRDefault="00BC44FF" w:rsidP="00BC44FF">
            <w:pPr>
              <w:jc w:val="center"/>
              <w:rPr>
                <w:rFonts w:ascii="Times New Roman" w:hAnsi="Times New Roman" w:cs="Times New Roman"/>
                <w:color w:val="000000"/>
                <w:sz w:val="18"/>
                <w:szCs w:val="18"/>
              </w:rPr>
            </w:pPr>
            <w:r w:rsidRPr="00BC44FF">
              <w:rPr>
                <w:rFonts w:ascii="Times New Roman" w:hAnsi="Times New Roman" w:cs="Times New Roman"/>
                <w:color w:val="000000"/>
                <w:sz w:val="18"/>
                <w:szCs w:val="18"/>
              </w:rPr>
              <w:t>0.004 (-0.026, 0.034)</w:t>
            </w:r>
          </w:p>
        </w:tc>
      </w:tr>
    </w:tbl>
    <w:p w14:paraId="6BB9F111" w14:textId="77777777" w:rsidR="00A10E2B" w:rsidRDefault="00A10E2B">
      <w:pPr>
        <w:rPr>
          <w:b/>
          <w:bCs/>
          <w:color w:val="000000"/>
          <w:sz w:val="22"/>
          <w:szCs w:val="22"/>
        </w:rPr>
      </w:pPr>
    </w:p>
    <w:p w14:paraId="6937091F" w14:textId="493C242D" w:rsidR="00062DE3" w:rsidRDefault="00361407">
      <w:pPr>
        <w:rPr>
          <w:color w:val="000000"/>
          <w:sz w:val="22"/>
          <w:szCs w:val="22"/>
        </w:rPr>
      </w:pPr>
      <w:r w:rsidRPr="00361407">
        <w:rPr>
          <w:b/>
          <w:bCs/>
          <w:color w:val="000000"/>
          <w:sz w:val="22"/>
          <w:szCs w:val="22"/>
        </w:rPr>
        <w:t>Supplemental Table 2:</w:t>
      </w:r>
      <w:r>
        <w:rPr>
          <w:b/>
          <w:bCs/>
          <w:color w:val="000000"/>
          <w:sz w:val="22"/>
          <w:szCs w:val="22"/>
        </w:rPr>
        <w:t xml:space="preserve"> </w:t>
      </w:r>
      <w:r w:rsidR="00F27ECC">
        <w:rPr>
          <w:color w:val="000000"/>
          <w:sz w:val="22"/>
          <w:szCs w:val="22"/>
        </w:rPr>
        <w:t>Estimates</w:t>
      </w:r>
      <w:r w:rsidR="00016D3E">
        <w:rPr>
          <w:color w:val="000000"/>
          <w:sz w:val="22"/>
          <w:szCs w:val="22"/>
        </w:rPr>
        <w:t xml:space="preserve"> (95% confidence interval)</w:t>
      </w:r>
      <w:r w:rsidR="00F27ECC">
        <w:rPr>
          <w:color w:val="000000"/>
          <w:sz w:val="22"/>
          <w:szCs w:val="22"/>
        </w:rPr>
        <w:t xml:space="preserve"> for the additive change in NEPSY-II score after doubling the exposure variable. </w:t>
      </w:r>
      <w:r w:rsidR="00D14550">
        <w:rPr>
          <w:color w:val="000000"/>
          <w:sz w:val="22"/>
          <w:szCs w:val="22"/>
        </w:rPr>
        <w:t>Estimates are significant if they have a p-value &lt; 0.05, and they are highlighted in yellow.</w:t>
      </w:r>
    </w:p>
    <w:p w14:paraId="21A05297" w14:textId="77777777" w:rsidR="00CF40E3" w:rsidRDefault="00CF40E3">
      <w:pPr>
        <w:rPr>
          <w:color w:val="000000"/>
          <w:sz w:val="22"/>
          <w:szCs w:val="22"/>
        </w:rPr>
      </w:pPr>
    </w:p>
    <w:p w14:paraId="0559092A" w14:textId="06D7738A" w:rsidR="00CF40E3" w:rsidRDefault="00CF40E3">
      <w:pPr>
        <w:rPr>
          <w:color w:val="000000"/>
          <w:sz w:val="22"/>
          <w:szCs w:val="22"/>
        </w:rPr>
      </w:pPr>
      <w:r>
        <w:rPr>
          <w:color w:val="000000"/>
          <w:sz w:val="22"/>
          <w:szCs w:val="22"/>
        </w:rPr>
        <w:br w:type="page"/>
      </w:r>
    </w:p>
    <w:tbl>
      <w:tblPr>
        <w:tblStyle w:val="TableGrid"/>
        <w:tblW w:w="9350" w:type="dxa"/>
        <w:tblLook w:val="04A0" w:firstRow="1" w:lastRow="0" w:firstColumn="1" w:lastColumn="0" w:noHBand="0" w:noVBand="1"/>
      </w:tblPr>
      <w:tblGrid>
        <w:gridCol w:w="1705"/>
        <w:gridCol w:w="2520"/>
        <w:gridCol w:w="2700"/>
        <w:gridCol w:w="2425"/>
      </w:tblGrid>
      <w:tr w:rsidR="00CF40E3" w14:paraId="7D5D7C35" w14:textId="77777777" w:rsidTr="003B6389">
        <w:trPr>
          <w:trHeight w:val="34"/>
        </w:trPr>
        <w:tc>
          <w:tcPr>
            <w:tcW w:w="1705" w:type="dxa"/>
            <w:noWrap/>
          </w:tcPr>
          <w:p w14:paraId="6DEF8DCE" w14:textId="49C0CB7E" w:rsidR="00CF40E3" w:rsidRPr="00527D81" w:rsidRDefault="00CF40E3" w:rsidP="003B6389">
            <w:pPr>
              <w:rPr>
                <w:rFonts w:ascii="Times New Roman" w:hAnsi="Times New Roman" w:cs="Times New Roman"/>
                <w:color w:val="000000"/>
                <w:sz w:val="18"/>
                <w:szCs w:val="18"/>
              </w:rPr>
            </w:pPr>
          </w:p>
        </w:tc>
        <w:tc>
          <w:tcPr>
            <w:tcW w:w="2520" w:type="dxa"/>
            <w:noWrap/>
          </w:tcPr>
          <w:p w14:paraId="1A2005C2" w14:textId="77777777" w:rsidR="00CF40E3" w:rsidRPr="00527D81" w:rsidRDefault="00CF40E3" w:rsidP="003B6389">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AAC</w:t>
            </w:r>
          </w:p>
        </w:tc>
        <w:tc>
          <w:tcPr>
            <w:tcW w:w="2700" w:type="dxa"/>
            <w:noWrap/>
          </w:tcPr>
          <w:p w14:paraId="5989A8EF" w14:textId="77777777" w:rsidR="00CF40E3" w:rsidRPr="00527D81" w:rsidRDefault="00CF40E3" w:rsidP="003B6389">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RSC</w:t>
            </w:r>
          </w:p>
        </w:tc>
        <w:tc>
          <w:tcPr>
            <w:tcW w:w="2425" w:type="dxa"/>
          </w:tcPr>
          <w:p w14:paraId="1122C147" w14:textId="77777777" w:rsidR="00CF40E3" w:rsidRPr="00527D81" w:rsidRDefault="00CF40E3" w:rsidP="003B6389">
            <w:pPr>
              <w:jc w:val="center"/>
              <w:rPr>
                <w:rFonts w:ascii="Times New Roman" w:hAnsi="Times New Roman" w:cs="Times New Roman"/>
                <w:color w:val="000000"/>
                <w:sz w:val="18"/>
                <w:szCs w:val="18"/>
              </w:rPr>
            </w:pPr>
            <w:r w:rsidRPr="00527D81">
              <w:rPr>
                <w:rFonts w:ascii="Times New Roman" w:hAnsi="Times New Roman" w:cs="Times New Roman"/>
                <w:color w:val="000000"/>
                <w:sz w:val="18"/>
                <w:szCs w:val="18"/>
              </w:rPr>
              <w:t>IIC</w:t>
            </w:r>
          </w:p>
        </w:tc>
      </w:tr>
      <w:tr w:rsidR="00F27720" w14:paraId="1480F8F8" w14:textId="77777777" w:rsidTr="003B6389">
        <w:trPr>
          <w:trHeight w:val="34"/>
        </w:trPr>
        <w:tc>
          <w:tcPr>
            <w:tcW w:w="1705" w:type="dxa"/>
            <w:noWrap/>
          </w:tcPr>
          <w:p w14:paraId="0672FF09" w14:textId="77777777" w:rsidR="00F27720" w:rsidRPr="00527D81" w:rsidRDefault="00F27720" w:rsidP="00F27720">
            <w:pPr>
              <w:rPr>
                <w:rFonts w:ascii="Times New Roman" w:hAnsi="Times New Roman" w:cs="Times New Roman"/>
                <w:color w:val="000000"/>
                <w:sz w:val="18"/>
                <w:szCs w:val="18"/>
              </w:rPr>
            </w:pPr>
            <w:r w:rsidRPr="00527D81">
              <w:rPr>
                <w:rFonts w:ascii="Times New Roman" w:hAnsi="Times New Roman" w:cs="Times New Roman"/>
                <w:color w:val="000000"/>
                <w:sz w:val="18"/>
                <w:szCs w:val="18"/>
              </w:rPr>
              <w:t>Distance</w:t>
            </w:r>
          </w:p>
        </w:tc>
        <w:tc>
          <w:tcPr>
            <w:tcW w:w="2520" w:type="dxa"/>
            <w:noWrap/>
            <w:vAlign w:val="bottom"/>
          </w:tcPr>
          <w:p w14:paraId="04AEA077" w14:textId="56B6BF2A"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0.964 (0.889, 1.046)</w:t>
            </w:r>
          </w:p>
        </w:tc>
        <w:tc>
          <w:tcPr>
            <w:tcW w:w="2700" w:type="dxa"/>
            <w:noWrap/>
            <w:vAlign w:val="bottom"/>
          </w:tcPr>
          <w:p w14:paraId="3A4E9E71" w14:textId="4963DFDE"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0.986 (0.903, 1.078)</w:t>
            </w:r>
          </w:p>
        </w:tc>
        <w:tc>
          <w:tcPr>
            <w:tcW w:w="2425" w:type="dxa"/>
            <w:shd w:val="clear" w:color="auto" w:fill="FFFF00"/>
            <w:vAlign w:val="bottom"/>
          </w:tcPr>
          <w:p w14:paraId="75212B24" w14:textId="0EC930F1"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0.886 (0.814, 0.964)</w:t>
            </w:r>
          </w:p>
        </w:tc>
      </w:tr>
      <w:tr w:rsidR="00F27720" w14:paraId="149054CB" w14:textId="77777777" w:rsidTr="003B6389">
        <w:trPr>
          <w:trHeight w:val="34"/>
        </w:trPr>
        <w:tc>
          <w:tcPr>
            <w:tcW w:w="1705" w:type="dxa"/>
            <w:noWrap/>
          </w:tcPr>
          <w:p w14:paraId="32DC035C" w14:textId="77777777" w:rsidR="00F27720" w:rsidRPr="00527D81" w:rsidRDefault="00F27720" w:rsidP="00F27720">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50m</w:t>
            </w:r>
          </w:p>
        </w:tc>
        <w:tc>
          <w:tcPr>
            <w:tcW w:w="2520" w:type="dxa"/>
            <w:noWrap/>
            <w:vAlign w:val="bottom"/>
          </w:tcPr>
          <w:p w14:paraId="3D799BEA" w14:textId="2D61F04C"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1.018 (0.96, 1.08)</w:t>
            </w:r>
          </w:p>
        </w:tc>
        <w:tc>
          <w:tcPr>
            <w:tcW w:w="2700" w:type="dxa"/>
            <w:noWrap/>
            <w:vAlign w:val="bottom"/>
          </w:tcPr>
          <w:p w14:paraId="7D5F4263" w14:textId="092CE7B1"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1.015 (0.956, 1.078)</w:t>
            </w:r>
          </w:p>
        </w:tc>
        <w:tc>
          <w:tcPr>
            <w:tcW w:w="2425" w:type="dxa"/>
            <w:shd w:val="clear" w:color="auto" w:fill="FFFF00"/>
            <w:vAlign w:val="bottom"/>
          </w:tcPr>
          <w:p w14:paraId="4A82BCC3" w14:textId="7C59B2BB"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1.067 (1.007, 1.13)</w:t>
            </w:r>
          </w:p>
        </w:tc>
      </w:tr>
      <w:tr w:rsidR="00F27720" w14:paraId="22200CE8" w14:textId="77777777" w:rsidTr="003B6389">
        <w:trPr>
          <w:trHeight w:val="34"/>
        </w:trPr>
        <w:tc>
          <w:tcPr>
            <w:tcW w:w="1705" w:type="dxa"/>
            <w:noWrap/>
          </w:tcPr>
          <w:p w14:paraId="00119BF5" w14:textId="77777777" w:rsidR="00F27720" w:rsidRPr="00527D81" w:rsidRDefault="00F27720" w:rsidP="00F27720">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100m</w:t>
            </w:r>
          </w:p>
        </w:tc>
        <w:tc>
          <w:tcPr>
            <w:tcW w:w="2520" w:type="dxa"/>
            <w:noWrap/>
            <w:vAlign w:val="bottom"/>
          </w:tcPr>
          <w:p w14:paraId="3E98BFED" w14:textId="39FE91AA"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 (0.973, 1.049)</w:t>
            </w:r>
          </w:p>
        </w:tc>
        <w:tc>
          <w:tcPr>
            <w:tcW w:w="2700" w:type="dxa"/>
            <w:noWrap/>
            <w:vAlign w:val="bottom"/>
          </w:tcPr>
          <w:p w14:paraId="0507AA3D" w14:textId="514BDF62"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1.012 (0.974, 1.051)</w:t>
            </w:r>
          </w:p>
        </w:tc>
        <w:tc>
          <w:tcPr>
            <w:tcW w:w="2425" w:type="dxa"/>
            <w:shd w:val="clear" w:color="auto" w:fill="FFFF00"/>
            <w:vAlign w:val="bottom"/>
          </w:tcPr>
          <w:p w14:paraId="121A9DAF" w14:textId="44395642"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1.039 (1.003, 1.078)</w:t>
            </w:r>
          </w:p>
        </w:tc>
      </w:tr>
      <w:tr w:rsidR="00F27720" w14:paraId="3952E160" w14:textId="77777777" w:rsidTr="003B6389">
        <w:trPr>
          <w:trHeight w:val="34"/>
        </w:trPr>
        <w:tc>
          <w:tcPr>
            <w:tcW w:w="1705" w:type="dxa"/>
            <w:noWrap/>
          </w:tcPr>
          <w:p w14:paraId="429BDAF3" w14:textId="77777777" w:rsidR="00F27720" w:rsidRPr="00527D81" w:rsidRDefault="00F27720" w:rsidP="00F27720">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150m</w:t>
            </w:r>
          </w:p>
        </w:tc>
        <w:tc>
          <w:tcPr>
            <w:tcW w:w="2520" w:type="dxa"/>
            <w:noWrap/>
            <w:vAlign w:val="bottom"/>
          </w:tcPr>
          <w:p w14:paraId="702B7EBB" w14:textId="5FCBEBF2"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1.005 (0.974, 1.036)</w:t>
            </w:r>
          </w:p>
        </w:tc>
        <w:tc>
          <w:tcPr>
            <w:tcW w:w="2700" w:type="dxa"/>
            <w:noWrap/>
            <w:vAlign w:val="bottom"/>
          </w:tcPr>
          <w:p w14:paraId="4FA9BFB2" w14:textId="5F2906F0"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1.015 (0.984, 1.047)</w:t>
            </w:r>
          </w:p>
        </w:tc>
        <w:tc>
          <w:tcPr>
            <w:tcW w:w="2425" w:type="dxa"/>
            <w:shd w:val="clear" w:color="auto" w:fill="FFFF00"/>
            <w:vAlign w:val="bottom"/>
          </w:tcPr>
          <w:p w14:paraId="3E2C01EE" w14:textId="390B57D5"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1.032 (1.002, 1.064)</w:t>
            </w:r>
          </w:p>
        </w:tc>
      </w:tr>
      <w:tr w:rsidR="00F27720" w14:paraId="44475832" w14:textId="77777777" w:rsidTr="003B6389">
        <w:trPr>
          <w:trHeight w:val="34"/>
        </w:trPr>
        <w:tc>
          <w:tcPr>
            <w:tcW w:w="1705" w:type="dxa"/>
            <w:noWrap/>
          </w:tcPr>
          <w:p w14:paraId="3B9CF884" w14:textId="77777777" w:rsidR="00F27720" w:rsidRPr="00527D81" w:rsidRDefault="00F27720" w:rsidP="00F27720">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200m</w:t>
            </w:r>
          </w:p>
        </w:tc>
        <w:tc>
          <w:tcPr>
            <w:tcW w:w="2520" w:type="dxa"/>
            <w:noWrap/>
            <w:vAlign w:val="bottom"/>
          </w:tcPr>
          <w:p w14:paraId="0FF6B53A" w14:textId="2F7FEFA0"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 (0.984, 1.037)</w:t>
            </w:r>
          </w:p>
        </w:tc>
        <w:tc>
          <w:tcPr>
            <w:tcW w:w="2700" w:type="dxa"/>
            <w:noWrap/>
            <w:vAlign w:val="bottom"/>
          </w:tcPr>
          <w:p w14:paraId="06931A50" w14:textId="7A85EB8C"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1.014 (0.986, 1.043)</w:t>
            </w:r>
          </w:p>
        </w:tc>
        <w:tc>
          <w:tcPr>
            <w:tcW w:w="2425" w:type="dxa"/>
            <w:shd w:val="clear" w:color="auto" w:fill="FFFF00"/>
            <w:vAlign w:val="bottom"/>
          </w:tcPr>
          <w:p w14:paraId="546510EE" w14:textId="65D865CE"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1.029 (1.001, 1.057)</w:t>
            </w:r>
          </w:p>
        </w:tc>
      </w:tr>
      <w:tr w:rsidR="00F27720" w14:paraId="05744BE4" w14:textId="77777777" w:rsidTr="003B6389">
        <w:trPr>
          <w:trHeight w:val="34"/>
        </w:trPr>
        <w:tc>
          <w:tcPr>
            <w:tcW w:w="1705" w:type="dxa"/>
            <w:noWrap/>
          </w:tcPr>
          <w:p w14:paraId="000F58EC" w14:textId="77777777" w:rsidR="00F27720" w:rsidRPr="00527D81" w:rsidRDefault="00F27720" w:rsidP="00F27720">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300m</w:t>
            </w:r>
          </w:p>
        </w:tc>
        <w:tc>
          <w:tcPr>
            <w:tcW w:w="2520" w:type="dxa"/>
            <w:noWrap/>
            <w:vAlign w:val="bottom"/>
          </w:tcPr>
          <w:p w14:paraId="67D318A5" w14:textId="0EC7C161"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 (0.987, 1.034)</w:t>
            </w:r>
          </w:p>
        </w:tc>
        <w:tc>
          <w:tcPr>
            <w:tcW w:w="2700" w:type="dxa"/>
            <w:noWrap/>
            <w:vAlign w:val="bottom"/>
          </w:tcPr>
          <w:p w14:paraId="286553A7" w14:textId="15E62983"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1.005 (0.98, 1.03)</w:t>
            </w:r>
          </w:p>
        </w:tc>
        <w:tc>
          <w:tcPr>
            <w:tcW w:w="2425" w:type="dxa"/>
            <w:shd w:val="clear" w:color="auto" w:fill="FFFF00"/>
            <w:vAlign w:val="bottom"/>
          </w:tcPr>
          <w:p w14:paraId="5246E963" w14:textId="79B1D576"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1.033 (1.008, 1.059)</w:t>
            </w:r>
          </w:p>
        </w:tc>
      </w:tr>
      <w:tr w:rsidR="00F27720" w14:paraId="22D0A5DA" w14:textId="77777777" w:rsidTr="00830681">
        <w:trPr>
          <w:trHeight w:val="34"/>
        </w:trPr>
        <w:tc>
          <w:tcPr>
            <w:tcW w:w="1705" w:type="dxa"/>
            <w:noWrap/>
          </w:tcPr>
          <w:p w14:paraId="599023E5" w14:textId="77777777" w:rsidR="00F27720" w:rsidRPr="00527D81" w:rsidRDefault="00F27720" w:rsidP="00F27720">
            <w:pPr>
              <w:rPr>
                <w:rFonts w:ascii="Times New Roman" w:hAnsi="Times New Roman" w:cs="Times New Roman"/>
                <w:color w:val="000000"/>
                <w:sz w:val="18"/>
                <w:szCs w:val="18"/>
              </w:rPr>
            </w:pPr>
            <w:r w:rsidRPr="00527D81">
              <w:rPr>
                <w:rFonts w:ascii="Times New Roman" w:hAnsi="Times New Roman" w:cs="Times New Roman"/>
                <w:color w:val="000000"/>
                <w:sz w:val="18"/>
                <w:szCs w:val="18"/>
              </w:rPr>
              <w:t xml:space="preserve">Area within 500m </w:t>
            </w:r>
          </w:p>
        </w:tc>
        <w:tc>
          <w:tcPr>
            <w:tcW w:w="2520" w:type="dxa"/>
            <w:noWrap/>
            <w:vAlign w:val="bottom"/>
          </w:tcPr>
          <w:p w14:paraId="09BDFFA1" w14:textId="457D8F5F"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1.014 (0.991, 1.037)</w:t>
            </w:r>
          </w:p>
        </w:tc>
        <w:tc>
          <w:tcPr>
            <w:tcW w:w="2700" w:type="dxa"/>
            <w:noWrap/>
            <w:vAlign w:val="bottom"/>
          </w:tcPr>
          <w:p w14:paraId="59048B7E" w14:textId="6CDEED8C"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 (0.976, 1.025)</w:t>
            </w:r>
          </w:p>
        </w:tc>
        <w:tc>
          <w:tcPr>
            <w:tcW w:w="2425" w:type="dxa"/>
            <w:vAlign w:val="bottom"/>
          </w:tcPr>
          <w:p w14:paraId="1E684FF8" w14:textId="5FD0B36D"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1.02 (0.997, 1.044)</w:t>
            </w:r>
          </w:p>
        </w:tc>
      </w:tr>
      <w:tr w:rsidR="00F27720" w14:paraId="694B3D98" w14:textId="77777777" w:rsidTr="003B6389">
        <w:trPr>
          <w:trHeight w:val="34"/>
        </w:trPr>
        <w:tc>
          <w:tcPr>
            <w:tcW w:w="1705" w:type="dxa"/>
            <w:noWrap/>
          </w:tcPr>
          <w:p w14:paraId="39775DFC" w14:textId="77777777" w:rsidR="00F27720" w:rsidRPr="00527D81" w:rsidRDefault="00F27720" w:rsidP="00F27720">
            <w:pPr>
              <w:rPr>
                <w:rFonts w:ascii="Times New Roman" w:hAnsi="Times New Roman" w:cs="Times New Roman"/>
                <w:color w:val="000000"/>
                <w:sz w:val="18"/>
                <w:szCs w:val="18"/>
              </w:rPr>
            </w:pPr>
            <w:r w:rsidRPr="00527D81">
              <w:rPr>
                <w:rFonts w:ascii="Times New Roman" w:hAnsi="Times New Roman" w:cs="Times New Roman"/>
                <w:color w:val="000000"/>
                <w:sz w:val="18"/>
                <w:szCs w:val="18"/>
              </w:rPr>
              <w:t>Area within 1000m</w:t>
            </w:r>
          </w:p>
        </w:tc>
        <w:tc>
          <w:tcPr>
            <w:tcW w:w="2520" w:type="dxa"/>
            <w:noWrap/>
            <w:vAlign w:val="bottom"/>
          </w:tcPr>
          <w:p w14:paraId="335D5275" w14:textId="29053236"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1.017 (0.989, 1.046)</w:t>
            </w:r>
          </w:p>
        </w:tc>
        <w:tc>
          <w:tcPr>
            <w:tcW w:w="2700" w:type="dxa"/>
            <w:noWrap/>
            <w:vAlign w:val="bottom"/>
          </w:tcPr>
          <w:p w14:paraId="1E31180A" w14:textId="6276379A"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0.989 (0.962, 1.017)</w:t>
            </w:r>
          </w:p>
        </w:tc>
        <w:tc>
          <w:tcPr>
            <w:tcW w:w="2425" w:type="dxa"/>
            <w:vAlign w:val="bottom"/>
          </w:tcPr>
          <w:p w14:paraId="5C7400B0" w14:textId="6DFFB417"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1.006 (0.978, 1.035)</w:t>
            </w:r>
          </w:p>
        </w:tc>
      </w:tr>
    </w:tbl>
    <w:p w14:paraId="0686F25F" w14:textId="77777777" w:rsidR="00CF40E3" w:rsidRDefault="00CF40E3" w:rsidP="00CF40E3">
      <w:pPr>
        <w:rPr>
          <w:b/>
          <w:bCs/>
          <w:color w:val="000000"/>
          <w:sz w:val="22"/>
          <w:szCs w:val="22"/>
        </w:rPr>
      </w:pPr>
    </w:p>
    <w:tbl>
      <w:tblPr>
        <w:tblStyle w:val="TableGrid"/>
        <w:tblW w:w="6925" w:type="dxa"/>
        <w:tblLook w:val="04A0" w:firstRow="1" w:lastRow="0" w:firstColumn="1" w:lastColumn="0" w:noHBand="0" w:noVBand="1"/>
      </w:tblPr>
      <w:tblGrid>
        <w:gridCol w:w="1705"/>
        <w:gridCol w:w="2520"/>
        <w:gridCol w:w="2700"/>
      </w:tblGrid>
      <w:tr w:rsidR="00CF40E3" w:rsidRPr="00527D81" w14:paraId="4F100177" w14:textId="77777777" w:rsidTr="003B6389">
        <w:trPr>
          <w:trHeight w:val="34"/>
        </w:trPr>
        <w:tc>
          <w:tcPr>
            <w:tcW w:w="1705" w:type="dxa"/>
            <w:noWrap/>
          </w:tcPr>
          <w:p w14:paraId="020CED8C" w14:textId="044B8B1A" w:rsidR="00CF40E3" w:rsidRPr="00A82C53" w:rsidRDefault="00CF40E3" w:rsidP="003B6389">
            <w:pPr>
              <w:rPr>
                <w:rFonts w:ascii="Times New Roman" w:hAnsi="Times New Roman" w:cs="Times New Roman"/>
                <w:color w:val="000000"/>
                <w:sz w:val="18"/>
                <w:szCs w:val="18"/>
              </w:rPr>
            </w:pPr>
          </w:p>
        </w:tc>
        <w:tc>
          <w:tcPr>
            <w:tcW w:w="2520" w:type="dxa"/>
            <w:noWrap/>
          </w:tcPr>
          <w:p w14:paraId="4501CED4" w14:textId="77777777" w:rsidR="00CF40E3" w:rsidRPr="00A82C53" w:rsidRDefault="00CF40E3" w:rsidP="003B6389">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INC</w:t>
            </w:r>
          </w:p>
        </w:tc>
        <w:tc>
          <w:tcPr>
            <w:tcW w:w="2700" w:type="dxa"/>
            <w:noWrap/>
          </w:tcPr>
          <w:p w14:paraId="716872FB" w14:textId="77777777" w:rsidR="00CF40E3" w:rsidRPr="00A82C53" w:rsidRDefault="00CF40E3" w:rsidP="003B6389">
            <w:pPr>
              <w:jc w:val="center"/>
              <w:rPr>
                <w:rFonts w:ascii="Times New Roman" w:hAnsi="Times New Roman" w:cs="Times New Roman"/>
                <w:color w:val="000000"/>
                <w:sz w:val="18"/>
                <w:szCs w:val="18"/>
              </w:rPr>
            </w:pPr>
            <w:r w:rsidRPr="00A82C53">
              <w:rPr>
                <w:rFonts w:ascii="Times New Roman" w:hAnsi="Times New Roman" w:cs="Times New Roman"/>
                <w:color w:val="000000"/>
                <w:sz w:val="18"/>
                <w:szCs w:val="18"/>
              </w:rPr>
              <w:t>ISC</w:t>
            </w:r>
          </w:p>
        </w:tc>
      </w:tr>
      <w:tr w:rsidR="00F27720" w:rsidRPr="00527D81" w14:paraId="79A0B55E" w14:textId="77777777" w:rsidTr="003B6389">
        <w:trPr>
          <w:trHeight w:val="34"/>
        </w:trPr>
        <w:tc>
          <w:tcPr>
            <w:tcW w:w="1705" w:type="dxa"/>
            <w:noWrap/>
          </w:tcPr>
          <w:p w14:paraId="34151CDB" w14:textId="77777777" w:rsidR="00F27720" w:rsidRPr="00A82C53" w:rsidRDefault="00F27720" w:rsidP="00F27720">
            <w:pPr>
              <w:rPr>
                <w:rFonts w:ascii="Times New Roman" w:hAnsi="Times New Roman" w:cs="Times New Roman"/>
                <w:color w:val="000000"/>
                <w:sz w:val="18"/>
                <w:szCs w:val="18"/>
              </w:rPr>
            </w:pPr>
            <w:r w:rsidRPr="00A82C53">
              <w:rPr>
                <w:rFonts w:ascii="Times New Roman" w:hAnsi="Times New Roman" w:cs="Times New Roman"/>
                <w:color w:val="000000"/>
                <w:sz w:val="18"/>
                <w:szCs w:val="18"/>
              </w:rPr>
              <w:t>Distance</w:t>
            </w:r>
          </w:p>
        </w:tc>
        <w:tc>
          <w:tcPr>
            <w:tcW w:w="2520" w:type="dxa"/>
            <w:noWrap/>
            <w:vAlign w:val="bottom"/>
          </w:tcPr>
          <w:p w14:paraId="2900C33E" w14:textId="4F7E21BE"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0.97 (0.892, 1.056)</w:t>
            </w:r>
          </w:p>
        </w:tc>
        <w:tc>
          <w:tcPr>
            <w:tcW w:w="2700" w:type="dxa"/>
            <w:noWrap/>
            <w:vAlign w:val="bottom"/>
          </w:tcPr>
          <w:p w14:paraId="1D4EF885" w14:textId="42460885"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0.987 (0.908, 1.073)</w:t>
            </w:r>
          </w:p>
        </w:tc>
      </w:tr>
      <w:tr w:rsidR="00F27720" w:rsidRPr="00527D81" w14:paraId="2561718D" w14:textId="77777777" w:rsidTr="003B6389">
        <w:trPr>
          <w:trHeight w:val="34"/>
        </w:trPr>
        <w:tc>
          <w:tcPr>
            <w:tcW w:w="1705" w:type="dxa"/>
            <w:noWrap/>
          </w:tcPr>
          <w:p w14:paraId="255ADA0D" w14:textId="77777777" w:rsidR="00F27720" w:rsidRPr="00A82C53" w:rsidRDefault="00F27720" w:rsidP="00F27720">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50m</w:t>
            </w:r>
          </w:p>
        </w:tc>
        <w:tc>
          <w:tcPr>
            <w:tcW w:w="2520" w:type="dxa"/>
            <w:noWrap/>
            <w:vAlign w:val="bottom"/>
          </w:tcPr>
          <w:p w14:paraId="296BE4CA" w14:textId="064DFA34"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0.998 (0.94, 1.059)</w:t>
            </w:r>
          </w:p>
        </w:tc>
        <w:tc>
          <w:tcPr>
            <w:tcW w:w="2700" w:type="dxa"/>
            <w:noWrap/>
            <w:vAlign w:val="bottom"/>
          </w:tcPr>
          <w:p w14:paraId="2B34D879" w14:textId="04A1F3A1"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 (0.949, 1.074)</w:t>
            </w:r>
          </w:p>
        </w:tc>
      </w:tr>
      <w:tr w:rsidR="00F27720" w:rsidRPr="00527D81" w14:paraId="1321AF2E" w14:textId="77777777" w:rsidTr="003B6389">
        <w:trPr>
          <w:trHeight w:val="34"/>
        </w:trPr>
        <w:tc>
          <w:tcPr>
            <w:tcW w:w="1705" w:type="dxa"/>
            <w:noWrap/>
          </w:tcPr>
          <w:p w14:paraId="264DEEAA" w14:textId="77777777" w:rsidR="00F27720" w:rsidRPr="00A82C53" w:rsidRDefault="00F27720" w:rsidP="00F27720">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100m</w:t>
            </w:r>
          </w:p>
        </w:tc>
        <w:tc>
          <w:tcPr>
            <w:tcW w:w="2520" w:type="dxa"/>
            <w:noWrap/>
            <w:vAlign w:val="bottom"/>
          </w:tcPr>
          <w:p w14:paraId="16C9AB54" w14:textId="6FF1C1B6"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1.007 (0.971, 1.045)</w:t>
            </w:r>
          </w:p>
        </w:tc>
        <w:tc>
          <w:tcPr>
            <w:tcW w:w="2700" w:type="dxa"/>
            <w:noWrap/>
            <w:vAlign w:val="bottom"/>
          </w:tcPr>
          <w:p w14:paraId="51BE7880" w14:textId="4E2D836C"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1.016 (0.978, 1.055)</w:t>
            </w:r>
          </w:p>
        </w:tc>
      </w:tr>
      <w:tr w:rsidR="00F27720" w:rsidRPr="00527D81" w14:paraId="4511C9C9" w14:textId="77777777" w:rsidTr="00830681">
        <w:trPr>
          <w:trHeight w:val="34"/>
        </w:trPr>
        <w:tc>
          <w:tcPr>
            <w:tcW w:w="1705" w:type="dxa"/>
            <w:noWrap/>
          </w:tcPr>
          <w:p w14:paraId="0E4A21AD" w14:textId="77777777" w:rsidR="00F27720" w:rsidRPr="00A82C53" w:rsidRDefault="00F27720" w:rsidP="00F27720">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150m</w:t>
            </w:r>
          </w:p>
        </w:tc>
        <w:tc>
          <w:tcPr>
            <w:tcW w:w="2520" w:type="dxa"/>
            <w:noWrap/>
            <w:vAlign w:val="bottom"/>
          </w:tcPr>
          <w:p w14:paraId="4CFA9289" w14:textId="7B1A3972"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0.996 (0.966, 1.028)</w:t>
            </w:r>
          </w:p>
        </w:tc>
        <w:tc>
          <w:tcPr>
            <w:tcW w:w="2700" w:type="dxa"/>
            <w:noWrap/>
            <w:vAlign w:val="bottom"/>
          </w:tcPr>
          <w:p w14:paraId="43D45D72" w14:textId="73132CCD"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1.009 (0.978, 1.04)</w:t>
            </w:r>
          </w:p>
        </w:tc>
      </w:tr>
      <w:tr w:rsidR="00F27720" w:rsidRPr="00527D81" w14:paraId="7492BF1B" w14:textId="77777777" w:rsidTr="003B6389">
        <w:trPr>
          <w:trHeight w:val="34"/>
        </w:trPr>
        <w:tc>
          <w:tcPr>
            <w:tcW w:w="1705" w:type="dxa"/>
            <w:noWrap/>
          </w:tcPr>
          <w:p w14:paraId="56770906" w14:textId="77777777" w:rsidR="00F27720" w:rsidRPr="00A82C53" w:rsidRDefault="00F27720" w:rsidP="00F27720">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200m</w:t>
            </w:r>
          </w:p>
        </w:tc>
        <w:tc>
          <w:tcPr>
            <w:tcW w:w="2520" w:type="dxa"/>
            <w:noWrap/>
            <w:vAlign w:val="bottom"/>
          </w:tcPr>
          <w:p w14:paraId="2FA1FF53" w14:textId="4A4FE049"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1.015 (0.988, 1.043)</w:t>
            </w:r>
          </w:p>
        </w:tc>
        <w:tc>
          <w:tcPr>
            <w:tcW w:w="2700" w:type="dxa"/>
            <w:noWrap/>
            <w:vAlign w:val="bottom"/>
          </w:tcPr>
          <w:p w14:paraId="74CCEC50" w14:textId="6B8A0053"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0.999 (0.971, 1.027)</w:t>
            </w:r>
          </w:p>
        </w:tc>
      </w:tr>
      <w:tr w:rsidR="00F27720" w:rsidRPr="00527D81" w14:paraId="75BC4416" w14:textId="77777777" w:rsidTr="00830681">
        <w:trPr>
          <w:trHeight w:val="34"/>
        </w:trPr>
        <w:tc>
          <w:tcPr>
            <w:tcW w:w="1705" w:type="dxa"/>
            <w:noWrap/>
          </w:tcPr>
          <w:p w14:paraId="3CBA6D5D" w14:textId="77777777" w:rsidR="00F27720" w:rsidRPr="00A82C53" w:rsidRDefault="00F27720" w:rsidP="00F27720">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300m</w:t>
            </w:r>
          </w:p>
        </w:tc>
        <w:tc>
          <w:tcPr>
            <w:tcW w:w="2520" w:type="dxa"/>
            <w:noWrap/>
            <w:vAlign w:val="bottom"/>
          </w:tcPr>
          <w:p w14:paraId="57025AAE" w14:textId="0974FA47"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1.019 (0.995, 1.044)</w:t>
            </w:r>
          </w:p>
        </w:tc>
        <w:tc>
          <w:tcPr>
            <w:tcW w:w="2700" w:type="dxa"/>
            <w:noWrap/>
            <w:vAlign w:val="bottom"/>
          </w:tcPr>
          <w:p w14:paraId="105DB382" w14:textId="38E8ED9C"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0.999 (0.975, 1.024)</w:t>
            </w:r>
          </w:p>
        </w:tc>
      </w:tr>
      <w:tr w:rsidR="00F27720" w:rsidRPr="00527D81" w14:paraId="3E45ED48" w14:textId="77777777" w:rsidTr="00830681">
        <w:trPr>
          <w:trHeight w:val="34"/>
        </w:trPr>
        <w:tc>
          <w:tcPr>
            <w:tcW w:w="1705" w:type="dxa"/>
            <w:noWrap/>
          </w:tcPr>
          <w:p w14:paraId="528CF33B" w14:textId="77777777" w:rsidR="00F27720" w:rsidRPr="00A82C53" w:rsidRDefault="00F27720" w:rsidP="00F27720">
            <w:pPr>
              <w:rPr>
                <w:rFonts w:ascii="Times New Roman" w:hAnsi="Times New Roman" w:cs="Times New Roman"/>
                <w:color w:val="000000"/>
                <w:sz w:val="18"/>
                <w:szCs w:val="18"/>
              </w:rPr>
            </w:pPr>
            <w:r w:rsidRPr="00A82C53">
              <w:rPr>
                <w:rFonts w:ascii="Times New Roman" w:hAnsi="Times New Roman" w:cs="Times New Roman"/>
                <w:color w:val="000000"/>
                <w:sz w:val="18"/>
                <w:szCs w:val="18"/>
              </w:rPr>
              <w:t xml:space="preserve">Area within 500m </w:t>
            </w:r>
          </w:p>
        </w:tc>
        <w:tc>
          <w:tcPr>
            <w:tcW w:w="2520" w:type="dxa"/>
            <w:noWrap/>
            <w:vAlign w:val="bottom"/>
          </w:tcPr>
          <w:p w14:paraId="045C065D" w14:textId="50114226"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1.009 (0.986, 1.033)</w:t>
            </w:r>
          </w:p>
        </w:tc>
        <w:tc>
          <w:tcPr>
            <w:tcW w:w="2700" w:type="dxa"/>
            <w:noWrap/>
            <w:vAlign w:val="bottom"/>
          </w:tcPr>
          <w:p w14:paraId="596CCEC9" w14:textId="0DE718CB"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1.011 (0.988, 1.035)</w:t>
            </w:r>
          </w:p>
        </w:tc>
      </w:tr>
      <w:tr w:rsidR="00F27720" w:rsidRPr="00527D81" w14:paraId="7A22441E" w14:textId="77777777" w:rsidTr="003B6389">
        <w:trPr>
          <w:trHeight w:val="34"/>
        </w:trPr>
        <w:tc>
          <w:tcPr>
            <w:tcW w:w="1705" w:type="dxa"/>
            <w:noWrap/>
          </w:tcPr>
          <w:p w14:paraId="1BACAB17" w14:textId="77777777" w:rsidR="00F27720" w:rsidRPr="00A82C53" w:rsidRDefault="00F27720" w:rsidP="00F27720">
            <w:pPr>
              <w:rPr>
                <w:rFonts w:ascii="Times New Roman" w:hAnsi="Times New Roman" w:cs="Times New Roman"/>
                <w:color w:val="000000"/>
                <w:sz w:val="18"/>
                <w:szCs w:val="18"/>
              </w:rPr>
            </w:pPr>
            <w:r w:rsidRPr="00A82C53">
              <w:rPr>
                <w:rFonts w:ascii="Times New Roman" w:hAnsi="Times New Roman" w:cs="Times New Roman"/>
                <w:color w:val="000000"/>
                <w:sz w:val="18"/>
                <w:szCs w:val="18"/>
              </w:rPr>
              <w:t>Area within 1000m</w:t>
            </w:r>
          </w:p>
        </w:tc>
        <w:tc>
          <w:tcPr>
            <w:tcW w:w="2520" w:type="dxa"/>
            <w:noWrap/>
            <w:vAlign w:val="bottom"/>
          </w:tcPr>
          <w:p w14:paraId="4A2C5338" w14:textId="50D987FD"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1.011 (0.982, 1.04)</w:t>
            </w:r>
          </w:p>
        </w:tc>
        <w:tc>
          <w:tcPr>
            <w:tcW w:w="2700" w:type="dxa"/>
            <w:noWrap/>
            <w:vAlign w:val="bottom"/>
          </w:tcPr>
          <w:p w14:paraId="21815839" w14:textId="53331FB6" w:rsidR="00F27720" w:rsidRPr="00F27720" w:rsidRDefault="00F27720" w:rsidP="00F27720">
            <w:pPr>
              <w:jc w:val="center"/>
              <w:rPr>
                <w:rFonts w:ascii="Times New Roman" w:hAnsi="Times New Roman" w:cs="Times New Roman"/>
                <w:color w:val="000000"/>
                <w:sz w:val="18"/>
                <w:szCs w:val="18"/>
              </w:rPr>
            </w:pPr>
            <w:r w:rsidRPr="00F27720">
              <w:rPr>
                <w:rFonts w:ascii="Times New Roman" w:hAnsi="Times New Roman" w:cs="Times New Roman"/>
                <w:color w:val="000000"/>
                <w:sz w:val="18"/>
                <w:szCs w:val="18"/>
              </w:rPr>
              <w:t>1.004 (0.978, 1.03)</w:t>
            </w:r>
          </w:p>
        </w:tc>
      </w:tr>
    </w:tbl>
    <w:p w14:paraId="73EBBA70" w14:textId="77777777" w:rsidR="00CF40E3" w:rsidRPr="004E6357" w:rsidRDefault="00CF40E3" w:rsidP="00CF40E3">
      <w:pPr>
        <w:rPr>
          <w:b/>
          <w:bCs/>
          <w:color w:val="000000"/>
          <w:sz w:val="18"/>
          <w:szCs w:val="18"/>
        </w:rPr>
      </w:pPr>
    </w:p>
    <w:tbl>
      <w:tblPr>
        <w:tblStyle w:val="TableGrid"/>
        <w:tblW w:w="9350" w:type="dxa"/>
        <w:tblLook w:val="04A0" w:firstRow="1" w:lastRow="0" w:firstColumn="1" w:lastColumn="0" w:noHBand="0" w:noVBand="1"/>
      </w:tblPr>
      <w:tblGrid>
        <w:gridCol w:w="1656"/>
        <w:gridCol w:w="2444"/>
        <w:gridCol w:w="2617"/>
        <w:gridCol w:w="2633"/>
      </w:tblGrid>
      <w:tr w:rsidR="004E6357" w:rsidRPr="004E6357" w14:paraId="27C69CC5" w14:textId="77777777" w:rsidTr="003B6389">
        <w:trPr>
          <w:trHeight w:val="34"/>
        </w:trPr>
        <w:tc>
          <w:tcPr>
            <w:tcW w:w="1656" w:type="dxa"/>
            <w:noWrap/>
          </w:tcPr>
          <w:p w14:paraId="355C483C" w14:textId="3F43BB17" w:rsidR="00CF40E3" w:rsidRPr="004E6357" w:rsidRDefault="00CF40E3" w:rsidP="003B6389">
            <w:pPr>
              <w:rPr>
                <w:rFonts w:ascii="Times New Roman" w:hAnsi="Times New Roman" w:cs="Times New Roman"/>
                <w:color w:val="000000"/>
                <w:sz w:val="18"/>
                <w:szCs w:val="18"/>
              </w:rPr>
            </w:pPr>
          </w:p>
        </w:tc>
        <w:tc>
          <w:tcPr>
            <w:tcW w:w="2444" w:type="dxa"/>
            <w:noWrap/>
          </w:tcPr>
          <w:p w14:paraId="304BEEDA"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Auditory Attention</w:t>
            </w:r>
          </w:p>
          <w:p w14:paraId="493BF358" w14:textId="73F04A5D" w:rsidR="00CF40E3" w:rsidRPr="004E6357" w:rsidRDefault="00CF40E3" w:rsidP="0024329E">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Response Set</w:t>
            </w:r>
          </w:p>
        </w:tc>
        <w:tc>
          <w:tcPr>
            <w:tcW w:w="2617" w:type="dxa"/>
            <w:noWrap/>
          </w:tcPr>
          <w:p w14:paraId="1BF36471"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Inhibition</w:t>
            </w:r>
          </w:p>
        </w:tc>
        <w:tc>
          <w:tcPr>
            <w:tcW w:w="2633" w:type="dxa"/>
          </w:tcPr>
          <w:p w14:paraId="636104FC"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Attention Inhibitory Control</w:t>
            </w:r>
          </w:p>
          <w:p w14:paraId="1C0931C2" w14:textId="77777777" w:rsidR="00CF40E3" w:rsidRPr="004E6357" w:rsidRDefault="00CF40E3" w:rsidP="003B6389">
            <w:pPr>
              <w:jc w:val="center"/>
              <w:rPr>
                <w:rFonts w:ascii="Times New Roman" w:hAnsi="Times New Roman" w:cs="Times New Roman"/>
                <w:color w:val="000000"/>
                <w:sz w:val="18"/>
                <w:szCs w:val="18"/>
              </w:rPr>
            </w:pPr>
          </w:p>
        </w:tc>
      </w:tr>
      <w:tr w:rsidR="007837A4" w:rsidRPr="004E6357" w14:paraId="6649792D" w14:textId="77777777" w:rsidTr="00203431">
        <w:trPr>
          <w:trHeight w:val="34"/>
        </w:trPr>
        <w:tc>
          <w:tcPr>
            <w:tcW w:w="1656" w:type="dxa"/>
            <w:noWrap/>
          </w:tcPr>
          <w:p w14:paraId="0978FB60"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Distance</w:t>
            </w:r>
          </w:p>
        </w:tc>
        <w:tc>
          <w:tcPr>
            <w:tcW w:w="2444" w:type="dxa"/>
            <w:noWrap/>
            <w:vAlign w:val="bottom"/>
          </w:tcPr>
          <w:p w14:paraId="01504222" w14:textId="52C4A38F"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0.979 (0.899, 1.066)</w:t>
            </w:r>
          </w:p>
        </w:tc>
        <w:tc>
          <w:tcPr>
            <w:tcW w:w="2617" w:type="dxa"/>
            <w:noWrap/>
            <w:vAlign w:val="bottom"/>
          </w:tcPr>
          <w:p w14:paraId="7F05C4ED" w14:textId="53AD1400"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0.936 (0.861, 1.017)</w:t>
            </w:r>
          </w:p>
        </w:tc>
        <w:tc>
          <w:tcPr>
            <w:tcW w:w="2633" w:type="dxa"/>
            <w:shd w:val="clear" w:color="auto" w:fill="FFFF00"/>
            <w:vAlign w:val="bottom"/>
          </w:tcPr>
          <w:p w14:paraId="1B60A93E" w14:textId="406873BD"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0.907 (0.834, 0.987)</w:t>
            </w:r>
          </w:p>
        </w:tc>
      </w:tr>
      <w:tr w:rsidR="004E6357" w:rsidRPr="004E6357" w14:paraId="743DF84F" w14:textId="77777777" w:rsidTr="00203431">
        <w:trPr>
          <w:trHeight w:val="34"/>
        </w:trPr>
        <w:tc>
          <w:tcPr>
            <w:tcW w:w="1656" w:type="dxa"/>
            <w:noWrap/>
          </w:tcPr>
          <w:p w14:paraId="2BBAA265"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50m</w:t>
            </w:r>
          </w:p>
        </w:tc>
        <w:tc>
          <w:tcPr>
            <w:tcW w:w="2444" w:type="dxa"/>
            <w:noWrap/>
            <w:vAlign w:val="bottom"/>
          </w:tcPr>
          <w:p w14:paraId="31F4B783" w14:textId="12B6F977"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1.036 (0.977, 1.099)</w:t>
            </w:r>
          </w:p>
        </w:tc>
        <w:tc>
          <w:tcPr>
            <w:tcW w:w="2617" w:type="dxa"/>
            <w:noWrap/>
            <w:vAlign w:val="bottom"/>
          </w:tcPr>
          <w:p w14:paraId="1430E69F" w14:textId="0F63499A"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1.015 (0.956, 1.078)</w:t>
            </w:r>
          </w:p>
        </w:tc>
        <w:tc>
          <w:tcPr>
            <w:tcW w:w="2633" w:type="dxa"/>
            <w:shd w:val="clear" w:color="auto" w:fill="FFFF00"/>
            <w:vAlign w:val="bottom"/>
          </w:tcPr>
          <w:p w14:paraId="330C26EC" w14:textId="1D941306"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1.066 (1.009, 1.127)</w:t>
            </w:r>
          </w:p>
        </w:tc>
      </w:tr>
      <w:tr w:rsidR="007837A4" w:rsidRPr="004E6357" w14:paraId="18611FDC" w14:textId="77777777" w:rsidTr="00203431">
        <w:trPr>
          <w:trHeight w:val="34"/>
        </w:trPr>
        <w:tc>
          <w:tcPr>
            <w:tcW w:w="1656" w:type="dxa"/>
            <w:noWrap/>
          </w:tcPr>
          <w:p w14:paraId="086BE0F8"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100m</w:t>
            </w:r>
          </w:p>
        </w:tc>
        <w:tc>
          <w:tcPr>
            <w:tcW w:w="2444" w:type="dxa"/>
            <w:noWrap/>
            <w:vAlign w:val="bottom"/>
          </w:tcPr>
          <w:p w14:paraId="2DA23DB9" w14:textId="2E2766E9"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1.017 (0.979, 1.056)</w:t>
            </w:r>
          </w:p>
        </w:tc>
        <w:tc>
          <w:tcPr>
            <w:tcW w:w="2617" w:type="dxa"/>
            <w:noWrap/>
            <w:vAlign w:val="bottom"/>
          </w:tcPr>
          <w:p w14:paraId="44269B74" w14:textId="7B56A430"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1.024 (0.988, 1.062)</w:t>
            </w:r>
          </w:p>
        </w:tc>
        <w:tc>
          <w:tcPr>
            <w:tcW w:w="2633" w:type="dxa"/>
            <w:shd w:val="clear" w:color="auto" w:fill="FFFF00"/>
            <w:vAlign w:val="bottom"/>
          </w:tcPr>
          <w:p w14:paraId="1826824A" w14:textId="19608766"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1.048 (1.01, 1.087)</w:t>
            </w:r>
          </w:p>
        </w:tc>
      </w:tr>
      <w:tr w:rsidR="007837A4" w:rsidRPr="004E6357" w14:paraId="4B8278D7" w14:textId="77777777" w:rsidTr="00203431">
        <w:trPr>
          <w:trHeight w:val="34"/>
        </w:trPr>
        <w:tc>
          <w:tcPr>
            <w:tcW w:w="1656" w:type="dxa"/>
            <w:noWrap/>
          </w:tcPr>
          <w:p w14:paraId="610FFFA1"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150m</w:t>
            </w:r>
          </w:p>
        </w:tc>
        <w:tc>
          <w:tcPr>
            <w:tcW w:w="2444" w:type="dxa"/>
            <w:noWrap/>
            <w:vAlign w:val="bottom"/>
          </w:tcPr>
          <w:p w14:paraId="3DCEB2FB" w14:textId="072B46EF"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1.001 (0.97, 1.033)</w:t>
            </w:r>
          </w:p>
        </w:tc>
        <w:tc>
          <w:tcPr>
            <w:tcW w:w="2617" w:type="dxa"/>
            <w:noWrap/>
            <w:vAlign w:val="bottom"/>
          </w:tcPr>
          <w:p w14:paraId="3DB52BD0" w14:textId="7B96B58C"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1.026 (0.996, 1.057)</w:t>
            </w:r>
          </w:p>
        </w:tc>
        <w:tc>
          <w:tcPr>
            <w:tcW w:w="2633" w:type="dxa"/>
            <w:shd w:val="clear" w:color="auto" w:fill="FFFF00"/>
            <w:vAlign w:val="bottom"/>
          </w:tcPr>
          <w:p w14:paraId="6A5EA23A" w14:textId="5AC69650"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1.038 (1.006, 1.071)</w:t>
            </w:r>
          </w:p>
        </w:tc>
      </w:tr>
      <w:tr w:rsidR="007837A4" w:rsidRPr="004E6357" w14:paraId="00CE01D4" w14:textId="77777777" w:rsidTr="00830681">
        <w:trPr>
          <w:trHeight w:val="34"/>
        </w:trPr>
        <w:tc>
          <w:tcPr>
            <w:tcW w:w="1656" w:type="dxa"/>
            <w:noWrap/>
          </w:tcPr>
          <w:p w14:paraId="6762ADEA"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200m</w:t>
            </w:r>
          </w:p>
        </w:tc>
        <w:tc>
          <w:tcPr>
            <w:tcW w:w="2444" w:type="dxa"/>
            <w:noWrap/>
            <w:vAlign w:val="bottom"/>
          </w:tcPr>
          <w:p w14:paraId="4FB6D3BB" w14:textId="71498094"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1.007 (0.98, 1.035)</w:t>
            </w:r>
          </w:p>
        </w:tc>
        <w:tc>
          <w:tcPr>
            <w:tcW w:w="2617" w:type="dxa"/>
            <w:noWrap/>
            <w:vAlign w:val="bottom"/>
          </w:tcPr>
          <w:p w14:paraId="33E59216" w14:textId="613F69EB"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1.015 (0.988, 1.042)</w:t>
            </w:r>
          </w:p>
        </w:tc>
        <w:tc>
          <w:tcPr>
            <w:tcW w:w="2633" w:type="dxa"/>
            <w:vAlign w:val="bottom"/>
          </w:tcPr>
          <w:p w14:paraId="09223814" w14:textId="212B9E1C"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1.026 (0.998, 1.054)</w:t>
            </w:r>
          </w:p>
        </w:tc>
      </w:tr>
      <w:tr w:rsidR="007837A4" w:rsidRPr="004E6357" w14:paraId="25F60833" w14:textId="77777777" w:rsidTr="00203431">
        <w:trPr>
          <w:trHeight w:val="34"/>
        </w:trPr>
        <w:tc>
          <w:tcPr>
            <w:tcW w:w="1656" w:type="dxa"/>
            <w:noWrap/>
          </w:tcPr>
          <w:p w14:paraId="7A28DC15"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300m</w:t>
            </w:r>
          </w:p>
        </w:tc>
        <w:tc>
          <w:tcPr>
            <w:tcW w:w="2444" w:type="dxa"/>
            <w:noWrap/>
            <w:vAlign w:val="bottom"/>
          </w:tcPr>
          <w:p w14:paraId="0C900912" w14:textId="153FB90E"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1.006 (0.983, 1.031)</w:t>
            </w:r>
          </w:p>
        </w:tc>
        <w:tc>
          <w:tcPr>
            <w:tcW w:w="2617" w:type="dxa"/>
            <w:noWrap/>
            <w:vAlign w:val="bottom"/>
          </w:tcPr>
          <w:p w14:paraId="0CB8A4B9" w14:textId="64115B5A"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1.023 (0.999, 1.048)</w:t>
            </w:r>
          </w:p>
        </w:tc>
        <w:tc>
          <w:tcPr>
            <w:tcW w:w="2633" w:type="dxa"/>
            <w:shd w:val="clear" w:color="auto" w:fill="FFFF00"/>
            <w:vAlign w:val="bottom"/>
          </w:tcPr>
          <w:p w14:paraId="229414FE" w14:textId="27033F61"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 (1.005, 1.056)</w:t>
            </w:r>
          </w:p>
        </w:tc>
      </w:tr>
      <w:tr w:rsidR="007837A4" w:rsidRPr="004E6357" w14:paraId="66B7B331" w14:textId="77777777" w:rsidTr="00830681">
        <w:trPr>
          <w:trHeight w:val="34"/>
        </w:trPr>
        <w:tc>
          <w:tcPr>
            <w:tcW w:w="1656" w:type="dxa"/>
            <w:noWrap/>
          </w:tcPr>
          <w:p w14:paraId="6AA561A5"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 xml:space="preserve">Area within 500m </w:t>
            </w:r>
          </w:p>
        </w:tc>
        <w:tc>
          <w:tcPr>
            <w:tcW w:w="2444" w:type="dxa"/>
            <w:noWrap/>
            <w:vAlign w:val="bottom"/>
          </w:tcPr>
          <w:p w14:paraId="659FDDF7" w14:textId="084392CD"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1.006 (0.983, 1.03)</w:t>
            </w:r>
          </w:p>
        </w:tc>
        <w:tc>
          <w:tcPr>
            <w:tcW w:w="2617" w:type="dxa"/>
            <w:noWrap/>
            <w:vAlign w:val="bottom"/>
          </w:tcPr>
          <w:p w14:paraId="41134391" w14:textId="3A0F98AF"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1.017 (0.994, 1.04)</w:t>
            </w:r>
          </w:p>
        </w:tc>
        <w:tc>
          <w:tcPr>
            <w:tcW w:w="2633" w:type="dxa"/>
            <w:vAlign w:val="bottom"/>
          </w:tcPr>
          <w:p w14:paraId="1B13EEAA" w14:textId="4363B80A"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1.022 (0.997, 1.047)</w:t>
            </w:r>
          </w:p>
        </w:tc>
      </w:tr>
      <w:tr w:rsidR="004E6357" w:rsidRPr="004E6357" w14:paraId="3D1BCEA0" w14:textId="77777777" w:rsidTr="003B6389">
        <w:trPr>
          <w:trHeight w:val="34"/>
        </w:trPr>
        <w:tc>
          <w:tcPr>
            <w:tcW w:w="1656" w:type="dxa"/>
            <w:noWrap/>
          </w:tcPr>
          <w:p w14:paraId="30624AEC"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1000m</w:t>
            </w:r>
          </w:p>
        </w:tc>
        <w:tc>
          <w:tcPr>
            <w:tcW w:w="2444" w:type="dxa"/>
            <w:noWrap/>
            <w:vAlign w:val="bottom"/>
          </w:tcPr>
          <w:p w14:paraId="45E11DB2" w14:textId="5E673AE1"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1.005 (0.978, 1.032)</w:t>
            </w:r>
          </w:p>
        </w:tc>
        <w:tc>
          <w:tcPr>
            <w:tcW w:w="2617" w:type="dxa"/>
            <w:noWrap/>
            <w:vAlign w:val="bottom"/>
          </w:tcPr>
          <w:p w14:paraId="683D06F6" w14:textId="040421CE"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1.007 (0.98, 1.034)</w:t>
            </w:r>
          </w:p>
        </w:tc>
        <w:tc>
          <w:tcPr>
            <w:tcW w:w="2633" w:type="dxa"/>
            <w:vAlign w:val="bottom"/>
          </w:tcPr>
          <w:p w14:paraId="0840E848" w14:textId="45BD9004"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1.009 (0.982, 1.037)</w:t>
            </w:r>
          </w:p>
        </w:tc>
      </w:tr>
    </w:tbl>
    <w:p w14:paraId="6ED29A00" w14:textId="77777777" w:rsidR="00CF40E3" w:rsidRPr="004E6357" w:rsidRDefault="00CF40E3" w:rsidP="00CF40E3">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CF40E3" w:rsidRPr="004E6357" w14:paraId="2E4D57CE" w14:textId="77777777" w:rsidTr="003B6389">
        <w:trPr>
          <w:trHeight w:val="34"/>
        </w:trPr>
        <w:tc>
          <w:tcPr>
            <w:tcW w:w="1705" w:type="dxa"/>
            <w:noWrap/>
          </w:tcPr>
          <w:p w14:paraId="206AF5F3" w14:textId="1DD7DC23" w:rsidR="00CF40E3" w:rsidRPr="004E6357" w:rsidRDefault="00CF40E3" w:rsidP="003B6389">
            <w:pPr>
              <w:rPr>
                <w:rFonts w:ascii="Times New Roman" w:hAnsi="Times New Roman" w:cs="Times New Roman"/>
                <w:color w:val="000000"/>
                <w:sz w:val="18"/>
                <w:szCs w:val="18"/>
              </w:rPr>
            </w:pPr>
          </w:p>
        </w:tc>
        <w:tc>
          <w:tcPr>
            <w:tcW w:w="2520" w:type="dxa"/>
            <w:noWrap/>
          </w:tcPr>
          <w:p w14:paraId="426A402C"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CITS</w:t>
            </w:r>
          </w:p>
        </w:tc>
        <w:tc>
          <w:tcPr>
            <w:tcW w:w="2700" w:type="dxa"/>
            <w:noWrap/>
          </w:tcPr>
          <w:p w14:paraId="012CAA1C"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SNC</w:t>
            </w:r>
          </w:p>
        </w:tc>
        <w:tc>
          <w:tcPr>
            <w:tcW w:w="2425" w:type="dxa"/>
          </w:tcPr>
          <w:p w14:paraId="2986AAA5"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Language</w:t>
            </w:r>
          </w:p>
        </w:tc>
      </w:tr>
      <w:tr w:rsidR="007837A4" w:rsidRPr="004E6357" w14:paraId="00FA3BD6" w14:textId="77777777" w:rsidTr="00830681">
        <w:trPr>
          <w:trHeight w:val="34"/>
        </w:trPr>
        <w:tc>
          <w:tcPr>
            <w:tcW w:w="1705" w:type="dxa"/>
            <w:noWrap/>
          </w:tcPr>
          <w:p w14:paraId="682E5356"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Distance</w:t>
            </w:r>
          </w:p>
        </w:tc>
        <w:tc>
          <w:tcPr>
            <w:tcW w:w="2520" w:type="dxa"/>
            <w:shd w:val="clear" w:color="auto" w:fill="FFFF00"/>
            <w:noWrap/>
            <w:vAlign w:val="bottom"/>
          </w:tcPr>
          <w:p w14:paraId="543FF61A" w14:textId="2005B6E3"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0.897 (0.817, 0.985)</w:t>
            </w:r>
          </w:p>
        </w:tc>
        <w:tc>
          <w:tcPr>
            <w:tcW w:w="2700" w:type="dxa"/>
            <w:noWrap/>
            <w:vAlign w:val="bottom"/>
          </w:tcPr>
          <w:p w14:paraId="34D11C29" w14:textId="12CB1218"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1.04 (0.949, 1.139)</w:t>
            </w:r>
          </w:p>
        </w:tc>
        <w:tc>
          <w:tcPr>
            <w:tcW w:w="2425" w:type="dxa"/>
            <w:vAlign w:val="bottom"/>
          </w:tcPr>
          <w:p w14:paraId="55322D21" w14:textId="43DFF1D0"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0.911 (0.826, 1.003)</w:t>
            </w:r>
          </w:p>
        </w:tc>
      </w:tr>
      <w:tr w:rsidR="007837A4" w:rsidRPr="004E6357" w14:paraId="45EE77C4" w14:textId="77777777" w:rsidTr="003B6389">
        <w:trPr>
          <w:trHeight w:val="34"/>
        </w:trPr>
        <w:tc>
          <w:tcPr>
            <w:tcW w:w="1705" w:type="dxa"/>
            <w:noWrap/>
          </w:tcPr>
          <w:p w14:paraId="1AD622FD"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50m</w:t>
            </w:r>
          </w:p>
        </w:tc>
        <w:tc>
          <w:tcPr>
            <w:tcW w:w="2520" w:type="dxa"/>
            <w:noWrap/>
            <w:vAlign w:val="bottom"/>
          </w:tcPr>
          <w:p w14:paraId="2408F7C4" w14:textId="76C6B08C"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1.05 (0.987, 1.118)</w:t>
            </w:r>
          </w:p>
        </w:tc>
        <w:tc>
          <w:tcPr>
            <w:tcW w:w="2700" w:type="dxa"/>
            <w:noWrap/>
            <w:vAlign w:val="bottom"/>
          </w:tcPr>
          <w:p w14:paraId="0715CD7F" w14:textId="4500E652"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0.951 (0.886, 1.021)</w:t>
            </w:r>
          </w:p>
        </w:tc>
        <w:tc>
          <w:tcPr>
            <w:tcW w:w="2425" w:type="dxa"/>
            <w:vAlign w:val="bottom"/>
          </w:tcPr>
          <w:p w14:paraId="6A792E34" w14:textId="7203A64D"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1.051 (0.987, 1.119)</w:t>
            </w:r>
          </w:p>
        </w:tc>
      </w:tr>
      <w:tr w:rsidR="007837A4" w:rsidRPr="004E6357" w14:paraId="65E1B9DF" w14:textId="77777777" w:rsidTr="003B6389">
        <w:trPr>
          <w:trHeight w:val="34"/>
        </w:trPr>
        <w:tc>
          <w:tcPr>
            <w:tcW w:w="1705" w:type="dxa"/>
            <w:noWrap/>
          </w:tcPr>
          <w:p w14:paraId="68756787"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100m</w:t>
            </w:r>
          </w:p>
        </w:tc>
        <w:tc>
          <w:tcPr>
            <w:tcW w:w="2520" w:type="dxa"/>
            <w:noWrap/>
            <w:vAlign w:val="bottom"/>
          </w:tcPr>
          <w:p w14:paraId="7B119143" w14:textId="1D747C43"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1.038 (0.997, 1.08)</w:t>
            </w:r>
          </w:p>
        </w:tc>
        <w:tc>
          <w:tcPr>
            <w:tcW w:w="2700" w:type="dxa"/>
            <w:noWrap/>
            <w:vAlign w:val="bottom"/>
          </w:tcPr>
          <w:p w14:paraId="6BFEB4C4" w14:textId="7766FE1F"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0.981 (0.942, 1.023)</w:t>
            </w:r>
          </w:p>
        </w:tc>
        <w:tc>
          <w:tcPr>
            <w:tcW w:w="2425" w:type="dxa"/>
            <w:vAlign w:val="bottom"/>
          </w:tcPr>
          <w:p w14:paraId="2569C61B" w14:textId="27F932A8"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1.024 (0.982, 1.067)</w:t>
            </w:r>
          </w:p>
        </w:tc>
      </w:tr>
      <w:tr w:rsidR="007837A4" w:rsidRPr="004E6357" w14:paraId="3E44E5DE" w14:textId="77777777" w:rsidTr="003B6389">
        <w:trPr>
          <w:trHeight w:val="34"/>
        </w:trPr>
        <w:tc>
          <w:tcPr>
            <w:tcW w:w="1705" w:type="dxa"/>
            <w:noWrap/>
          </w:tcPr>
          <w:p w14:paraId="1FA48578"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150m</w:t>
            </w:r>
          </w:p>
        </w:tc>
        <w:tc>
          <w:tcPr>
            <w:tcW w:w="2520" w:type="dxa"/>
            <w:noWrap/>
            <w:vAlign w:val="bottom"/>
          </w:tcPr>
          <w:p w14:paraId="05A0FDD3" w14:textId="564FD541"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1.031 (0.997, 1.066)</w:t>
            </w:r>
          </w:p>
        </w:tc>
        <w:tc>
          <w:tcPr>
            <w:tcW w:w="2700" w:type="dxa"/>
            <w:noWrap/>
            <w:vAlign w:val="bottom"/>
          </w:tcPr>
          <w:p w14:paraId="0C364818" w14:textId="6FE546B1"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0.997 (0.965, 1.031)</w:t>
            </w:r>
          </w:p>
        </w:tc>
        <w:tc>
          <w:tcPr>
            <w:tcW w:w="2425" w:type="dxa"/>
            <w:vAlign w:val="bottom"/>
          </w:tcPr>
          <w:p w14:paraId="19787C4A" w14:textId="42E88110"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1.025 (0.99, 1.062)</w:t>
            </w:r>
          </w:p>
        </w:tc>
      </w:tr>
      <w:tr w:rsidR="007837A4" w:rsidRPr="004E6357" w14:paraId="29BCF1C2" w14:textId="77777777" w:rsidTr="003B6389">
        <w:trPr>
          <w:trHeight w:val="34"/>
        </w:trPr>
        <w:tc>
          <w:tcPr>
            <w:tcW w:w="1705" w:type="dxa"/>
            <w:noWrap/>
          </w:tcPr>
          <w:p w14:paraId="74335E52"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200m</w:t>
            </w:r>
          </w:p>
        </w:tc>
        <w:tc>
          <w:tcPr>
            <w:tcW w:w="2520" w:type="dxa"/>
            <w:noWrap/>
            <w:vAlign w:val="bottom"/>
          </w:tcPr>
          <w:p w14:paraId="71B66679" w14:textId="30FAA010"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 (1, 1.061)</w:t>
            </w:r>
          </w:p>
        </w:tc>
        <w:tc>
          <w:tcPr>
            <w:tcW w:w="2700" w:type="dxa"/>
            <w:noWrap/>
            <w:vAlign w:val="bottom"/>
          </w:tcPr>
          <w:p w14:paraId="7D86255E" w14:textId="0BD82A8C"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1.002 (0.973, 1.031)</w:t>
            </w:r>
          </w:p>
        </w:tc>
        <w:tc>
          <w:tcPr>
            <w:tcW w:w="2425" w:type="dxa"/>
            <w:vAlign w:val="bottom"/>
          </w:tcPr>
          <w:p w14:paraId="1E547944" w14:textId="1EEB85D6"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1.025 (0.994, 1.057)</w:t>
            </w:r>
          </w:p>
        </w:tc>
      </w:tr>
      <w:tr w:rsidR="007837A4" w:rsidRPr="004E6357" w14:paraId="3EF885E7" w14:textId="77777777" w:rsidTr="00203431">
        <w:trPr>
          <w:trHeight w:val="34"/>
        </w:trPr>
        <w:tc>
          <w:tcPr>
            <w:tcW w:w="1705" w:type="dxa"/>
            <w:noWrap/>
          </w:tcPr>
          <w:p w14:paraId="509360F7"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300m</w:t>
            </w:r>
          </w:p>
        </w:tc>
        <w:tc>
          <w:tcPr>
            <w:tcW w:w="2520" w:type="dxa"/>
            <w:noWrap/>
            <w:vAlign w:val="bottom"/>
          </w:tcPr>
          <w:p w14:paraId="40FBB421" w14:textId="310737DA"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1.026 (0.999, 1.053)</w:t>
            </w:r>
          </w:p>
        </w:tc>
        <w:tc>
          <w:tcPr>
            <w:tcW w:w="2700" w:type="dxa"/>
            <w:noWrap/>
            <w:vAlign w:val="bottom"/>
          </w:tcPr>
          <w:p w14:paraId="133A2C02" w14:textId="1869A1A2"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1.011 (0.985, 1.037)</w:t>
            </w:r>
          </w:p>
        </w:tc>
        <w:tc>
          <w:tcPr>
            <w:tcW w:w="2425" w:type="dxa"/>
            <w:shd w:val="clear" w:color="auto" w:fill="FFFF00"/>
            <w:vAlign w:val="bottom"/>
          </w:tcPr>
          <w:p w14:paraId="39B71049" w14:textId="0ED7A53D"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1.038 (1.01</w:t>
            </w:r>
            <w:r w:rsidR="0065413B">
              <w:rPr>
                <w:rFonts w:ascii="Times New Roman" w:hAnsi="Times New Roman" w:cs="Times New Roman"/>
                <w:color w:val="000000"/>
                <w:sz w:val="18"/>
                <w:szCs w:val="18"/>
              </w:rPr>
              <w:t>0</w:t>
            </w:r>
            <w:r w:rsidRPr="004E6357">
              <w:rPr>
                <w:rFonts w:ascii="Times New Roman" w:hAnsi="Times New Roman" w:cs="Times New Roman"/>
                <w:color w:val="000000"/>
                <w:sz w:val="18"/>
                <w:szCs w:val="18"/>
              </w:rPr>
              <w:t>, 1.067)</w:t>
            </w:r>
          </w:p>
        </w:tc>
      </w:tr>
      <w:tr w:rsidR="007837A4" w:rsidRPr="004E6357" w14:paraId="4C5912B8" w14:textId="77777777" w:rsidTr="003B6389">
        <w:trPr>
          <w:trHeight w:val="34"/>
        </w:trPr>
        <w:tc>
          <w:tcPr>
            <w:tcW w:w="1705" w:type="dxa"/>
            <w:noWrap/>
          </w:tcPr>
          <w:p w14:paraId="5F35D066"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 xml:space="preserve">Area within 500m </w:t>
            </w:r>
          </w:p>
        </w:tc>
        <w:tc>
          <w:tcPr>
            <w:tcW w:w="2520" w:type="dxa"/>
            <w:noWrap/>
            <w:vAlign w:val="bottom"/>
          </w:tcPr>
          <w:p w14:paraId="2E88BEF5" w14:textId="3BEC121E"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1.022 (0.995, 1.049)</w:t>
            </w:r>
          </w:p>
        </w:tc>
        <w:tc>
          <w:tcPr>
            <w:tcW w:w="2700" w:type="dxa"/>
            <w:noWrap/>
            <w:vAlign w:val="bottom"/>
          </w:tcPr>
          <w:p w14:paraId="4F12980B" w14:textId="46108B02"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1.008 (0.983, 1.033)</w:t>
            </w:r>
          </w:p>
        </w:tc>
        <w:tc>
          <w:tcPr>
            <w:tcW w:w="2425" w:type="dxa"/>
            <w:vAlign w:val="bottom"/>
          </w:tcPr>
          <w:p w14:paraId="175FAC13" w14:textId="0215BF0C"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1.027 (0.999, 1.056)</w:t>
            </w:r>
          </w:p>
        </w:tc>
      </w:tr>
      <w:tr w:rsidR="007837A4" w:rsidRPr="004E6357" w14:paraId="47FE03E5" w14:textId="77777777" w:rsidTr="003B6389">
        <w:trPr>
          <w:trHeight w:val="34"/>
        </w:trPr>
        <w:tc>
          <w:tcPr>
            <w:tcW w:w="1705" w:type="dxa"/>
            <w:noWrap/>
          </w:tcPr>
          <w:p w14:paraId="102FF111"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1000m</w:t>
            </w:r>
          </w:p>
        </w:tc>
        <w:tc>
          <w:tcPr>
            <w:tcW w:w="2520" w:type="dxa"/>
            <w:noWrap/>
            <w:vAlign w:val="bottom"/>
          </w:tcPr>
          <w:p w14:paraId="1A3FD2F3" w14:textId="4E609D6B"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1.012 (0.981, 1.044)</w:t>
            </w:r>
          </w:p>
        </w:tc>
        <w:tc>
          <w:tcPr>
            <w:tcW w:w="2700" w:type="dxa"/>
            <w:noWrap/>
            <w:vAlign w:val="bottom"/>
          </w:tcPr>
          <w:p w14:paraId="1D8C697B" w14:textId="42940D25"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0.992 (0.963, 1.022)</w:t>
            </w:r>
          </w:p>
        </w:tc>
        <w:tc>
          <w:tcPr>
            <w:tcW w:w="2425" w:type="dxa"/>
            <w:vAlign w:val="bottom"/>
          </w:tcPr>
          <w:p w14:paraId="2EB745D0" w14:textId="4AF05FEE"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1.006 (0.974, 1.039)</w:t>
            </w:r>
          </w:p>
        </w:tc>
      </w:tr>
    </w:tbl>
    <w:p w14:paraId="76E83F08" w14:textId="77777777" w:rsidR="00CF40E3" w:rsidRPr="004E6357" w:rsidRDefault="00CF40E3" w:rsidP="00CF40E3">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CF40E3" w:rsidRPr="004E6357" w14:paraId="22ED2290" w14:textId="77777777" w:rsidTr="003B6389">
        <w:trPr>
          <w:trHeight w:val="34"/>
        </w:trPr>
        <w:tc>
          <w:tcPr>
            <w:tcW w:w="1705" w:type="dxa"/>
            <w:noWrap/>
          </w:tcPr>
          <w:p w14:paraId="46C703C0" w14:textId="0A69EF9B" w:rsidR="00CF40E3" w:rsidRPr="004E6357" w:rsidRDefault="00CF40E3" w:rsidP="003B6389">
            <w:pPr>
              <w:rPr>
                <w:rFonts w:ascii="Times New Roman" w:hAnsi="Times New Roman" w:cs="Times New Roman"/>
                <w:color w:val="000000"/>
                <w:sz w:val="18"/>
                <w:szCs w:val="18"/>
              </w:rPr>
            </w:pPr>
          </w:p>
        </w:tc>
        <w:tc>
          <w:tcPr>
            <w:tcW w:w="2520" w:type="dxa"/>
            <w:noWrap/>
          </w:tcPr>
          <w:p w14:paraId="5BE7C1AD"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MFFTS</w:t>
            </w:r>
          </w:p>
        </w:tc>
        <w:tc>
          <w:tcPr>
            <w:tcW w:w="2700" w:type="dxa"/>
            <w:noWrap/>
          </w:tcPr>
          <w:p w14:paraId="64FDFD63"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MFFDTS</w:t>
            </w:r>
          </w:p>
        </w:tc>
        <w:tc>
          <w:tcPr>
            <w:tcW w:w="2425" w:type="dxa"/>
          </w:tcPr>
          <w:p w14:paraId="7EEE9C3F"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Memory</w:t>
            </w:r>
          </w:p>
        </w:tc>
      </w:tr>
      <w:tr w:rsidR="004E6357" w:rsidRPr="004E6357" w14:paraId="7294AF3F" w14:textId="77777777" w:rsidTr="003B6389">
        <w:trPr>
          <w:trHeight w:val="34"/>
        </w:trPr>
        <w:tc>
          <w:tcPr>
            <w:tcW w:w="1705" w:type="dxa"/>
            <w:noWrap/>
          </w:tcPr>
          <w:p w14:paraId="7E53A395" w14:textId="77777777" w:rsidR="004E6357" w:rsidRPr="004E6357" w:rsidRDefault="004E6357" w:rsidP="004E6357">
            <w:pPr>
              <w:rPr>
                <w:rFonts w:ascii="Times New Roman" w:hAnsi="Times New Roman" w:cs="Times New Roman"/>
                <w:color w:val="000000"/>
                <w:sz w:val="18"/>
                <w:szCs w:val="18"/>
              </w:rPr>
            </w:pPr>
            <w:r w:rsidRPr="004E6357">
              <w:rPr>
                <w:rFonts w:ascii="Times New Roman" w:hAnsi="Times New Roman" w:cs="Times New Roman"/>
                <w:color w:val="000000"/>
                <w:sz w:val="18"/>
                <w:szCs w:val="18"/>
              </w:rPr>
              <w:t>Distance</w:t>
            </w:r>
          </w:p>
        </w:tc>
        <w:tc>
          <w:tcPr>
            <w:tcW w:w="2520" w:type="dxa"/>
            <w:noWrap/>
            <w:vAlign w:val="bottom"/>
          </w:tcPr>
          <w:p w14:paraId="69B790F3" w14:textId="1FA2911E"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0.925 (0.843, 1.016)</w:t>
            </w:r>
          </w:p>
        </w:tc>
        <w:tc>
          <w:tcPr>
            <w:tcW w:w="2700" w:type="dxa"/>
            <w:noWrap/>
            <w:vAlign w:val="bottom"/>
          </w:tcPr>
          <w:p w14:paraId="4240A400" w14:textId="0B8DB3FC"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1.027 (0.927, 1.138)</w:t>
            </w:r>
          </w:p>
        </w:tc>
        <w:tc>
          <w:tcPr>
            <w:tcW w:w="2425" w:type="dxa"/>
            <w:vAlign w:val="bottom"/>
          </w:tcPr>
          <w:p w14:paraId="44E07927" w14:textId="43360180"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1.096 (0.967, 1.241)</w:t>
            </w:r>
          </w:p>
        </w:tc>
      </w:tr>
      <w:tr w:rsidR="004E6357" w:rsidRPr="004E6357" w14:paraId="3CECC991" w14:textId="77777777" w:rsidTr="00D76B0E">
        <w:trPr>
          <w:trHeight w:val="34"/>
        </w:trPr>
        <w:tc>
          <w:tcPr>
            <w:tcW w:w="1705" w:type="dxa"/>
            <w:noWrap/>
          </w:tcPr>
          <w:p w14:paraId="4D13FB2C" w14:textId="77777777" w:rsidR="004E6357" w:rsidRPr="004E6357" w:rsidRDefault="004E6357" w:rsidP="004E6357">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50m</w:t>
            </w:r>
          </w:p>
        </w:tc>
        <w:tc>
          <w:tcPr>
            <w:tcW w:w="2520" w:type="dxa"/>
            <w:noWrap/>
            <w:vAlign w:val="bottom"/>
          </w:tcPr>
          <w:p w14:paraId="1297A76C" w14:textId="3907C03D"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1.036 (0.972, 1.104)</w:t>
            </w:r>
          </w:p>
        </w:tc>
        <w:tc>
          <w:tcPr>
            <w:tcW w:w="2700" w:type="dxa"/>
            <w:noWrap/>
            <w:vAlign w:val="bottom"/>
          </w:tcPr>
          <w:p w14:paraId="5EFE84F1" w14:textId="72102026"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0.985 (0.92, 1.055)</w:t>
            </w:r>
          </w:p>
        </w:tc>
        <w:tc>
          <w:tcPr>
            <w:tcW w:w="2425" w:type="dxa"/>
            <w:shd w:val="clear" w:color="auto" w:fill="FFFF00"/>
            <w:vAlign w:val="bottom"/>
          </w:tcPr>
          <w:p w14:paraId="653EFFEB" w14:textId="1C805037"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0.915 (0.842, 0.995)</w:t>
            </w:r>
          </w:p>
        </w:tc>
      </w:tr>
      <w:tr w:rsidR="004E6357" w:rsidRPr="004E6357" w14:paraId="6562EF55" w14:textId="77777777" w:rsidTr="003B6389">
        <w:trPr>
          <w:trHeight w:val="34"/>
        </w:trPr>
        <w:tc>
          <w:tcPr>
            <w:tcW w:w="1705" w:type="dxa"/>
            <w:noWrap/>
          </w:tcPr>
          <w:p w14:paraId="62FD886E" w14:textId="77777777" w:rsidR="004E6357" w:rsidRPr="004E6357" w:rsidRDefault="004E6357" w:rsidP="004E6357">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100m</w:t>
            </w:r>
          </w:p>
        </w:tc>
        <w:tc>
          <w:tcPr>
            <w:tcW w:w="2520" w:type="dxa"/>
            <w:noWrap/>
            <w:vAlign w:val="bottom"/>
          </w:tcPr>
          <w:p w14:paraId="3367CC1D" w14:textId="0B53C215"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1.034 (0.992, 1.078)</w:t>
            </w:r>
          </w:p>
        </w:tc>
        <w:tc>
          <w:tcPr>
            <w:tcW w:w="2700" w:type="dxa"/>
            <w:noWrap/>
            <w:vAlign w:val="bottom"/>
          </w:tcPr>
          <w:p w14:paraId="300E3A72" w14:textId="458FA741"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1.002 (0.96, 1.045)</w:t>
            </w:r>
          </w:p>
        </w:tc>
        <w:tc>
          <w:tcPr>
            <w:tcW w:w="2425" w:type="dxa"/>
            <w:vAlign w:val="bottom"/>
          </w:tcPr>
          <w:p w14:paraId="2CE4ECF3" w14:textId="5D342A4C"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0.974 (0.923, 1.027)</w:t>
            </w:r>
          </w:p>
        </w:tc>
      </w:tr>
      <w:tr w:rsidR="004E6357" w:rsidRPr="004E6357" w14:paraId="47028DBC" w14:textId="77777777" w:rsidTr="003B6389">
        <w:trPr>
          <w:trHeight w:val="34"/>
        </w:trPr>
        <w:tc>
          <w:tcPr>
            <w:tcW w:w="1705" w:type="dxa"/>
            <w:noWrap/>
          </w:tcPr>
          <w:p w14:paraId="1F846D8B" w14:textId="77777777" w:rsidR="004E6357" w:rsidRPr="004E6357" w:rsidRDefault="004E6357" w:rsidP="004E6357">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150m</w:t>
            </w:r>
          </w:p>
        </w:tc>
        <w:tc>
          <w:tcPr>
            <w:tcW w:w="2520" w:type="dxa"/>
            <w:noWrap/>
            <w:vAlign w:val="bottom"/>
          </w:tcPr>
          <w:p w14:paraId="366B22EC" w14:textId="1028C0F5"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1.006 (0.971, 1.043)</w:t>
            </w:r>
          </w:p>
        </w:tc>
        <w:tc>
          <w:tcPr>
            <w:tcW w:w="2700" w:type="dxa"/>
            <w:noWrap/>
            <w:vAlign w:val="bottom"/>
          </w:tcPr>
          <w:p w14:paraId="47277EC4" w14:textId="56E6C9DB"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0.996 (0.961, 1.033)</w:t>
            </w:r>
          </w:p>
        </w:tc>
        <w:tc>
          <w:tcPr>
            <w:tcW w:w="2425" w:type="dxa"/>
            <w:vAlign w:val="bottom"/>
          </w:tcPr>
          <w:p w14:paraId="51370689" w14:textId="170A6CB6"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0.969 (0.927, 1.013)</w:t>
            </w:r>
          </w:p>
        </w:tc>
      </w:tr>
      <w:tr w:rsidR="004E6357" w:rsidRPr="004E6357" w14:paraId="223CEFC5" w14:textId="77777777" w:rsidTr="003B6389">
        <w:trPr>
          <w:trHeight w:val="34"/>
        </w:trPr>
        <w:tc>
          <w:tcPr>
            <w:tcW w:w="1705" w:type="dxa"/>
            <w:noWrap/>
          </w:tcPr>
          <w:p w14:paraId="48044894" w14:textId="77777777" w:rsidR="004E6357" w:rsidRPr="004E6357" w:rsidRDefault="004E6357" w:rsidP="004E6357">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200m</w:t>
            </w:r>
          </w:p>
        </w:tc>
        <w:tc>
          <w:tcPr>
            <w:tcW w:w="2520" w:type="dxa"/>
            <w:noWrap/>
            <w:vAlign w:val="bottom"/>
          </w:tcPr>
          <w:p w14:paraId="67612317" w14:textId="57EFFC3E"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1.007 (0.976, 1.04)</w:t>
            </w:r>
          </w:p>
        </w:tc>
        <w:tc>
          <w:tcPr>
            <w:tcW w:w="2700" w:type="dxa"/>
            <w:noWrap/>
            <w:vAlign w:val="bottom"/>
          </w:tcPr>
          <w:p w14:paraId="148C1495" w14:textId="77BD340A"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0.994 (0.962, 1.027)</w:t>
            </w:r>
          </w:p>
        </w:tc>
        <w:tc>
          <w:tcPr>
            <w:tcW w:w="2425" w:type="dxa"/>
            <w:vAlign w:val="bottom"/>
          </w:tcPr>
          <w:p w14:paraId="5CFE48D5" w14:textId="47D13421"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0.973 (0.934, 1.013)</w:t>
            </w:r>
          </w:p>
        </w:tc>
      </w:tr>
      <w:tr w:rsidR="004E6357" w:rsidRPr="004E6357" w14:paraId="5FA35468" w14:textId="77777777" w:rsidTr="003B6389">
        <w:trPr>
          <w:trHeight w:val="34"/>
        </w:trPr>
        <w:tc>
          <w:tcPr>
            <w:tcW w:w="1705" w:type="dxa"/>
            <w:noWrap/>
          </w:tcPr>
          <w:p w14:paraId="16C70A9F" w14:textId="77777777" w:rsidR="004E6357" w:rsidRPr="004E6357" w:rsidRDefault="004E6357" w:rsidP="004E6357">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300m</w:t>
            </w:r>
          </w:p>
        </w:tc>
        <w:tc>
          <w:tcPr>
            <w:tcW w:w="2520" w:type="dxa"/>
            <w:noWrap/>
            <w:vAlign w:val="bottom"/>
          </w:tcPr>
          <w:p w14:paraId="6CEF361F" w14:textId="16061170"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1.008 (0.98, 1.037)</w:t>
            </w:r>
          </w:p>
        </w:tc>
        <w:tc>
          <w:tcPr>
            <w:tcW w:w="2700" w:type="dxa"/>
            <w:noWrap/>
            <w:vAlign w:val="bottom"/>
          </w:tcPr>
          <w:p w14:paraId="2FFC4497" w14:textId="4D3EB6DD"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0.978 (0.949, 1.007)</w:t>
            </w:r>
          </w:p>
        </w:tc>
        <w:tc>
          <w:tcPr>
            <w:tcW w:w="2425" w:type="dxa"/>
            <w:vAlign w:val="bottom"/>
          </w:tcPr>
          <w:p w14:paraId="7BE01C1C" w14:textId="353D82C7"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0.968 (0.932, 1.006)</w:t>
            </w:r>
          </w:p>
        </w:tc>
      </w:tr>
      <w:tr w:rsidR="004E6357" w:rsidRPr="004E6357" w14:paraId="5649C00F" w14:textId="77777777" w:rsidTr="00D76B0E">
        <w:trPr>
          <w:trHeight w:val="34"/>
        </w:trPr>
        <w:tc>
          <w:tcPr>
            <w:tcW w:w="1705" w:type="dxa"/>
            <w:noWrap/>
          </w:tcPr>
          <w:p w14:paraId="17EA0BE6" w14:textId="77777777" w:rsidR="004E6357" w:rsidRPr="004E6357" w:rsidRDefault="004E6357" w:rsidP="004E6357">
            <w:pPr>
              <w:rPr>
                <w:rFonts w:ascii="Times New Roman" w:hAnsi="Times New Roman" w:cs="Times New Roman"/>
                <w:color w:val="000000"/>
                <w:sz w:val="18"/>
                <w:szCs w:val="18"/>
              </w:rPr>
            </w:pPr>
            <w:r w:rsidRPr="004E6357">
              <w:rPr>
                <w:rFonts w:ascii="Times New Roman" w:hAnsi="Times New Roman" w:cs="Times New Roman"/>
                <w:color w:val="000000"/>
                <w:sz w:val="18"/>
                <w:szCs w:val="18"/>
              </w:rPr>
              <w:t xml:space="preserve">Area within 500m </w:t>
            </w:r>
          </w:p>
        </w:tc>
        <w:tc>
          <w:tcPr>
            <w:tcW w:w="2520" w:type="dxa"/>
            <w:noWrap/>
            <w:vAlign w:val="bottom"/>
          </w:tcPr>
          <w:p w14:paraId="08D74289" w14:textId="0B6EC3F3"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1.013 (0.987, 1.04)</w:t>
            </w:r>
          </w:p>
        </w:tc>
        <w:tc>
          <w:tcPr>
            <w:tcW w:w="2700" w:type="dxa"/>
            <w:shd w:val="clear" w:color="auto" w:fill="FFFF00"/>
            <w:noWrap/>
            <w:vAlign w:val="bottom"/>
          </w:tcPr>
          <w:p w14:paraId="45203C4A" w14:textId="773936EC"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0.97</w:t>
            </w:r>
            <w:r w:rsidR="008F1765">
              <w:rPr>
                <w:rFonts w:ascii="Times New Roman" w:hAnsi="Times New Roman" w:cs="Times New Roman"/>
                <w:color w:val="000000"/>
                <w:sz w:val="18"/>
                <w:szCs w:val="18"/>
              </w:rPr>
              <w:t>0</w:t>
            </w:r>
            <w:r w:rsidRPr="004E6357">
              <w:rPr>
                <w:rFonts w:ascii="Times New Roman" w:hAnsi="Times New Roman" w:cs="Times New Roman"/>
                <w:color w:val="000000"/>
                <w:sz w:val="18"/>
                <w:szCs w:val="18"/>
              </w:rPr>
              <w:t xml:space="preserve"> (0.944, 0.997)</w:t>
            </w:r>
          </w:p>
        </w:tc>
        <w:tc>
          <w:tcPr>
            <w:tcW w:w="2425" w:type="dxa"/>
            <w:shd w:val="clear" w:color="auto" w:fill="FFFF00"/>
            <w:vAlign w:val="bottom"/>
          </w:tcPr>
          <w:p w14:paraId="00B5B768" w14:textId="02628368"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0.957 (0.922, 0.993)</w:t>
            </w:r>
          </w:p>
        </w:tc>
      </w:tr>
      <w:tr w:rsidR="004E6357" w:rsidRPr="004E6357" w14:paraId="34E06A5F" w14:textId="77777777" w:rsidTr="003B6389">
        <w:trPr>
          <w:trHeight w:val="34"/>
        </w:trPr>
        <w:tc>
          <w:tcPr>
            <w:tcW w:w="1705" w:type="dxa"/>
            <w:noWrap/>
          </w:tcPr>
          <w:p w14:paraId="6659F0E4" w14:textId="77777777" w:rsidR="004E6357" w:rsidRPr="004E6357" w:rsidRDefault="004E6357" w:rsidP="004E6357">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1000m</w:t>
            </w:r>
          </w:p>
        </w:tc>
        <w:tc>
          <w:tcPr>
            <w:tcW w:w="2520" w:type="dxa"/>
            <w:noWrap/>
            <w:vAlign w:val="bottom"/>
          </w:tcPr>
          <w:p w14:paraId="237B4048" w14:textId="731B3987"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1.022 (0.989, 1.056)</w:t>
            </w:r>
          </w:p>
        </w:tc>
        <w:tc>
          <w:tcPr>
            <w:tcW w:w="2700" w:type="dxa"/>
            <w:noWrap/>
            <w:vAlign w:val="bottom"/>
          </w:tcPr>
          <w:p w14:paraId="4A5DE1BF" w14:textId="616BA028"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0.997 (0.966, 1.029)</w:t>
            </w:r>
          </w:p>
        </w:tc>
        <w:tc>
          <w:tcPr>
            <w:tcW w:w="2425" w:type="dxa"/>
            <w:vAlign w:val="bottom"/>
          </w:tcPr>
          <w:p w14:paraId="0EAA4331" w14:textId="00CCB86D" w:rsidR="004E6357" w:rsidRPr="004E6357" w:rsidRDefault="004E6357" w:rsidP="004E6357">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0.987 (0.945, 1.031)</w:t>
            </w:r>
          </w:p>
        </w:tc>
      </w:tr>
    </w:tbl>
    <w:p w14:paraId="205D8180" w14:textId="77777777" w:rsidR="00CF40E3" w:rsidRPr="004E6357" w:rsidRDefault="00CF40E3" w:rsidP="00CF40E3">
      <w:pPr>
        <w:rPr>
          <w:b/>
          <w:bCs/>
          <w:color w:val="000000"/>
          <w:sz w:val="18"/>
          <w:szCs w:val="18"/>
        </w:rPr>
      </w:pPr>
    </w:p>
    <w:tbl>
      <w:tblPr>
        <w:tblStyle w:val="TableGrid"/>
        <w:tblW w:w="9350" w:type="dxa"/>
        <w:tblLook w:val="04A0" w:firstRow="1" w:lastRow="0" w:firstColumn="1" w:lastColumn="0" w:noHBand="0" w:noVBand="1"/>
      </w:tblPr>
      <w:tblGrid>
        <w:gridCol w:w="1705"/>
        <w:gridCol w:w="2520"/>
        <w:gridCol w:w="2700"/>
        <w:gridCol w:w="2425"/>
      </w:tblGrid>
      <w:tr w:rsidR="00CF40E3" w:rsidRPr="004E6357" w14:paraId="1BCED9BE" w14:textId="77777777" w:rsidTr="003B6389">
        <w:trPr>
          <w:trHeight w:val="34"/>
        </w:trPr>
        <w:tc>
          <w:tcPr>
            <w:tcW w:w="1705" w:type="dxa"/>
            <w:noWrap/>
          </w:tcPr>
          <w:p w14:paraId="3E3DCDD0" w14:textId="58497451" w:rsidR="00CF40E3" w:rsidRPr="004E6357" w:rsidRDefault="00CF40E3" w:rsidP="003B6389">
            <w:pPr>
              <w:rPr>
                <w:rFonts w:ascii="Times New Roman" w:hAnsi="Times New Roman" w:cs="Times New Roman"/>
                <w:color w:val="000000"/>
                <w:sz w:val="18"/>
                <w:szCs w:val="18"/>
              </w:rPr>
            </w:pPr>
          </w:p>
        </w:tc>
        <w:tc>
          <w:tcPr>
            <w:tcW w:w="2520" w:type="dxa"/>
            <w:noWrap/>
          </w:tcPr>
          <w:p w14:paraId="640D74E2"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DCGTS</w:t>
            </w:r>
          </w:p>
        </w:tc>
        <w:tc>
          <w:tcPr>
            <w:tcW w:w="2700" w:type="dxa"/>
            <w:noWrap/>
          </w:tcPr>
          <w:p w14:paraId="7349F783" w14:textId="77777777" w:rsidR="00CF40E3" w:rsidRPr="004E6357" w:rsidRDefault="00CF40E3" w:rsidP="003B6389">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GPTS</w:t>
            </w:r>
          </w:p>
        </w:tc>
        <w:tc>
          <w:tcPr>
            <w:tcW w:w="2425" w:type="dxa"/>
          </w:tcPr>
          <w:p w14:paraId="353A6203" w14:textId="5FF5ADC8" w:rsidR="00CF40E3" w:rsidRPr="004E6357" w:rsidRDefault="00CF40E3" w:rsidP="0024329E">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Visuospatial Processing</w:t>
            </w:r>
          </w:p>
        </w:tc>
      </w:tr>
      <w:tr w:rsidR="007837A4" w:rsidRPr="004E6357" w14:paraId="2AF487CF" w14:textId="77777777" w:rsidTr="003B6389">
        <w:trPr>
          <w:trHeight w:val="34"/>
        </w:trPr>
        <w:tc>
          <w:tcPr>
            <w:tcW w:w="1705" w:type="dxa"/>
            <w:noWrap/>
          </w:tcPr>
          <w:p w14:paraId="698420E4"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Distance</w:t>
            </w:r>
          </w:p>
        </w:tc>
        <w:tc>
          <w:tcPr>
            <w:tcW w:w="2520" w:type="dxa"/>
            <w:noWrap/>
            <w:vAlign w:val="bottom"/>
          </w:tcPr>
          <w:p w14:paraId="0CEEC6FD" w14:textId="1A70318F"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0.989 (0.895, 1.093)</w:t>
            </w:r>
          </w:p>
        </w:tc>
        <w:tc>
          <w:tcPr>
            <w:tcW w:w="2700" w:type="dxa"/>
            <w:noWrap/>
            <w:vAlign w:val="bottom"/>
          </w:tcPr>
          <w:p w14:paraId="3F548A90" w14:textId="2E44CAE8"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0.943 (0.855, 1.04)</w:t>
            </w:r>
          </w:p>
        </w:tc>
        <w:tc>
          <w:tcPr>
            <w:tcW w:w="2425" w:type="dxa"/>
            <w:vAlign w:val="bottom"/>
          </w:tcPr>
          <w:p w14:paraId="29548810" w14:textId="00E75745"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0.988 (0.896, 1.088)</w:t>
            </w:r>
          </w:p>
        </w:tc>
      </w:tr>
      <w:tr w:rsidR="007837A4" w:rsidRPr="004E6357" w14:paraId="792933AB" w14:textId="77777777" w:rsidTr="003B6389">
        <w:trPr>
          <w:trHeight w:val="34"/>
        </w:trPr>
        <w:tc>
          <w:tcPr>
            <w:tcW w:w="1705" w:type="dxa"/>
            <w:noWrap/>
          </w:tcPr>
          <w:p w14:paraId="020ADA4F"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50m</w:t>
            </w:r>
          </w:p>
        </w:tc>
        <w:tc>
          <w:tcPr>
            <w:tcW w:w="2520" w:type="dxa"/>
            <w:noWrap/>
            <w:vAlign w:val="bottom"/>
          </w:tcPr>
          <w:p w14:paraId="7565AE76" w14:textId="5E6F8885"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1.003 (0.933, 1.078)</w:t>
            </w:r>
          </w:p>
        </w:tc>
        <w:tc>
          <w:tcPr>
            <w:tcW w:w="2700" w:type="dxa"/>
            <w:noWrap/>
            <w:vAlign w:val="bottom"/>
          </w:tcPr>
          <w:p w14:paraId="58E2D3B0" w14:textId="4C14D8A1"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1.054 (0.993, 1.119)</w:t>
            </w:r>
          </w:p>
        </w:tc>
        <w:tc>
          <w:tcPr>
            <w:tcW w:w="2425" w:type="dxa"/>
            <w:vAlign w:val="bottom"/>
          </w:tcPr>
          <w:p w14:paraId="10DFEA38" w14:textId="44AD1BC5"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1.014 (0.949, 1.083)</w:t>
            </w:r>
          </w:p>
        </w:tc>
      </w:tr>
      <w:tr w:rsidR="007837A4" w:rsidRPr="004E6357" w14:paraId="2B378F58" w14:textId="77777777" w:rsidTr="003B6389">
        <w:trPr>
          <w:trHeight w:val="34"/>
        </w:trPr>
        <w:tc>
          <w:tcPr>
            <w:tcW w:w="1705" w:type="dxa"/>
            <w:noWrap/>
          </w:tcPr>
          <w:p w14:paraId="3CB01258"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100m</w:t>
            </w:r>
          </w:p>
        </w:tc>
        <w:tc>
          <w:tcPr>
            <w:tcW w:w="2520" w:type="dxa"/>
            <w:noWrap/>
            <w:vAlign w:val="bottom"/>
          </w:tcPr>
          <w:p w14:paraId="49BC911C" w14:textId="3D264A6E"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0.994 (0.948, 1.042)</w:t>
            </w:r>
          </w:p>
        </w:tc>
        <w:tc>
          <w:tcPr>
            <w:tcW w:w="2700" w:type="dxa"/>
            <w:noWrap/>
            <w:vAlign w:val="bottom"/>
          </w:tcPr>
          <w:p w14:paraId="6217C286" w14:textId="4A82E368"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1.025 (0.984, 1.067)</w:t>
            </w:r>
          </w:p>
        </w:tc>
        <w:tc>
          <w:tcPr>
            <w:tcW w:w="2425" w:type="dxa"/>
            <w:vAlign w:val="bottom"/>
          </w:tcPr>
          <w:p w14:paraId="448E8956" w14:textId="1FA83226"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0.996 (0.953, 1.04)</w:t>
            </w:r>
          </w:p>
        </w:tc>
      </w:tr>
      <w:tr w:rsidR="007837A4" w:rsidRPr="004E6357" w14:paraId="7143F0C1" w14:textId="77777777" w:rsidTr="003B6389">
        <w:trPr>
          <w:trHeight w:val="34"/>
        </w:trPr>
        <w:tc>
          <w:tcPr>
            <w:tcW w:w="1705" w:type="dxa"/>
            <w:noWrap/>
          </w:tcPr>
          <w:p w14:paraId="0D82FA6A"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150m</w:t>
            </w:r>
          </w:p>
        </w:tc>
        <w:tc>
          <w:tcPr>
            <w:tcW w:w="2520" w:type="dxa"/>
            <w:noWrap/>
            <w:vAlign w:val="bottom"/>
          </w:tcPr>
          <w:p w14:paraId="74CD6702" w14:textId="2D06369F"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0.997 (0.96, 1.036)</w:t>
            </w:r>
          </w:p>
        </w:tc>
        <w:tc>
          <w:tcPr>
            <w:tcW w:w="2700" w:type="dxa"/>
            <w:noWrap/>
            <w:vAlign w:val="bottom"/>
          </w:tcPr>
          <w:p w14:paraId="06F5A1E7" w14:textId="22564AF5"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1.016 (0.982, 1.051)</w:t>
            </w:r>
          </w:p>
        </w:tc>
        <w:tc>
          <w:tcPr>
            <w:tcW w:w="2425" w:type="dxa"/>
            <w:vAlign w:val="bottom"/>
          </w:tcPr>
          <w:p w14:paraId="1850DD3B" w14:textId="02C04331"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 (0.955, 1.026)</w:t>
            </w:r>
          </w:p>
        </w:tc>
      </w:tr>
      <w:tr w:rsidR="007837A4" w:rsidRPr="004E6357" w14:paraId="1F3B2EE5" w14:textId="77777777" w:rsidTr="003B6389">
        <w:trPr>
          <w:trHeight w:val="34"/>
        </w:trPr>
        <w:tc>
          <w:tcPr>
            <w:tcW w:w="1705" w:type="dxa"/>
            <w:noWrap/>
          </w:tcPr>
          <w:p w14:paraId="56781186"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200m</w:t>
            </w:r>
          </w:p>
        </w:tc>
        <w:tc>
          <w:tcPr>
            <w:tcW w:w="2520" w:type="dxa"/>
            <w:noWrap/>
            <w:vAlign w:val="bottom"/>
          </w:tcPr>
          <w:p w14:paraId="574533CB" w14:textId="33A3ABAC"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0.997 (0.964, 1.031)</w:t>
            </w:r>
          </w:p>
        </w:tc>
        <w:tc>
          <w:tcPr>
            <w:tcW w:w="2700" w:type="dxa"/>
            <w:noWrap/>
            <w:vAlign w:val="bottom"/>
          </w:tcPr>
          <w:p w14:paraId="14E0E517" w14:textId="2A623C29"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1.023 (0.993, 1.054)</w:t>
            </w:r>
          </w:p>
        </w:tc>
        <w:tc>
          <w:tcPr>
            <w:tcW w:w="2425" w:type="dxa"/>
            <w:vAlign w:val="bottom"/>
          </w:tcPr>
          <w:p w14:paraId="12C15DE1" w14:textId="04447A43"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0.993 (0.962, 1.024)</w:t>
            </w:r>
          </w:p>
        </w:tc>
      </w:tr>
      <w:tr w:rsidR="007837A4" w:rsidRPr="004E6357" w14:paraId="21892191" w14:textId="77777777" w:rsidTr="003B6389">
        <w:trPr>
          <w:trHeight w:val="34"/>
        </w:trPr>
        <w:tc>
          <w:tcPr>
            <w:tcW w:w="1705" w:type="dxa"/>
            <w:noWrap/>
          </w:tcPr>
          <w:p w14:paraId="3C82DCD6"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Area within 300m</w:t>
            </w:r>
          </w:p>
        </w:tc>
        <w:tc>
          <w:tcPr>
            <w:tcW w:w="2520" w:type="dxa"/>
            <w:noWrap/>
            <w:vAlign w:val="bottom"/>
          </w:tcPr>
          <w:p w14:paraId="035EC8D3" w14:textId="52FCCDCE"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 (0.981, 1.04)</w:t>
            </w:r>
          </w:p>
        </w:tc>
        <w:tc>
          <w:tcPr>
            <w:tcW w:w="2700" w:type="dxa"/>
            <w:noWrap/>
            <w:vAlign w:val="bottom"/>
          </w:tcPr>
          <w:p w14:paraId="664AFA47" w14:textId="38F48B94"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1.007 (0.98, 1.035)</w:t>
            </w:r>
          </w:p>
        </w:tc>
        <w:tc>
          <w:tcPr>
            <w:tcW w:w="2425" w:type="dxa"/>
            <w:vAlign w:val="bottom"/>
          </w:tcPr>
          <w:p w14:paraId="65705566" w14:textId="4027788A"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1.005 (0.978, 1.032)</w:t>
            </w:r>
          </w:p>
        </w:tc>
      </w:tr>
      <w:tr w:rsidR="007837A4" w:rsidRPr="004E6357" w14:paraId="50E63AF5" w14:textId="77777777" w:rsidTr="003B6389">
        <w:trPr>
          <w:trHeight w:val="34"/>
        </w:trPr>
        <w:tc>
          <w:tcPr>
            <w:tcW w:w="1705" w:type="dxa"/>
            <w:noWrap/>
          </w:tcPr>
          <w:p w14:paraId="24D986A7"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t xml:space="preserve">Area within 500m </w:t>
            </w:r>
          </w:p>
        </w:tc>
        <w:tc>
          <w:tcPr>
            <w:tcW w:w="2520" w:type="dxa"/>
            <w:noWrap/>
            <w:vAlign w:val="bottom"/>
          </w:tcPr>
          <w:p w14:paraId="480F7961" w14:textId="1E65BE11"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1.001 (0.973, 1.028)</w:t>
            </w:r>
          </w:p>
        </w:tc>
        <w:tc>
          <w:tcPr>
            <w:tcW w:w="2700" w:type="dxa"/>
            <w:noWrap/>
            <w:vAlign w:val="bottom"/>
          </w:tcPr>
          <w:p w14:paraId="14B0475F" w14:textId="6FF58C0E"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1.011 (0.985, 1.038)</w:t>
            </w:r>
          </w:p>
        </w:tc>
        <w:tc>
          <w:tcPr>
            <w:tcW w:w="2425" w:type="dxa"/>
            <w:vAlign w:val="bottom"/>
          </w:tcPr>
          <w:p w14:paraId="49AEC5C7" w14:textId="78B21FA3"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1.003 (0.977, 1.029)</w:t>
            </w:r>
          </w:p>
        </w:tc>
      </w:tr>
      <w:tr w:rsidR="007837A4" w:rsidRPr="004E6357" w14:paraId="52EDF132" w14:textId="77777777" w:rsidTr="003B6389">
        <w:trPr>
          <w:trHeight w:val="34"/>
        </w:trPr>
        <w:tc>
          <w:tcPr>
            <w:tcW w:w="1705" w:type="dxa"/>
            <w:noWrap/>
          </w:tcPr>
          <w:p w14:paraId="2B70B6C7" w14:textId="77777777" w:rsidR="007837A4" w:rsidRPr="004E6357" w:rsidRDefault="007837A4" w:rsidP="007837A4">
            <w:pPr>
              <w:rPr>
                <w:rFonts w:ascii="Times New Roman" w:hAnsi="Times New Roman" w:cs="Times New Roman"/>
                <w:color w:val="000000"/>
                <w:sz w:val="18"/>
                <w:szCs w:val="18"/>
              </w:rPr>
            </w:pPr>
            <w:r w:rsidRPr="004E6357">
              <w:rPr>
                <w:rFonts w:ascii="Times New Roman" w:hAnsi="Times New Roman" w:cs="Times New Roman"/>
                <w:color w:val="000000"/>
                <w:sz w:val="18"/>
                <w:szCs w:val="18"/>
              </w:rPr>
              <w:lastRenderedPageBreak/>
              <w:t>Area within 1000m</w:t>
            </w:r>
          </w:p>
        </w:tc>
        <w:tc>
          <w:tcPr>
            <w:tcW w:w="2520" w:type="dxa"/>
            <w:noWrap/>
            <w:vAlign w:val="bottom"/>
          </w:tcPr>
          <w:p w14:paraId="1E20A7BE" w14:textId="4D187B9A"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1.006 (0.974, 1.038)</w:t>
            </w:r>
          </w:p>
        </w:tc>
        <w:tc>
          <w:tcPr>
            <w:tcW w:w="2700" w:type="dxa"/>
            <w:noWrap/>
            <w:vAlign w:val="bottom"/>
          </w:tcPr>
          <w:p w14:paraId="65CFE762" w14:textId="2FA69793"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0.996 (0.966, 1.028)</w:t>
            </w:r>
          </w:p>
        </w:tc>
        <w:tc>
          <w:tcPr>
            <w:tcW w:w="2425" w:type="dxa"/>
            <w:vAlign w:val="bottom"/>
          </w:tcPr>
          <w:p w14:paraId="73EC7FC0" w14:textId="6BAF29E5" w:rsidR="007837A4" w:rsidRPr="004E6357" w:rsidRDefault="007837A4" w:rsidP="007837A4">
            <w:pPr>
              <w:jc w:val="center"/>
              <w:rPr>
                <w:rFonts w:ascii="Times New Roman" w:hAnsi="Times New Roman" w:cs="Times New Roman"/>
                <w:color w:val="000000"/>
                <w:sz w:val="18"/>
                <w:szCs w:val="18"/>
              </w:rPr>
            </w:pPr>
            <w:r w:rsidRPr="004E6357">
              <w:rPr>
                <w:rFonts w:ascii="Times New Roman" w:hAnsi="Times New Roman" w:cs="Times New Roman"/>
                <w:color w:val="000000"/>
                <w:sz w:val="18"/>
                <w:szCs w:val="18"/>
              </w:rPr>
              <w:t>1.006 (0.976, 1.038)</w:t>
            </w:r>
          </w:p>
        </w:tc>
      </w:tr>
    </w:tbl>
    <w:p w14:paraId="0D4ADC2A" w14:textId="77777777" w:rsidR="00CF40E3" w:rsidRDefault="00CF40E3" w:rsidP="00CF40E3">
      <w:pPr>
        <w:rPr>
          <w:b/>
          <w:bCs/>
          <w:color w:val="000000"/>
          <w:sz w:val="22"/>
          <w:szCs w:val="22"/>
        </w:rPr>
      </w:pPr>
    </w:p>
    <w:p w14:paraId="0BECF84D" w14:textId="2D8B2035" w:rsidR="00CF40E3" w:rsidRDefault="00CF40E3" w:rsidP="00CF40E3">
      <w:pPr>
        <w:rPr>
          <w:color w:val="000000"/>
          <w:sz w:val="22"/>
          <w:szCs w:val="22"/>
        </w:rPr>
      </w:pPr>
      <w:r w:rsidRPr="00361407">
        <w:rPr>
          <w:b/>
          <w:bCs/>
          <w:color w:val="000000"/>
          <w:sz w:val="22"/>
          <w:szCs w:val="22"/>
        </w:rPr>
        <w:t xml:space="preserve">Supplemental Table </w:t>
      </w:r>
      <w:r w:rsidR="00F73DA5">
        <w:rPr>
          <w:b/>
          <w:bCs/>
          <w:color w:val="000000"/>
          <w:sz w:val="22"/>
          <w:szCs w:val="22"/>
        </w:rPr>
        <w:t>3</w:t>
      </w:r>
      <w:r w:rsidRPr="00361407">
        <w:rPr>
          <w:b/>
          <w:bCs/>
          <w:color w:val="000000"/>
          <w:sz w:val="22"/>
          <w:szCs w:val="22"/>
        </w:rPr>
        <w:t>:</w:t>
      </w:r>
      <w:r>
        <w:rPr>
          <w:b/>
          <w:bCs/>
          <w:color w:val="000000"/>
          <w:sz w:val="22"/>
          <w:szCs w:val="22"/>
        </w:rPr>
        <w:t xml:space="preserve"> </w:t>
      </w:r>
      <w:r>
        <w:rPr>
          <w:color w:val="000000"/>
          <w:sz w:val="22"/>
          <w:szCs w:val="22"/>
        </w:rPr>
        <w:t xml:space="preserve">Estimates (95% confidence interval) for the </w:t>
      </w:r>
      <w:r w:rsidR="00350909">
        <w:rPr>
          <w:color w:val="000000"/>
          <w:sz w:val="22"/>
          <w:szCs w:val="22"/>
        </w:rPr>
        <w:t>multiplicative</w:t>
      </w:r>
      <w:r>
        <w:rPr>
          <w:color w:val="000000"/>
          <w:sz w:val="22"/>
          <w:szCs w:val="22"/>
        </w:rPr>
        <w:t xml:space="preserve"> change in</w:t>
      </w:r>
      <w:r w:rsidR="00350909">
        <w:rPr>
          <w:color w:val="000000"/>
          <w:sz w:val="22"/>
          <w:szCs w:val="22"/>
        </w:rPr>
        <w:t xml:space="preserve"> log-odds of a high</w:t>
      </w:r>
      <w:r>
        <w:rPr>
          <w:color w:val="000000"/>
          <w:sz w:val="22"/>
          <w:szCs w:val="22"/>
        </w:rPr>
        <w:t xml:space="preserve"> NEPSY-II score after doubling the exposure variable. </w:t>
      </w:r>
      <w:r w:rsidR="00FC096C">
        <w:rPr>
          <w:color w:val="000000"/>
          <w:sz w:val="22"/>
          <w:szCs w:val="22"/>
        </w:rPr>
        <w:t>A high NEPSY-II score was decided by an internal cutoff of above the 30</w:t>
      </w:r>
      <w:r w:rsidR="00FC096C" w:rsidRPr="00FC096C">
        <w:rPr>
          <w:color w:val="000000"/>
          <w:sz w:val="22"/>
          <w:szCs w:val="22"/>
          <w:vertAlign w:val="superscript"/>
        </w:rPr>
        <w:t>th</w:t>
      </w:r>
      <w:r w:rsidR="00FC096C">
        <w:rPr>
          <w:color w:val="000000"/>
          <w:sz w:val="22"/>
          <w:szCs w:val="22"/>
        </w:rPr>
        <w:t xml:space="preserve"> percentile. </w:t>
      </w:r>
      <w:r>
        <w:rPr>
          <w:color w:val="000000"/>
          <w:sz w:val="22"/>
          <w:szCs w:val="22"/>
        </w:rPr>
        <w:t>Estimates are significant if they have a p-value &lt; 0.05, and they are highlighted in yellow.</w:t>
      </w:r>
    </w:p>
    <w:p w14:paraId="12781A60" w14:textId="77777777" w:rsidR="00CF40E3" w:rsidRPr="003D316C" w:rsidRDefault="00CF40E3">
      <w:pPr>
        <w:rPr>
          <w:color w:val="000000"/>
          <w:sz w:val="22"/>
          <w:szCs w:val="22"/>
        </w:rPr>
      </w:pPr>
    </w:p>
    <w:sectPr w:rsidR="00CF40E3" w:rsidRPr="003D316C">
      <w:headerReference w:type="default" r:id="rId27"/>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uarez, Jose" w:date="2025-06-03T19:28:00Z" w:initials="JS">
    <w:p w14:paraId="00000088" w14:textId="00000088" w:rsidR="0054280C" w:rsidRDefault="00B71134">
      <w:r>
        <w:rPr>
          <w:rFonts w:ascii="Arial" w:eastAsia="Arial" w:hAnsi="Arial" w:cs="Arial"/>
          <w:sz w:val="22"/>
        </w:rPr>
        <w:t>Add betas</w:t>
      </w:r>
    </w:p>
  </w:comment>
  <w:comment w:id="4" w:author="Suarez, Jose" w:date="2025-06-03T19:25:00Z" w:initials="JS">
    <w:p w14:paraId="00000087" w14:textId="00000087" w:rsidR="0054280C" w:rsidRDefault="00B71134">
      <w:r>
        <w:rPr>
          <w:rFonts w:ascii="Arial" w:eastAsia="Arial" w:hAnsi="Arial" w:cs="Arial"/>
          <w:sz w:val="22"/>
        </w:rPr>
        <w:t>This is a very small estimate (1/100th of a SD). Can you confirm that the NEPSY score was not log transformed in the models (the meaning of this beta would change if it was). Likewise, was the conversion of the beta (to show per doubling of concentration) of the Nepsy-LN(distance) association done correctly</w:t>
      </w:r>
    </w:p>
  </w:comment>
  <w:comment w:id="2" w:author="Jasen Zhang" w:date="2025-09-19T11:01:00Z" w:initials="JZ">
    <w:p w14:paraId="06DEE648" w14:textId="77777777" w:rsidR="008A7FB4" w:rsidRDefault="0086251F" w:rsidP="008A7FB4">
      <w:pPr>
        <w:pStyle w:val="CommentText"/>
      </w:pPr>
      <w:r>
        <w:rPr>
          <w:rStyle w:val="CommentReference"/>
        </w:rPr>
        <w:annotationRef/>
      </w:r>
      <w:r w:rsidR="008A7FB4">
        <w:t>Results have changed.</w:t>
      </w:r>
      <w:r w:rsidR="008A7FB4">
        <w:br/>
      </w:r>
      <w:r w:rsidR="008A7FB4">
        <w:br/>
      </w:r>
      <w:r w:rsidR="008A7FB4">
        <w:rPr>
          <w:color w:val="000000"/>
        </w:rPr>
        <w:t>Increasing crop areas within 500m buffers was associated with an increase in the odds of a low Attention/Inhibitory Control (1.030, (95% CI 1.005, 1.056)), Language (1.038 (95% CI: 1.010, 1.067)), and decrease in the odds of a low Memory/Learning (0.957, 95% CI: (0.922, 0.993)) domain score. Concurring with these findings, increasing floriculture distance between participants’ homes and the nearest floricultural crop was associated with higher odds of a low Attention/Inhibitory Control domain scores (0.907 (95% CI: 0.834, 0.987)).</w:t>
      </w:r>
    </w:p>
    <w:p w14:paraId="3034FA53" w14:textId="77777777" w:rsidR="008A7FB4" w:rsidRDefault="008A7FB4" w:rsidP="008A7FB4">
      <w:pPr>
        <w:pStyle w:val="CommentText"/>
      </w:pPr>
    </w:p>
    <w:p w14:paraId="45AC0A4B" w14:textId="77777777" w:rsidR="008A7FB4" w:rsidRDefault="008A7FB4" w:rsidP="008A7FB4">
      <w:pPr>
        <w:pStyle w:val="CommentText"/>
      </w:pPr>
      <w:r>
        <w:rPr>
          <w:color w:val="000000"/>
        </w:rPr>
        <w:t>When modeling raw NEPSY-II scores, doubling crop areas within a 500m buffer was associated with lower Attention/Inhibitory Control domain scores (-0.020 (95% CI: -0.037, -0.002)), and doubling distance between participants’ homes and nearest floricultural crop was associated with higher Attention/Inhibitory Control domain scores (0.086 (95% CI: 0.020, 0.152)).</w:t>
      </w:r>
    </w:p>
  </w:comment>
  <w:comment w:id="5" w:author="Suarez, Jose" w:date="2025-06-04T12:03:00Z" w:initials="JS">
    <w:p w14:paraId="00000086" w14:textId="311EF87A" w:rsidR="0054280C" w:rsidRDefault="00B71134">
      <w:r>
        <w:rPr>
          <w:rFonts w:ascii="Arial" w:eastAsia="Arial" w:hAnsi="Arial" w:cs="Arial"/>
          <w:sz w:val="22"/>
        </w:rPr>
        <w:t>Citation: https://pubmed.ncbi.nlm.nih.gov/32798937/</w:t>
      </w:r>
    </w:p>
  </w:comment>
  <w:comment w:id="6" w:author="Briana N Chronister" w:date="2024-10-11T13:38:00Z" w:initials="BC">
    <w:p w14:paraId="00000085" w14:textId="00000085" w:rsidR="0054280C" w:rsidRDefault="00B71134">
      <w:r>
        <w:rPr>
          <w:rFonts w:ascii="Arial" w:eastAsia="Arial" w:hAnsi="Arial" w:cs="Arial"/>
          <w:sz w:val="22"/>
        </w:rPr>
        <w:t>In the United States?</w:t>
      </w:r>
    </w:p>
  </w:comment>
  <w:comment w:id="7" w:author="Briana N Chronister" w:date="2024-10-11T13:44:00Z" w:initials="BC">
    <w:p w14:paraId="00000083" w14:textId="00000083" w:rsidR="0054280C" w:rsidRDefault="00B71134">
      <w:r>
        <w:rPr>
          <w:rFonts w:ascii="Arial" w:eastAsia="Arial" w:hAnsi="Arial" w:cs="Arial"/>
          <w:sz w:val="22"/>
        </w:rPr>
        <w:t>This might need a citation</w:t>
      </w:r>
    </w:p>
  </w:comment>
  <w:comment w:id="8" w:author="Kayser, Georgia" w:date="2025-07-17T19:59:00Z" w:initials="KG">
    <w:p w14:paraId="00000084" w14:textId="00000084" w:rsidR="0054280C" w:rsidRDefault="00B71134">
      <w:r>
        <w:rPr>
          <w:rFonts w:ascii="Arial" w:eastAsia="Arial" w:hAnsi="Arial" w:cs="Arial"/>
          <w:sz w:val="22"/>
        </w:rPr>
        <w:t>added</w:t>
      </w:r>
    </w:p>
  </w:comment>
  <w:comment w:id="9" w:author="Suarez, Jose" w:date="2025-06-04T12:14:00Z" w:initials="JS">
    <w:p w14:paraId="00000082" w14:textId="00000082" w:rsidR="0054280C" w:rsidRDefault="00B71134">
      <w:r>
        <w:rPr>
          <w:rFonts w:ascii="Arial" w:eastAsia="Arial" w:hAnsi="Arial" w:cs="Arial"/>
          <w:sz w:val="22"/>
        </w:rPr>
        <w:t xml:space="preserve">OPs are mentioned in this paragraph and also in the previous one. I would merge the OP section and shorten it. </w:t>
      </w:r>
    </w:p>
  </w:comment>
  <w:comment w:id="10" w:author="Suarez, Jose" w:date="2025-06-04T12:13:00Z" w:initials="JS">
    <w:p w14:paraId="00000081" w14:textId="00000081" w:rsidR="0054280C" w:rsidRDefault="00B71134">
      <w:r>
        <w:rPr>
          <w:rFonts w:ascii="Arial" w:eastAsia="Arial" w:hAnsi="Arial" w:cs="Arial"/>
          <w:sz w:val="22"/>
        </w:rPr>
        <w:t>Clarify… is this during pregnancy?</w:t>
      </w:r>
    </w:p>
  </w:comment>
  <w:comment w:id="11" w:author="Suarez, Jose" w:date="2025-06-04T13:27:00Z" w:initials="JS">
    <w:p w14:paraId="0000007F" w14:textId="0000007F" w:rsidR="0054280C" w:rsidRDefault="00B71134">
      <w:r>
        <w:rPr>
          <w:rFonts w:ascii="Arial" w:eastAsia="Arial" w:hAnsi="Arial" w:cs="Arial"/>
          <w:sz w:val="22"/>
        </w:rPr>
        <w:t>https://doi.org/10.1016/j.ijheh.2019.06.001</w:t>
      </w:r>
    </w:p>
    <w:p w14:paraId="00000080" w14:textId="00000080" w:rsidR="0054280C" w:rsidRDefault="00B71134">
      <w:r>
        <w:rPr>
          <w:rFonts w:ascii="Arial" w:eastAsia="Arial" w:hAnsi="Arial" w:cs="Arial"/>
          <w:sz w:val="22"/>
        </w:rPr>
        <w:t xml:space="preserve">https://doi.org/10.1007/s12403-020-00361-w </w:t>
      </w:r>
    </w:p>
  </w:comment>
  <w:comment w:id="12" w:author="Suarez, Jose" w:date="2025-06-04T13:48:00Z" w:initials="JS">
    <w:p w14:paraId="0000007C" w14:textId="0000007C" w:rsidR="0054280C" w:rsidRDefault="00B71134">
      <w:r>
        <w:rPr>
          <w:rFonts w:ascii="Arial" w:eastAsia="Arial" w:hAnsi="Arial" w:cs="Arial"/>
          <w:sz w:val="22"/>
        </w:rPr>
        <w:t>Recruitment information of 2016 should be added. This has been published previously (see Briana’s latest paper on herbicides and neurobehavior, which by the way should be cited in the introduction.</w:t>
      </w:r>
    </w:p>
    <w:p w14:paraId="0000007D" w14:textId="0000007D" w:rsidR="0054280C" w:rsidRDefault="0054280C"/>
    <w:p w14:paraId="0000007E" w14:textId="0000007E" w:rsidR="0054280C" w:rsidRDefault="00B71134">
      <w:r>
        <w:rPr>
          <w:rFonts w:ascii="Arial" w:eastAsia="Arial" w:hAnsi="Arial" w:cs="Arial"/>
          <w:sz w:val="22"/>
        </w:rPr>
        <w:t>https://doi.org/10.1289/EHP11383. Epub 2023 Oct 11</w:t>
      </w:r>
    </w:p>
  </w:comment>
  <w:comment w:id="13" w:author="Suarez, Jose" w:date="2025-06-04T13:41:00Z" w:initials="JS">
    <w:p w14:paraId="0000007B" w14:textId="0000007B" w:rsidR="0054280C" w:rsidRDefault="00B71134">
      <w:r>
        <w:rPr>
          <w:rFonts w:ascii="Arial" w:eastAsia="Arial" w:hAnsi="Arial" w:cs="Arial"/>
          <w:sz w:val="22"/>
        </w:rPr>
        <w:t>Our previous papers have a citation for this 21%</w:t>
      </w:r>
    </w:p>
  </w:comment>
  <w:comment w:id="14" w:author="Briana N Chronister" w:date="2024-10-11T14:34:00Z" w:initials="BC">
    <w:p w14:paraId="0000007A" w14:textId="0000007A" w:rsidR="0054280C" w:rsidRDefault="00B71134">
      <w:r>
        <w:rPr>
          <w:rFonts w:ascii="Arial" w:eastAsia="Arial" w:hAnsi="Arial" w:cs="Arial"/>
          <w:sz w:val="22"/>
        </w:rPr>
        <w:t xml:space="preserve">Since 2016 is included, and additional participants were recruited, these need to be described here. </w:t>
      </w:r>
    </w:p>
  </w:comment>
  <w:comment w:id="15" w:author="Kayser, Georgia" w:date="2025-07-17T16:17:00Z" w:initials="KG">
    <w:p w14:paraId="00000078" w14:textId="00000078" w:rsidR="0054280C" w:rsidRDefault="00B71134">
      <w:r>
        <w:rPr>
          <w:rFonts w:ascii="Arial" w:eastAsia="Arial" w:hAnsi="Arial" w:cs="Arial"/>
          <w:sz w:val="22"/>
        </w:rPr>
        <w:t>For the inclusion-exclusion criteria, it would help a lot if you created a flowchart and I can supply the numbers. There are a lot of ways to report sample size of our study because there are three timepoints. We start from 629 subjects that appear in the study in various ways (e.g. summer 2008 only, spring 2016 and summer 2016 only, all three timepoints etc...). This scales down to 226 datapoints in summer 2008, 320 datapoints in spring 2016, and 523 datapoints in summer 2016 for a total of 599 subjects. </w:t>
      </w:r>
    </w:p>
    <w:p w14:paraId="00000079" w14:textId="00000079" w:rsidR="0054280C" w:rsidRDefault="0054280C"/>
  </w:comment>
  <w:comment w:id="16" w:author="Kayser, Georgia" w:date="2025-08-13T11:32:00Z" w:initials="KG">
    <w:p w14:paraId="44ECCEBA" w14:textId="77777777" w:rsidR="00C30E22" w:rsidRDefault="00C30E22" w:rsidP="00BF2438">
      <w:r>
        <w:rPr>
          <w:rStyle w:val="CommentReference"/>
        </w:rPr>
        <w:annotationRef/>
      </w:r>
      <w:r>
        <w:rPr>
          <w:rFonts w:asciiTheme="minorHAnsi" w:hAnsiTheme="minorHAnsi" w:cstheme="minorBidi"/>
          <w:sz w:val="20"/>
          <w:szCs w:val="20"/>
        </w:rPr>
        <w:t>Jasen checking</w:t>
      </w:r>
    </w:p>
  </w:comment>
  <w:comment w:id="17" w:author="Jasen Zhang" w:date="2025-09-02T17:43:00Z" w:initials="JZ">
    <w:p w14:paraId="0923552E" w14:textId="77777777" w:rsidR="00214348" w:rsidRDefault="00214348" w:rsidP="00214348">
      <w:pPr>
        <w:pStyle w:val="CommentText"/>
      </w:pPr>
      <w:r>
        <w:rPr>
          <w:rStyle w:val="CommentReference"/>
        </w:rPr>
        <w:annotationRef/>
      </w:r>
      <w:r>
        <w:t>313 exams in 2008,</w:t>
      </w:r>
    </w:p>
    <w:p w14:paraId="2B878567" w14:textId="77777777" w:rsidR="00214348" w:rsidRDefault="00214348" w:rsidP="00214348">
      <w:pPr>
        <w:pStyle w:val="CommentText"/>
        <w:ind w:left="300"/>
      </w:pPr>
      <w:r>
        <w:t>75 of them never came back</w:t>
      </w:r>
    </w:p>
    <w:p w14:paraId="09158308" w14:textId="77777777" w:rsidR="00214348" w:rsidRDefault="00214348" w:rsidP="00214348">
      <w:pPr>
        <w:pStyle w:val="CommentText"/>
        <w:ind w:left="300"/>
      </w:pPr>
      <w:r>
        <w:t>145 of them retested in spring</w:t>
      </w:r>
    </w:p>
    <w:p w14:paraId="19508FBE" w14:textId="77777777" w:rsidR="00214348" w:rsidRDefault="00214348" w:rsidP="00214348">
      <w:pPr>
        <w:pStyle w:val="CommentText"/>
        <w:ind w:left="300"/>
      </w:pPr>
      <w:r>
        <w:t>93 of them only retested in fall</w:t>
      </w:r>
    </w:p>
    <w:p w14:paraId="42A72A97" w14:textId="77777777" w:rsidR="00214348" w:rsidRDefault="00214348" w:rsidP="00214348">
      <w:pPr>
        <w:pStyle w:val="CommentText"/>
      </w:pPr>
      <w:r>
        <w:t>330 exams in spring 2016</w:t>
      </w:r>
    </w:p>
    <w:p w14:paraId="2219B009" w14:textId="77777777" w:rsidR="00214348" w:rsidRDefault="00214348" w:rsidP="00214348">
      <w:pPr>
        <w:pStyle w:val="CommentText"/>
        <w:ind w:left="300"/>
      </w:pPr>
      <w:r>
        <w:t>185 new people in spring 2016</w:t>
      </w:r>
    </w:p>
    <w:p w14:paraId="4E830031" w14:textId="77777777" w:rsidR="00214348" w:rsidRDefault="00214348" w:rsidP="00214348">
      <w:pPr>
        <w:pStyle w:val="CommentText"/>
        <w:ind w:left="300"/>
      </w:pPr>
      <w:r>
        <w:t>145 came from 2008</w:t>
      </w:r>
    </w:p>
    <w:p w14:paraId="12AB371D" w14:textId="77777777" w:rsidR="00214348" w:rsidRDefault="00214348" w:rsidP="00214348">
      <w:pPr>
        <w:pStyle w:val="CommentText"/>
      </w:pPr>
      <w:r>
        <w:t>Between spring and summer:</w:t>
      </w:r>
    </w:p>
    <w:p w14:paraId="4D6E08CF" w14:textId="77777777" w:rsidR="00214348" w:rsidRDefault="00214348" w:rsidP="00214348">
      <w:pPr>
        <w:pStyle w:val="CommentText"/>
        <w:ind w:left="300"/>
      </w:pPr>
      <w:r>
        <w:t>19 dropped out</w:t>
      </w:r>
    </w:p>
    <w:p w14:paraId="1154CCA9" w14:textId="77777777" w:rsidR="00214348" w:rsidRDefault="00214348" w:rsidP="00214348">
      <w:pPr>
        <w:pStyle w:val="CommentText"/>
        <w:ind w:left="300"/>
      </w:pPr>
      <w:r>
        <w:t>131 completely new participants</w:t>
      </w:r>
    </w:p>
    <w:p w14:paraId="7D3C329A" w14:textId="77777777" w:rsidR="00214348" w:rsidRDefault="00214348" w:rsidP="00214348">
      <w:pPr>
        <w:pStyle w:val="CommentText"/>
        <w:ind w:left="300"/>
      </w:pPr>
      <w:r>
        <w:t>93 participants from 2008</w:t>
      </w:r>
    </w:p>
    <w:p w14:paraId="096E3B87" w14:textId="77777777" w:rsidR="00214348" w:rsidRDefault="00214348" w:rsidP="00214348">
      <w:pPr>
        <w:pStyle w:val="CommentText"/>
        <w:ind w:left="300"/>
      </w:pPr>
      <w:r>
        <w:t>311 carry from spring</w:t>
      </w:r>
    </w:p>
    <w:p w14:paraId="0F2F05EB" w14:textId="77777777" w:rsidR="00214348" w:rsidRDefault="00214348" w:rsidP="00214348">
      <w:pPr>
        <w:pStyle w:val="CommentText"/>
      </w:pPr>
      <w:r>
        <w:t>535 exams in summer 2016</w:t>
      </w:r>
    </w:p>
  </w:comment>
  <w:comment w:id="18" w:author="Jasen Zhang" w:date="2025-09-02T17:43:00Z" w:initials="JZ">
    <w:p w14:paraId="654E69BD" w14:textId="77777777" w:rsidR="00D53460" w:rsidRDefault="00214348" w:rsidP="00D53460">
      <w:pPr>
        <w:pStyle w:val="CommentText"/>
      </w:pPr>
      <w:r>
        <w:rPr>
          <w:rStyle w:val="CommentReference"/>
        </w:rPr>
        <w:annotationRef/>
      </w:r>
      <w:r w:rsidR="00D53460">
        <w:t>(313, 330, 535) exams</w:t>
      </w:r>
      <w:r w:rsidR="00D53460">
        <w:br/>
        <w:t>(290, 320, 523) complete exams with no NAs</w:t>
      </w:r>
    </w:p>
  </w:comment>
  <w:comment w:id="19" w:author="Suarez, Jose" w:date="2025-06-04T13:47:00Z" w:initials="JS">
    <w:p w14:paraId="00000077" w14:textId="5FF03F56" w:rsidR="0054280C" w:rsidRDefault="00B71134">
      <w:r>
        <w:rPr>
          <w:rFonts w:ascii="Arial" w:eastAsia="Arial" w:hAnsi="Arial" w:cs="Arial"/>
          <w:sz w:val="22"/>
        </w:rPr>
        <w:t>Figure is not cited</w:t>
      </w:r>
    </w:p>
  </w:comment>
  <w:comment w:id="20" w:author="Suarez, Jose" w:date="2025-06-04T14:18:00Z" w:initials="JS">
    <w:p w14:paraId="00000076" w14:textId="00000076" w:rsidR="0054280C" w:rsidRDefault="00B71134">
      <w:r>
        <w:rPr>
          <w:rFonts w:ascii="Arial" w:eastAsia="Arial" w:hAnsi="Arial" w:cs="Arial"/>
          <w:sz w:val="22"/>
        </w:rPr>
        <w:t>Refer to Alexi’s paper as the scale models are different across the exams</w:t>
      </w:r>
    </w:p>
  </w:comment>
  <w:comment w:id="21" w:author="Suarez, Jose" w:date="2025-06-04T14:20:00Z" w:initials="JS">
    <w:p w14:paraId="00000073" w14:textId="00000073" w:rsidR="0054280C" w:rsidRDefault="00B71134">
      <w:r>
        <w:rPr>
          <w:rFonts w:ascii="Arial" w:eastAsia="Arial" w:hAnsi="Arial" w:cs="Arial"/>
          <w:sz w:val="22"/>
        </w:rPr>
        <w:t>Another subheading could be survey collection. Surveys were used to collect demographic, occupational, and SES</w:t>
      </w:r>
    </w:p>
  </w:comment>
  <w:comment w:id="22" w:author="Suarez, Jose" w:date="2025-06-04T14:20:00Z" w:initials="JS">
    <w:p w14:paraId="00000074" w14:textId="00000074" w:rsidR="0054280C" w:rsidRDefault="00B71134">
      <w:r>
        <w:rPr>
          <w:rFonts w:ascii="Arial" w:eastAsia="Arial" w:hAnsi="Arial" w:cs="Arial"/>
          <w:sz w:val="22"/>
        </w:rPr>
        <w:t>Surveys wer completed by parents</w:t>
      </w:r>
    </w:p>
  </w:comment>
  <w:comment w:id="23" w:author="Kayser, Georgia" w:date="2025-07-17T20:01:00Z" w:initials="KG">
    <w:p w14:paraId="00000075" w14:textId="00000075" w:rsidR="0054280C" w:rsidRDefault="00B71134">
      <w:r>
        <w:rPr>
          <w:rFonts w:ascii="Arial" w:eastAsia="Arial" w:hAnsi="Arial" w:cs="Arial"/>
          <w:sz w:val="22"/>
        </w:rPr>
        <w:t>check in  ESPINA paper to see if more summary is needed.</w:t>
      </w:r>
    </w:p>
  </w:comment>
  <w:comment w:id="24" w:author="Suarez, Jose" w:date="2025-06-04T13:59:00Z" w:initials="JS">
    <w:p w14:paraId="00000072" w14:textId="00000072" w:rsidR="0054280C" w:rsidRDefault="00B71134">
      <w:r>
        <w:rPr>
          <w:rFonts w:ascii="Arial" w:eastAsia="Arial" w:hAnsi="Arial" w:cs="Arial"/>
          <w:sz w:val="22"/>
        </w:rPr>
        <w:t>Make sure to describe why you are not including sensorimotor in this paper (is it because it was measured only in Exam A?)</w:t>
      </w:r>
    </w:p>
  </w:comment>
  <w:comment w:id="25" w:author="Kayser, Georgia" w:date="2025-08-13T11:20:00Z" w:initials="KG">
    <w:p w14:paraId="1B2673F1" w14:textId="77777777" w:rsidR="00353398" w:rsidRDefault="00353398" w:rsidP="007F0AD2">
      <w:r>
        <w:rPr>
          <w:rStyle w:val="CommentReference"/>
        </w:rPr>
        <w:annotationRef/>
      </w:r>
      <w:r>
        <w:rPr>
          <w:rFonts w:asciiTheme="minorHAnsi" w:hAnsiTheme="minorHAnsi" w:cstheme="minorBidi"/>
          <w:sz w:val="20"/>
          <w:szCs w:val="20"/>
        </w:rPr>
        <w:t>Not reported in all years</w:t>
      </w:r>
    </w:p>
  </w:comment>
  <w:comment w:id="28" w:author="Suarez, Jose" w:date="2025-06-04T14:09:00Z" w:initials="JS">
    <w:p w14:paraId="0000006D" w14:textId="73B50184" w:rsidR="0054280C" w:rsidRDefault="00B71134">
      <w:r>
        <w:rPr>
          <w:rFonts w:ascii="Arial" w:eastAsia="Arial" w:hAnsi="Arial" w:cs="Arial"/>
          <w:sz w:val="22"/>
        </w:rPr>
        <w:t>Korkman citation has a  † which should be removed</w:t>
      </w:r>
    </w:p>
  </w:comment>
  <w:comment w:id="26" w:author="Suarez, Jose" w:date="2025-06-04T14:08:00Z" w:initials="JS">
    <w:p w14:paraId="0000006E" w14:textId="0000006E" w:rsidR="0054280C" w:rsidRDefault="00B71134">
      <w:r>
        <w:rPr>
          <w:rFonts w:ascii="Arial" w:eastAsia="Arial" w:hAnsi="Arial" w:cs="Arial"/>
          <w:sz w:val="22"/>
        </w:rPr>
        <w:t>We don’t usually provide this much detail; we simply refer the reader to the appropriate citation for the description (Korkman). Your call</w:t>
      </w:r>
    </w:p>
  </w:comment>
  <w:comment w:id="27" w:author="Kayser, Georgia" w:date="2025-07-17T14:34:00Z" w:initials="KG">
    <w:p w14:paraId="0000006F" w14:textId="0000006F" w:rsidR="0054280C" w:rsidRDefault="00B71134">
      <w:r>
        <w:rPr>
          <w:rFonts w:ascii="Arial" w:eastAsia="Arial" w:hAnsi="Arial" w:cs="Arial"/>
          <w:sz w:val="22"/>
        </w:rPr>
        <w:t xml:space="preserve">I like it, as it as it helps explain the measures.  </w:t>
      </w:r>
    </w:p>
  </w:comment>
  <w:comment w:id="29" w:author="Suarez, Jose" w:date="2025-06-04T14:12:00Z" w:initials="JS">
    <w:p w14:paraId="0000006C" w14:textId="0000006C" w:rsidR="0054280C" w:rsidRDefault="00B71134">
      <w:r>
        <w:rPr>
          <w:rFonts w:ascii="Arial" w:eastAsia="Arial" w:hAnsi="Arial" w:cs="Arial"/>
          <w:sz w:val="22"/>
        </w:rPr>
        <w:t>Describe which tests needed translation. This has been described in previous papers… Also in the papers, I think we described the translation process and that the publisher had approved the translation we made</w:t>
      </w:r>
    </w:p>
  </w:comment>
  <w:comment w:id="30" w:author="Suarez, Jose" w:date="2025-06-04T14:17:00Z" w:initials="JS">
    <w:p w14:paraId="0000006B" w14:textId="0000006B" w:rsidR="0054280C" w:rsidRDefault="00B71134">
      <w:r>
        <w:rPr>
          <w:rFonts w:ascii="Arial" w:eastAsia="Arial" w:hAnsi="Arial" w:cs="Arial"/>
          <w:sz w:val="22"/>
        </w:rPr>
        <w:t>This section should be under a different subheading (not Neurobehavior)</w:t>
      </w:r>
    </w:p>
  </w:comment>
  <w:comment w:id="31" w:author="Suarez, Jose" w:date="2025-06-04T14:18:00Z" w:initials="JS">
    <w:p w14:paraId="0000006A" w14:textId="0000006A" w:rsidR="0054280C" w:rsidRDefault="00B71134">
      <w:r>
        <w:rPr>
          <w:rFonts w:ascii="Arial" w:eastAsia="Arial" w:hAnsi="Arial" w:cs="Arial"/>
          <w:sz w:val="22"/>
        </w:rPr>
        <w:t>Refer to Alexi’s paper as the scale models are different across the exams</w:t>
      </w:r>
    </w:p>
  </w:comment>
  <w:comment w:id="32" w:author="Suarez, Jose" w:date="2025-06-04T14:24:00Z" w:initials="JS">
    <w:p w14:paraId="00000068" w14:textId="00000068" w:rsidR="0054280C" w:rsidRDefault="00B71134">
      <w:r>
        <w:rPr>
          <w:rFonts w:ascii="Arial" w:eastAsia="Arial" w:hAnsi="Arial" w:cs="Arial"/>
          <w:sz w:val="22"/>
        </w:rPr>
        <w:t>This citation should be added (it is just text right now)</w:t>
      </w:r>
    </w:p>
  </w:comment>
  <w:comment w:id="33" w:author="Kayser, Georgia" w:date="2025-07-17T15:52:00Z" w:initials="KG">
    <w:p w14:paraId="00000069" w14:textId="00000069" w:rsidR="0054280C" w:rsidRDefault="00B71134">
      <w:r>
        <w:rPr>
          <w:rFonts w:ascii="Arial" w:eastAsia="Arial" w:hAnsi="Arial" w:cs="Arial"/>
          <w:sz w:val="22"/>
        </w:rPr>
        <w:t>It is in the references</w:t>
      </w:r>
    </w:p>
  </w:comment>
  <w:comment w:id="34" w:author="Suarez, Jose" w:date="2025-06-04T14:29:00Z" w:initials="JS">
    <w:p w14:paraId="00000067" w14:textId="00000067" w:rsidR="0054280C" w:rsidRDefault="00B71134">
      <w:r>
        <w:rPr>
          <w:rFonts w:ascii="Arial" w:eastAsia="Arial" w:hAnsi="Arial" w:cs="Arial"/>
          <w:sz w:val="22"/>
        </w:rPr>
        <w:t>You should describe in methods or somewhere that floriculture crops are contained within greenhouses. This is an important point as it would limit the extent of the pesticide drift. See our latest publication about how we handled this. Greenhouses is something you may want to mention in many places:  https://doi.org/10.1186/s12942-025-00395-w</w:t>
      </w:r>
    </w:p>
  </w:comment>
  <w:comment w:id="35" w:author="Briana N Chronister" w:date="2024-10-11T14:03:00Z" w:initials="BC">
    <w:p w14:paraId="00000064" w14:textId="00000064" w:rsidR="0054280C" w:rsidRDefault="00B71134">
      <w:r>
        <w:rPr>
          <w:rFonts w:ascii="Arial" w:eastAsia="Arial" w:hAnsi="Arial" w:cs="Arial"/>
          <w:sz w:val="22"/>
        </w:rPr>
        <w:t>Is it just an agricultural worker, or “with an agricultural or floricultural worker”</w:t>
      </w:r>
    </w:p>
  </w:comment>
  <w:comment w:id="36" w:author="Kayser, Georgia" w:date="2024-10-23T15:03:00Z" w:initials="KG">
    <w:p w14:paraId="00000065" w14:textId="00000065" w:rsidR="0054280C" w:rsidRDefault="00B71134">
      <w:r>
        <w:rPr>
          <w:rFonts w:ascii="Arial" w:eastAsia="Arial" w:hAnsi="Arial" w:cs="Arial"/>
          <w:sz w:val="22"/>
        </w:rPr>
        <w:t>Jasen?</w:t>
      </w:r>
    </w:p>
  </w:comment>
  <w:comment w:id="37" w:author="Jasen Zhang" w:date="2024-10-29T09:43:00Z" w:initials="JZ">
    <w:p w14:paraId="00000066" w14:textId="00000066" w:rsidR="0054280C" w:rsidRDefault="00B71134">
      <w:r>
        <w:rPr>
          <w:rFonts w:ascii="Arial" w:eastAsia="Arial" w:hAnsi="Arial" w:cs="Arial"/>
          <w:sz w:val="22"/>
        </w:rPr>
        <w:t>Agricultural OR floricultural</w:t>
      </w:r>
    </w:p>
  </w:comment>
  <w:comment w:id="38" w:author="Briana N Chronister" w:date="2024-10-11T14:07:00Z" w:initials="BC">
    <w:p w14:paraId="00000061" w14:textId="00000061" w:rsidR="0054280C" w:rsidRDefault="00B71134">
      <w:r>
        <w:rPr>
          <w:rFonts w:ascii="Arial" w:eastAsia="Arial" w:hAnsi="Arial" w:cs="Arial"/>
          <w:sz w:val="22"/>
        </w:rPr>
        <w:t xml:space="preserve">It would be helpful to include what the date of reference was used to calculate this. </w:t>
      </w:r>
    </w:p>
  </w:comment>
  <w:comment w:id="39" w:author="Kayser, Georgia" w:date="2024-10-23T15:04:00Z" w:initials="KG">
    <w:p w14:paraId="00000062" w14:textId="00000062" w:rsidR="0054280C" w:rsidRDefault="00B71134">
      <w:r>
        <w:rPr>
          <w:rFonts w:ascii="Arial" w:eastAsia="Arial" w:hAnsi="Arial" w:cs="Arial"/>
          <w:sz w:val="22"/>
        </w:rPr>
        <w:t>Jasen</w:t>
      </w:r>
    </w:p>
  </w:comment>
  <w:comment w:id="40" w:author="Jasen Zhang" w:date="2024-10-29T09:43:00Z" w:initials="JZ">
    <w:p w14:paraId="00000063" w14:textId="00000063" w:rsidR="0054280C" w:rsidRDefault="00B71134">
      <w:r>
        <w:rPr>
          <w:rFonts w:ascii="Arial" w:eastAsia="Arial" w:hAnsi="Arial" w:cs="Arial"/>
          <w:sz w:val="22"/>
        </w:rPr>
        <w:t>The day of harvest for Mother’s Day depends on when they did the harvesting. I don’t know.</w:t>
      </w:r>
    </w:p>
  </w:comment>
  <w:comment w:id="41" w:author="Briana N Chronister" w:date="2024-10-11T14:08:00Z" w:initials="BC">
    <w:p w14:paraId="0000005F" w14:textId="0000005F" w:rsidR="0054280C" w:rsidRDefault="00B71134">
      <w:r>
        <w:rPr>
          <w:rFonts w:ascii="Arial" w:eastAsia="Arial" w:hAnsi="Arial" w:cs="Arial"/>
          <w:sz w:val="22"/>
        </w:rPr>
        <w:t>This section is missing a description of what was done for any missing variables. Were they imputed? If so how</w:t>
      </w:r>
    </w:p>
  </w:comment>
  <w:comment w:id="42" w:author="Jasen Zhang" w:date="2024-10-29T09:44:00Z" w:initials="JZ">
    <w:p w14:paraId="00000060" w14:textId="00000060" w:rsidR="0054280C" w:rsidRDefault="00B71134">
      <w:r>
        <w:rPr>
          <w:rFonts w:ascii="Arial" w:eastAsia="Arial" w:hAnsi="Arial" w:cs="Arial"/>
          <w:sz w:val="22"/>
        </w:rPr>
        <w:t xml:space="preserve">Subjects with missing values were discarded. </w:t>
      </w:r>
    </w:p>
  </w:comment>
  <w:comment w:id="50" w:author="Briana N Chronister" w:date="2024-10-11T14:08:00Z" w:initials="BC">
    <w:p w14:paraId="0000005B" w14:textId="0000005B" w:rsidR="0054280C" w:rsidRDefault="00B71134">
      <w:r>
        <w:rPr>
          <w:rFonts w:ascii="Arial" w:eastAsia="Arial" w:hAnsi="Arial" w:cs="Arial"/>
          <w:sz w:val="22"/>
        </w:rPr>
        <w:t>I feel like I normally see this referenced as GEE, but fine either way</w:t>
      </w:r>
    </w:p>
  </w:comment>
  <w:comment w:id="51" w:author="Kayser, Georgia" w:date="2025-04-10T14:41:00Z" w:initials="KG">
    <w:p w14:paraId="0000005C" w14:textId="0000005C" w:rsidR="0054280C" w:rsidRDefault="00B71134">
      <w:r>
        <w:rPr>
          <w:rFonts w:ascii="Arial" w:eastAsia="Arial" w:hAnsi="Arial" w:cs="Arial"/>
          <w:sz w:val="22"/>
        </w:rPr>
        <w:t xml:space="preserve">Jasen wants to leave it as is. </w:t>
      </w:r>
    </w:p>
  </w:comment>
  <w:comment w:id="52" w:author="Suarez, Jose" w:date="2025-06-04T14:40:00Z" w:initials="JS">
    <w:p w14:paraId="0000005A" w14:textId="0000005A" w:rsidR="0054280C" w:rsidRDefault="00B71134">
      <w:r>
        <w:rPr>
          <w:rFonts w:ascii="Arial" w:eastAsia="Arial" w:hAnsi="Arial" w:cs="Arial"/>
          <w:sz w:val="22"/>
        </w:rPr>
        <w:t>Range does not coincide with methods</w:t>
      </w:r>
    </w:p>
  </w:comment>
  <w:comment w:id="53" w:author="Jasen Zhang" w:date="2025-09-17T15:13:00Z" w:initials="JZ">
    <w:p w14:paraId="548E2362" w14:textId="77777777" w:rsidR="00E158B1" w:rsidRDefault="00E158B1" w:rsidP="00E158B1">
      <w:pPr>
        <w:pStyle w:val="CommentText"/>
      </w:pPr>
      <w:r>
        <w:rPr>
          <w:rStyle w:val="CommentReference"/>
        </w:rPr>
        <w:annotationRef/>
      </w:r>
      <w:r>
        <w:t>It should be 50, 100, 150, 200, 300, 500, 1000. Fix the methods to be this.</w:t>
      </w:r>
    </w:p>
  </w:comment>
  <w:comment w:id="54" w:author="Briana N Chronister" w:date="2024-10-11T14:06:00Z" w:initials="BC">
    <w:p w14:paraId="00000058" w14:textId="72762F70" w:rsidR="0054280C" w:rsidRDefault="00B71134">
      <w:r>
        <w:rPr>
          <w:rFonts w:ascii="Arial" w:eastAsia="Arial" w:hAnsi="Arial" w:cs="Arial"/>
          <w:sz w:val="22"/>
        </w:rPr>
        <w:t>Just wanted to confirm whether it log or natural log?</w:t>
      </w:r>
    </w:p>
  </w:comment>
  <w:comment w:id="55" w:author="Jasen Zhang" w:date="2024-10-29T10:04:00Z" w:initials="JZ">
    <w:p w14:paraId="00000059" w14:textId="00000059" w:rsidR="0054280C" w:rsidRDefault="00B71134">
      <w:r>
        <w:rPr>
          <w:rFonts w:ascii="Arial" w:eastAsia="Arial" w:hAnsi="Arial" w:cs="Arial"/>
          <w:sz w:val="22"/>
        </w:rPr>
        <w:t>Log refers to natural log throughout the paper.</w:t>
      </w:r>
    </w:p>
  </w:comment>
  <w:comment w:id="57" w:author="Briana N Chronister" w:date="2024-10-11T14:25:00Z" w:initials="BC">
    <w:p w14:paraId="00000053" w14:textId="00000053" w:rsidR="0054280C" w:rsidRDefault="00B71134">
      <w:r>
        <w:rPr>
          <w:rFonts w:ascii="Arial" w:eastAsia="Arial" w:hAnsi="Arial" w:cs="Arial"/>
          <w:sz w:val="22"/>
        </w:rPr>
        <w:t>Why not run a repeated ANOVA here?</w:t>
      </w:r>
    </w:p>
  </w:comment>
  <w:comment w:id="58" w:author="Kayser, Georgia" w:date="2024-10-23T15:20:00Z" w:initials="KG">
    <w:p w14:paraId="00000054" w14:textId="00000054" w:rsidR="0054280C" w:rsidRDefault="00B71134">
      <w:r>
        <w:rPr>
          <w:rFonts w:ascii="Arial" w:eastAsia="Arial" w:hAnsi="Arial" w:cs="Arial"/>
          <w:sz w:val="22"/>
        </w:rPr>
        <w:t>Jasen discussion</w:t>
      </w:r>
    </w:p>
  </w:comment>
  <w:comment w:id="59" w:author="Jasen Zhang" w:date="2024-10-29T11:39:00Z" w:initials="JZ">
    <w:p w14:paraId="00000055" w14:textId="00000055" w:rsidR="0054280C" w:rsidRDefault="00B71134">
      <w:r>
        <w:rPr>
          <w:rFonts w:ascii="Arial" w:eastAsia="Arial" w:hAnsi="Arial" w:cs="Arial"/>
          <w:sz w:val="22"/>
        </w:rPr>
        <w:t xml:space="preserve">It sounds like we can do two way repeated anova, to stratify by distance quantile AND time. But we can’t do this, because each subject is only in one quantile. </w:t>
      </w:r>
    </w:p>
    <w:p w14:paraId="00000056" w14:textId="00000056" w:rsidR="0054280C" w:rsidRDefault="0054280C"/>
    <w:p w14:paraId="00000057" w14:textId="00000057" w:rsidR="0054280C" w:rsidRDefault="00B71134">
      <w:r>
        <w:rPr>
          <w:rFonts w:ascii="Arial" w:eastAsia="Arial" w:hAnsi="Arial" w:cs="Arial"/>
          <w:sz w:val="22"/>
        </w:rPr>
        <w:t>It’s impossible to measure the interaction effect here.</w:t>
      </w:r>
    </w:p>
  </w:comment>
  <w:comment w:id="61" w:author="Briana N Chronister" w:date="2024-10-11T14:27:00Z" w:initials="BC">
    <w:p w14:paraId="00000050" w14:textId="00000050" w:rsidR="0054280C" w:rsidRDefault="00B71134">
      <w:r>
        <w:rPr>
          <w:rFonts w:ascii="Arial" w:eastAsia="Arial" w:hAnsi="Arial" w:cs="Arial"/>
          <w:sz w:val="22"/>
        </w:rPr>
        <w:t>Were there any post hoc tests to see where the differences were between the categories?</w:t>
      </w:r>
    </w:p>
  </w:comment>
  <w:comment w:id="62" w:author="Kayser, Georgia" w:date="2024-10-23T15:20:00Z" w:initials="KG">
    <w:p w14:paraId="00000051" w14:textId="00000051" w:rsidR="0054280C" w:rsidRDefault="00B71134">
      <w:r>
        <w:rPr>
          <w:rFonts w:ascii="Arial" w:eastAsia="Arial" w:hAnsi="Arial" w:cs="Arial"/>
          <w:sz w:val="22"/>
        </w:rPr>
        <w:t>Jasen question</w:t>
      </w:r>
    </w:p>
  </w:comment>
  <w:comment w:id="60" w:author="Briana N Chronister" w:date="2024-10-11T14:13:00Z" w:initials="BC">
    <w:p w14:paraId="00000052" w14:textId="00000052" w:rsidR="0054280C" w:rsidRDefault="00B71134">
      <w:r>
        <w:rPr>
          <w:rFonts w:ascii="Arial" w:eastAsia="Arial" w:hAnsi="Arial" w:cs="Arial"/>
          <w:sz w:val="22"/>
        </w:rPr>
        <w:t xml:space="preserve">This was not described in the methods section. </w:t>
      </w:r>
    </w:p>
  </w:comment>
  <w:comment w:id="56" w:author="Jasen Zhang" w:date="2025-09-17T15:17:00Z" w:initials="JZ">
    <w:p w14:paraId="6C9D12BD" w14:textId="77777777" w:rsidR="00024CB1" w:rsidRDefault="00024CB1" w:rsidP="00024CB1">
      <w:pPr>
        <w:pStyle w:val="CommentText"/>
      </w:pPr>
      <w:r>
        <w:rPr>
          <w:rStyle w:val="CommentReference"/>
        </w:rPr>
        <w:annotationRef/>
      </w:r>
      <w:r>
        <w:t>Redundant. We mentioned the linear regression tests earlier.</w:t>
      </w:r>
    </w:p>
  </w:comment>
  <w:comment w:id="63" w:author="Suarez, Jose" w:date="2025-06-04T14:41:00Z" w:initials="JS">
    <w:p w14:paraId="0000004E" w14:textId="118F9CD4" w:rsidR="0054280C" w:rsidRDefault="00B71134">
      <w:r>
        <w:rPr>
          <w:rFonts w:ascii="Arial" w:eastAsia="Arial" w:hAnsi="Arial" w:cs="Arial"/>
          <w:sz w:val="22"/>
        </w:rPr>
        <w:t>How? What cutoffs were selected. I think using the standard NEPSY cutoffs are not appropriate as that is base on a US normative sample. An internal cutoff is prefered.</w:t>
      </w:r>
    </w:p>
  </w:comment>
  <w:comment w:id="64" w:author="Kayser, Georgia" w:date="2025-07-17T17:02:00Z" w:initials="KG">
    <w:p w14:paraId="0000004F" w14:textId="0000004F" w:rsidR="0054280C" w:rsidRDefault="00B71134">
      <w:r>
        <w:rPr>
          <w:rFonts w:ascii="Arial" w:eastAsia="Arial" w:hAnsi="Arial" w:cs="Arial"/>
          <w:sz w:val="22"/>
        </w:rPr>
        <w:t>Jasen</w:t>
      </w:r>
    </w:p>
  </w:comment>
  <w:comment w:id="65" w:author="Jasen Zhang" w:date="2025-09-17T15:20:00Z" w:initials="JZ">
    <w:p w14:paraId="553C255E" w14:textId="77777777" w:rsidR="007F634E" w:rsidRDefault="007F634E" w:rsidP="007F634E">
      <w:pPr>
        <w:pStyle w:val="CommentText"/>
      </w:pPr>
      <w:r>
        <w:rPr>
          <w:rStyle w:val="CommentReference"/>
        </w:rPr>
        <w:annotationRef/>
      </w:r>
      <w:r>
        <w:t>Bottom 30%-ile</w:t>
      </w:r>
    </w:p>
  </w:comment>
  <w:comment w:id="66" w:author="Suarez, Jose" w:date="2025-06-04T14:44:00Z" w:initials="JS">
    <w:p w14:paraId="0000004C" w14:textId="51223CC5" w:rsidR="0054280C" w:rsidRDefault="00B71134">
      <w:r>
        <w:rPr>
          <w:rFonts w:ascii="Arial" w:eastAsia="Arial" w:hAnsi="Arial" w:cs="Arial"/>
          <w:sz w:val="22"/>
        </w:rPr>
        <w:t>Table S1 describes that these are LOESS  curves adjusted for covariates. However, LOESS does NOT allow for covariate adjustment. Describe how covariate adjustment was done. If covariate adjustment was not done, then I recommend replacing the S1 figure visualization with Spline, which does allow for adjustment (you just wont see the observations).</w:t>
      </w:r>
    </w:p>
  </w:comment>
  <w:comment w:id="67" w:author="Kayser, Georgia" w:date="2025-08-13T11:26:00Z" w:initials="KG">
    <w:p w14:paraId="49BF822C" w14:textId="77777777" w:rsidR="00C441B8" w:rsidRDefault="00C441B8" w:rsidP="00A031B1">
      <w:r>
        <w:rPr>
          <w:rStyle w:val="CommentReference"/>
        </w:rPr>
        <w:annotationRef/>
      </w:r>
      <w:r>
        <w:rPr>
          <w:rFonts w:asciiTheme="minorHAnsi" w:hAnsiTheme="minorHAnsi" w:cstheme="minorBidi"/>
          <w:sz w:val="20"/>
          <w:szCs w:val="20"/>
        </w:rPr>
        <w:t xml:space="preserve">We estimated least-square means differences by adjusting subjects by their measurements of pesticide exposure. We then plotted the LOESS curves.  </w:t>
      </w:r>
    </w:p>
  </w:comment>
  <w:comment w:id="68" w:author="Suarez, Jose" w:date="2025-06-04T16:21:00Z" w:initials="JS">
    <w:p w14:paraId="0000004A" w14:textId="52F1B663" w:rsidR="0054280C" w:rsidRDefault="00B71134">
      <w:r>
        <w:rPr>
          <w:rFonts w:ascii="Arial" w:eastAsia="Arial" w:hAnsi="Arial" w:cs="Arial"/>
          <w:sz w:val="22"/>
        </w:rPr>
        <w:t>These are not the correct numbers (per your figure above).These are the numbers of the full cohort and some participants have missing neuro or other covariate date</w:t>
      </w:r>
    </w:p>
  </w:comment>
  <w:comment w:id="69" w:author="Suarez, Jose" w:date="2025-06-04T16:21:00Z" w:initials="JS">
    <w:p w14:paraId="0000004B" w14:textId="0000004B" w:rsidR="0054280C" w:rsidRDefault="00B71134">
      <w:r>
        <w:rPr>
          <w:rFonts w:ascii="Arial" w:eastAsia="Arial" w:hAnsi="Arial" w:cs="Arial"/>
          <w:sz w:val="22"/>
        </w:rPr>
        <w:t xml:space="preserve">Same applies to all years listed. Which reminds me, in the methods section you should describe how many participants were excluded. </w:t>
      </w:r>
    </w:p>
  </w:comment>
  <w:comment w:id="70" w:author="Jasen Zhang" w:date="2025-09-17T15:53:00Z" w:initials="JZ">
    <w:p w14:paraId="4DAD4F82" w14:textId="77777777" w:rsidR="00460847" w:rsidRDefault="00460847" w:rsidP="00460847">
      <w:pPr>
        <w:pStyle w:val="CommentText"/>
      </w:pPr>
      <w:r>
        <w:rPr>
          <w:rStyle w:val="CommentReference"/>
        </w:rPr>
        <w:annotationRef/>
      </w:r>
      <w:r>
        <w:t>Each NEPSY variable has a different amount of missing values. Thus, we can only say that a subject is definitely excluded if they are missing at least one covariate.</w:t>
      </w:r>
    </w:p>
  </w:comment>
  <w:comment w:id="73" w:author="Suarez, Jose" w:date="2025-06-04T16:30:00Z" w:initials="JS">
    <w:p w14:paraId="00000047" w14:textId="66266234" w:rsidR="0054280C" w:rsidRDefault="00B71134">
      <w:r>
        <w:rPr>
          <w:rFonts w:ascii="Arial" w:eastAsia="Arial" w:hAnsi="Arial" w:cs="Arial"/>
          <w:sz w:val="22"/>
        </w:rPr>
        <w:t xml:space="preserve">I don’t think we should use the cutoffs of the NEPSY for this as described in my previous comment. Furthermore Table 2 does not seem to provide this anywas </w:t>
      </w:r>
    </w:p>
  </w:comment>
  <w:comment w:id="74" w:author="Kayser, Georgia" w:date="2025-07-17T17:04:00Z" w:initials="KG">
    <w:p w14:paraId="00000048" w14:textId="00000048" w:rsidR="0054280C" w:rsidRDefault="00B71134">
      <w:r>
        <w:rPr>
          <w:rFonts w:ascii="Arial" w:eastAsia="Arial" w:hAnsi="Arial" w:cs="Arial"/>
          <w:sz w:val="22"/>
        </w:rPr>
        <w:t>Jasen , did we use the NEPSY cutoffs?</w:t>
      </w:r>
    </w:p>
  </w:comment>
  <w:comment w:id="75" w:author="Kayser, Georgia" w:date="2025-07-17T17:13:00Z" w:initials="KG">
    <w:p w14:paraId="00000049" w14:textId="00000049" w:rsidR="0054280C" w:rsidRDefault="00B71134">
      <w:r>
        <w:rPr>
          <w:rFonts w:ascii="Arial" w:eastAsia="Arial" w:hAnsi="Arial" w:cs="Arial"/>
          <w:sz w:val="22"/>
        </w:rPr>
        <w:t xml:space="preserve">Below, Jose, says this is ok. </w:t>
      </w:r>
    </w:p>
  </w:comment>
  <w:comment w:id="76" w:author="Suarez, Jose" w:date="2025-06-04T16:33:00Z" w:initials="JS">
    <w:p w14:paraId="00000046" w14:textId="00000046" w:rsidR="0054280C" w:rsidRDefault="00B71134">
      <w:r>
        <w:rPr>
          <w:rFonts w:ascii="Arial" w:eastAsia="Arial" w:hAnsi="Arial" w:cs="Arial"/>
          <w:sz w:val="22"/>
        </w:rPr>
        <w:t>Table S1 can be dropped. These are crude analyses and that is the topic of the manuscript</w:t>
      </w:r>
    </w:p>
  </w:comment>
  <w:comment w:id="78" w:author="Suarez, Jose" w:date="2025-06-04T16:34:00Z" w:initials="JS">
    <w:p w14:paraId="00000044" w14:textId="00000044" w:rsidR="0054280C" w:rsidRDefault="00B71134">
      <w:r>
        <w:rPr>
          <w:rFonts w:ascii="Arial" w:eastAsia="Arial" w:hAnsi="Arial" w:cs="Arial"/>
          <w:sz w:val="22"/>
        </w:rPr>
        <w:t>What do you mean by “exploratory”?</w:t>
      </w:r>
    </w:p>
  </w:comment>
  <w:comment w:id="77" w:author="Suarez, Jose" w:date="2025-06-04T16:36:00Z" w:initials="JS">
    <w:p w14:paraId="00000045" w14:textId="00000045" w:rsidR="0054280C" w:rsidRDefault="00B71134">
      <w:r>
        <w:rPr>
          <w:rFonts w:ascii="Arial" w:eastAsia="Arial" w:hAnsi="Arial" w:cs="Arial"/>
          <w:sz w:val="22"/>
        </w:rPr>
        <w:t>These are still part of participant characteristics. Should be moved to 3.1</w:t>
      </w:r>
    </w:p>
  </w:comment>
  <w:comment w:id="81" w:author="Suarez, Jose" w:date="2025-06-04T16:41:00Z" w:initials="JS">
    <w:p w14:paraId="00000037" w14:textId="00000037" w:rsidR="0054280C" w:rsidRDefault="00B71134">
      <w:r>
        <w:rPr>
          <w:rFonts w:ascii="Arial" w:eastAsia="Arial" w:hAnsi="Arial" w:cs="Arial"/>
          <w:sz w:val="22"/>
        </w:rPr>
        <w:t>What is the “Inhibition subdomain”? This hasn’t been described</w:t>
      </w:r>
    </w:p>
  </w:comment>
  <w:comment w:id="82" w:author="Suarez, Jose" w:date="2025-06-04T16:43:00Z" w:initials="JS">
    <w:p w14:paraId="00000038" w14:textId="00000038" w:rsidR="0054280C" w:rsidRDefault="00B71134">
      <w:r>
        <w:rPr>
          <w:rFonts w:ascii="Arial" w:eastAsia="Arial" w:hAnsi="Arial" w:cs="Arial"/>
          <w:sz w:val="22"/>
        </w:rPr>
        <w:t>Do you mean the Inhibition subtest score?</w:t>
      </w:r>
    </w:p>
  </w:comment>
  <w:comment w:id="83" w:author="Suarez, Jose" w:date="2025-06-04T16:44:00Z" w:initials="JS">
    <w:p w14:paraId="00000036" w14:textId="00000036" w:rsidR="0054280C" w:rsidRDefault="00B71134">
      <w:r>
        <w:rPr>
          <w:rFonts w:ascii="Arial" w:eastAsia="Arial" w:hAnsi="Arial" w:cs="Arial"/>
          <w:sz w:val="22"/>
        </w:rPr>
        <w:t>Table s1 doesn’t present longitudinal analyses</w:t>
      </w:r>
    </w:p>
  </w:comment>
  <w:comment w:id="79" w:author="Briana N Chronister" w:date="2024-10-11T14:33:00Z" w:initials="BC">
    <w:p w14:paraId="00000039" w14:textId="00000039" w:rsidR="0054280C" w:rsidRDefault="00B71134">
      <w:r>
        <w:rPr>
          <w:rFonts w:ascii="Arial" w:eastAsia="Arial" w:hAnsi="Arial" w:cs="Arial"/>
          <w:sz w:val="22"/>
        </w:rPr>
        <w:t xml:space="preserve">EHP requires for all results to be presented, even if they are not statistically significant. Currently the other results for the other tests are not described in the results, but they are discussed as being measured elsewhere. I feel like the journal is going want to see the associations for the other tests, even if they are not stat sig. </w:t>
      </w:r>
    </w:p>
  </w:comment>
  <w:comment w:id="80" w:author="Kayser, Georgia" w:date="2024-10-23T15:20:00Z" w:initials="KG">
    <w:p w14:paraId="0000003A" w14:textId="0000003A" w:rsidR="0054280C" w:rsidRDefault="00B71134">
      <w:r>
        <w:rPr>
          <w:rFonts w:ascii="Arial" w:eastAsia="Arial" w:hAnsi="Arial" w:cs="Arial"/>
          <w:sz w:val="22"/>
        </w:rPr>
        <w:t>discuss with Jasen</w:t>
      </w:r>
    </w:p>
  </w:comment>
  <w:comment w:id="84" w:author="Suarez, Jose" w:date="2025-06-04T16:47:00Z" w:initials="JS">
    <w:p w14:paraId="00000034" w14:textId="00000034" w:rsidR="0054280C" w:rsidRDefault="00B71134">
      <w:r>
        <w:rPr>
          <w:rFonts w:ascii="Arial" w:eastAsia="Arial" w:hAnsi="Arial" w:cs="Arial"/>
          <w:sz w:val="22"/>
        </w:rPr>
        <w:t>Make sure that the title of Figure 2 clarifies that thoes are longitudinal analyses (GEEGLM) and that you are presenting beta coefficients. Also make sure to describe what the beta coefficients mean (assuming that is what you are presenting)</w:t>
      </w:r>
    </w:p>
  </w:comment>
  <w:comment w:id="85" w:author="Suarez, Jose" w:date="2025-06-04T17:22:00Z" w:initials="JS">
    <w:p w14:paraId="00000035" w14:textId="00000035" w:rsidR="0054280C" w:rsidRDefault="00B71134">
      <w:r>
        <w:rPr>
          <w:rFonts w:ascii="Arial" w:eastAsia="Arial" w:hAnsi="Arial" w:cs="Arial"/>
          <w:sz w:val="22"/>
        </w:rPr>
        <w:t>I think the figure should present associations with all 5 neurobehavior domains. Then in the text you can describe the associations with the subtests for inhibition and attention. Then in the supplement, you will need to present a table with the associations of distance and areas with ALL of the subtests. Reviewers will certainly want to see this</w:t>
      </w:r>
    </w:p>
  </w:comment>
  <w:comment w:id="86" w:author="Briana N Chronister" w:date="2024-10-11T15:11:00Z" w:initials="BC">
    <w:p w14:paraId="00000030" w14:textId="00000030" w:rsidR="0054280C" w:rsidRDefault="00B71134">
      <w:r>
        <w:rPr>
          <w:rFonts w:ascii="Arial" w:eastAsia="Arial" w:hAnsi="Arial" w:cs="Arial"/>
          <w:sz w:val="22"/>
        </w:rPr>
        <w:t xml:space="preserve">Since this is non zero, I think this table should include a count of how many people had zero values for each buffer. </w:t>
      </w:r>
    </w:p>
  </w:comment>
  <w:comment w:id="87" w:author="Briana N Chronister" w:date="2024-10-11T15:11:00Z" w:initials="BC">
    <w:p w14:paraId="00000031" w14:textId="00000031" w:rsidR="0054280C" w:rsidRDefault="00B71134">
      <w:r>
        <w:rPr>
          <w:rFonts w:ascii="Arial" w:eastAsia="Arial" w:hAnsi="Arial" w:cs="Arial"/>
          <w:sz w:val="22"/>
        </w:rPr>
        <w:t>Esp since it is described in the discussion</w:t>
      </w:r>
    </w:p>
  </w:comment>
  <w:comment w:id="88" w:author="Kayser, Georgia" w:date="2024-10-23T15:21:00Z" w:initials="KG">
    <w:p w14:paraId="00000032" w14:textId="00000032" w:rsidR="0054280C" w:rsidRDefault="00B71134">
      <w:r>
        <w:rPr>
          <w:rFonts w:ascii="Arial" w:eastAsia="Arial" w:hAnsi="Arial" w:cs="Arial"/>
          <w:sz w:val="22"/>
        </w:rPr>
        <w:t>Jasen</w:t>
      </w:r>
    </w:p>
  </w:comment>
  <w:comment w:id="89" w:author="Suarez, Jose" w:date="2025-06-04T16:39:00Z" w:initials="JS">
    <w:p w14:paraId="0000002E" w14:textId="0000002E" w:rsidR="002D5210" w:rsidRDefault="002D5210">
      <w:r>
        <w:rPr>
          <w:rFonts w:ascii="Arial" w:eastAsia="Arial" w:hAnsi="Arial" w:cs="Arial"/>
          <w:sz w:val="22"/>
        </w:rPr>
        <w:t>Is this an overall Nepsy score? IF so state that</w:t>
      </w:r>
    </w:p>
  </w:comment>
  <w:comment w:id="90" w:author="Kayser, Georgia" w:date="2025-07-17T15:48:00Z" w:initials="KG">
    <w:p w14:paraId="0000002F" w14:textId="0000002F" w:rsidR="002D5210" w:rsidRDefault="002D5210">
      <w:r>
        <w:rPr>
          <w:rFonts w:ascii="Arial" w:eastAsia="Arial" w:hAnsi="Arial" w:cs="Arial"/>
          <w:sz w:val="22"/>
        </w:rPr>
        <w:t>DOne</w:t>
      </w:r>
    </w:p>
  </w:comment>
  <w:comment w:id="91" w:author="Jasen Zhang" w:date="2025-09-19T12:57:00Z" w:initials="JZ">
    <w:p w14:paraId="1BABC2E8" w14:textId="77777777" w:rsidR="0015186E" w:rsidRDefault="0015186E" w:rsidP="0015186E">
      <w:pPr>
        <w:pStyle w:val="CommentText"/>
      </w:pPr>
      <w:r>
        <w:rPr>
          <w:rStyle w:val="CommentReference"/>
        </w:rPr>
        <w:annotationRef/>
      </w:r>
      <w:r>
        <w:t>Should we say mean (SD) for each row? Or describe it in the footer.</w:t>
      </w:r>
    </w:p>
  </w:comment>
  <w:comment w:id="92" w:author="Briana N Chronister" w:date="2024-10-11T14:36:00Z" w:initials="BC">
    <w:p w14:paraId="0000002B" w14:textId="4D121104" w:rsidR="0054280C" w:rsidRDefault="00B71134">
      <w:r>
        <w:rPr>
          <w:rFonts w:ascii="Arial" w:eastAsia="Arial" w:hAnsi="Arial" w:cs="Arial"/>
          <w:sz w:val="22"/>
        </w:rPr>
        <w:t>Is this for the combined scores as well, or just the subdomains?</w:t>
      </w:r>
    </w:p>
  </w:comment>
  <w:comment w:id="93" w:author="Kayser, Georgia" w:date="2024-10-23T15:21:00Z" w:initials="KG">
    <w:p w14:paraId="0000002C" w14:textId="0000002C" w:rsidR="0054280C" w:rsidRDefault="00B71134">
      <w:r>
        <w:rPr>
          <w:rFonts w:ascii="Arial" w:eastAsia="Arial" w:hAnsi="Arial" w:cs="Arial"/>
          <w:sz w:val="22"/>
        </w:rPr>
        <w:t>Jasen</w:t>
      </w:r>
    </w:p>
  </w:comment>
  <w:comment w:id="94" w:author="Jasen Zhang" w:date="2024-10-29T11:40:00Z" w:initials="JZ">
    <w:p w14:paraId="0000002D" w14:textId="0000002D" w:rsidR="0054280C" w:rsidRDefault="00B71134">
      <w:r>
        <w:rPr>
          <w:rFonts w:ascii="Arial" w:eastAsia="Arial" w:hAnsi="Arial" w:cs="Arial"/>
          <w:sz w:val="22"/>
        </w:rPr>
        <w:t>I’m not too knowledgeable about NEPSY itself.</w:t>
      </w:r>
    </w:p>
  </w:comment>
  <w:comment w:id="95" w:author="Suarez, Jose" w:date="2025-06-04T14:36:00Z" w:initials="JS">
    <w:p w14:paraId="00000028" w14:textId="00000028" w:rsidR="0054280C" w:rsidRDefault="00B71134">
      <w:r>
        <w:rPr>
          <w:rFonts w:ascii="Arial" w:eastAsia="Arial" w:hAnsi="Arial" w:cs="Arial"/>
          <w:sz w:val="22"/>
        </w:rPr>
        <w:t>As with you previous paper, this needs to be switched to GLM or linear regression or preferably robust regression (it handles skewed variables the best). ANOVA is not appropriate. You can use GLM or robust regression to replace both ANOVA and Chi square.</w:t>
      </w:r>
    </w:p>
  </w:comment>
  <w:comment w:id="96" w:author="Suarez, Jose" w:date="2025-06-04T14:37:00Z" w:initials="JS">
    <w:p w14:paraId="00000029" w14:textId="00000029" w:rsidR="0054280C" w:rsidRDefault="00B71134">
      <w:r>
        <w:rPr>
          <w:rFonts w:ascii="Arial" w:eastAsia="Arial" w:hAnsi="Arial" w:cs="Arial"/>
          <w:sz w:val="22"/>
        </w:rPr>
        <w:t>Also to make the table simpler, switch to tertiles instead of quartiles</w:t>
      </w:r>
    </w:p>
  </w:comment>
  <w:comment w:id="97" w:author="Kayser, Georgia" w:date="2025-07-17T17:07:00Z" w:initials="KG">
    <w:p w14:paraId="0000002A" w14:textId="0000002A" w:rsidR="0054280C" w:rsidRDefault="00B71134">
      <w:r>
        <w:rPr>
          <w:rFonts w:ascii="Arial" w:eastAsia="Arial" w:hAnsi="Arial" w:cs="Arial"/>
          <w:sz w:val="22"/>
        </w:rPr>
        <w:t>Jasen</w:t>
      </w:r>
    </w:p>
  </w:comment>
  <w:comment w:id="98" w:author="Briana N Chronister" w:date="2024-10-11T14:37:00Z" w:initials="BC">
    <w:p w14:paraId="00000026" w14:textId="00000026" w:rsidR="0054280C" w:rsidRDefault="00B71134">
      <w:r>
        <w:rPr>
          <w:rFonts w:ascii="Arial" w:eastAsia="Arial" w:hAnsi="Arial" w:cs="Arial"/>
          <w:sz w:val="22"/>
        </w:rPr>
        <w:t>Chi square needs to be described in methods</w:t>
      </w:r>
    </w:p>
  </w:comment>
  <w:comment w:id="99" w:author="Jasen Zhang" w:date="2024-10-29T09:54:00Z" w:initials="JZ">
    <w:p w14:paraId="00000027" w14:textId="00000027" w:rsidR="0054280C" w:rsidRDefault="00B71134">
      <w:r>
        <w:rPr>
          <w:rFonts w:ascii="Arial" w:eastAsia="Arial" w:hAnsi="Arial" w:cs="Arial"/>
          <w:sz w:val="22"/>
        </w:rPr>
        <w:t>done</w:t>
      </w:r>
    </w:p>
  </w:comment>
  <w:comment w:id="102" w:author="Suarez, Jose" w:date="2025-06-04T16:49:00Z" w:initials="JS">
    <w:p w14:paraId="00000023" w14:textId="00000023" w:rsidR="0054280C" w:rsidRDefault="00B71134">
      <w:r>
        <w:rPr>
          <w:rFonts w:ascii="Arial" w:eastAsia="Arial" w:hAnsi="Arial" w:cs="Arial"/>
          <w:sz w:val="22"/>
        </w:rPr>
        <w:t>Don’t use “causes” in the manuscript. Too strong of a term… use “is associated with”. Please check for this throughout the text</w:t>
      </w:r>
    </w:p>
  </w:comment>
  <w:comment w:id="100" w:author="Briana N Chronister" w:date="2024-10-11T14:40:00Z" w:initials="BC">
    <w:p w14:paraId="00000024" w14:textId="00000024" w:rsidR="0054280C" w:rsidRDefault="00B71134">
      <w:r>
        <w:rPr>
          <w:rFonts w:ascii="Arial" w:eastAsia="Arial" w:hAnsi="Arial" w:cs="Arial"/>
          <w:sz w:val="22"/>
        </w:rPr>
        <w:t>I am unsure how this is estimated. I thought the beta estimates were interpreted as a doubling of the Surface area or distance variables. Is a doubling for the 100m buffer 10m2?</w:t>
      </w:r>
    </w:p>
  </w:comment>
  <w:comment w:id="101" w:author="Jasen Zhang" w:date="2024-10-29T11:49:00Z" w:initials="JZ">
    <w:p w14:paraId="00000025" w14:textId="00000025" w:rsidR="0054280C" w:rsidRDefault="00B71134">
      <w:r>
        <w:rPr>
          <w:rFonts w:ascii="Arial" w:eastAsia="Arial" w:hAnsi="Arial" w:cs="Arial"/>
          <w:sz w:val="22"/>
        </w:rPr>
        <w:t>We are reporting the effects of DOUBLING the exposure variable (distance or area).</w:t>
      </w:r>
    </w:p>
  </w:comment>
  <w:comment w:id="103" w:author="Suarez, Jose" w:date="2025-06-04T17:23:00Z" w:initials="JS">
    <w:p w14:paraId="00000022" w14:textId="00000022" w:rsidR="0054280C" w:rsidRDefault="00B71134">
      <w:r>
        <w:rPr>
          <w:rFonts w:ascii="Arial" w:eastAsia="Arial" w:hAnsi="Arial" w:cs="Arial"/>
          <w:sz w:val="22"/>
        </w:rPr>
        <w:t xml:space="preserve">Inhibition is a subtest. IIC, INC, ISC are components within the subtest. Make sure this is described in the methods. </w:t>
      </w:r>
    </w:p>
  </w:comment>
  <w:comment w:id="104" w:author="Briana N Chronister" w:date="2024-10-11T14:44:00Z" w:initials="BC">
    <w:p w14:paraId="00000021" w14:textId="00000021" w:rsidR="0054280C" w:rsidRDefault="00B71134">
      <w:r>
        <w:rPr>
          <w:rFonts w:ascii="Arial" w:eastAsia="Arial" w:hAnsi="Arial" w:cs="Arial"/>
          <w:sz w:val="22"/>
        </w:rPr>
        <w:t xml:space="preserve">In the methods, it would be beneficial to include a statement on what the hypothesized directions should be for the distance variables versus the SA variables so reviewers do not get confused. </w:t>
      </w:r>
    </w:p>
  </w:comment>
  <w:comment w:id="105" w:author="Briana N Chronister" w:date="2024-10-11T14:24:00Z" w:initials="BC">
    <w:p w14:paraId="0000001E" w14:textId="0000001E" w:rsidR="0054280C" w:rsidRDefault="00B71134">
      <w:r>
        <w:rPr>
          <w:rFonts w:ascii="Arial" w:eastAsia="Arial" w:hAnsi="Arial" w:cs="Arial"/>
          <w:sz w:val="22"/>
        </w:rPr>
        <w:t>I really like these figures! It could help to have the point estimates too. But fine either way</w:t>
      </w:r>
    </w:p>
  </w:comment>
  <w:comment w:id="106" w:author="Kayser, Georgia" w:date="2024-10-23T15:22:00Z" w:initials="KG">
    <w:p w14:paraId="0000001F" w14:textId="0000001F" w:rsidR="0054280C" w:rsidRDefault="00B71134">
      <w:r>
        <w:rPr>
          <w:rFonts w:ascii="Arial" w:eastAsia="Arial" w:hAnsi="Arial" w:cs="Arial"/>
          <w:sz w:val="22"/>
        </w:rPr>
        <w:t>Jasen</w:t>
      </w:r>
    </w:p>
  </w:comment>
  <w:comment w:id="107" w:author="Jasen Zhang" w:date="2024-10-29T11:50:00Z" w:initials="JZ">
    <w:p w14:paraId="00000020" w14:textId="00000020" w:rsidR="0054280C" w:rsidRDefault="00B71134">
      <w:r>
        <w:rPr>
          <w:rFonts w:ascii="Arial" w:eastAsia="Arial" w:hAnsi="Arial" w:cs="Arial"/>
          <w:sz w:val="22"/>
        </w:rPr>
        <w:t>Point estimates are described already. They are just the point in the middle of the 95% CI.</w:t>
      </w:r>
    </w:p>
  </w:comment>
  <w:comment w:id="108" w:author="Suarez, Jose" w:date="2025-06-04T16:45:00Z" w:initials="JS">
    <w:p w14:paraId="0000001C" w14:textId="0000001C" w:rsidR="0054280C" w:rsidRDefault="00B71134">
      <w:r>
        <w:rPr>
          <w:rFonts w:ascii="Arial" w:eastAsia="Arial" w:hAnsi="Arial" w:cs="Arial"/>
          <w:sz w:val="22"/>
        </w:rPr>
        <w:t>Footnote of fig: Add adjustments</w:t>
      </w:r>
    </w:p>
  </w:comment>
  <w:comment w:id="109" w:author="Kayser, Georgia" w:date="2025-07-17T17:07:00Z" w:initials="KG">
    <w:p w14:paraId="0000001D" w14:textId="0000001D" w:rsidR="0054280C" w:rsidRDefault="00B71134">
      <w:r>
        <w:rPr>
          <w:rFonts w:ascii="Arial" w:eastAsia="Arial" w:hAnsi="Arial" w:cs="Arial"/>
          <w:sz w:val="22"/>
        </w:rPr>
        <w:t>Jasen</w:t>
      </w:r>
    </w:p>
  </w:comment>
  <w:comment w:id="110" w:author="Briana N Chronister" w:date="2024-10-11T14:59:00Z" w:initials="BC">
    <w:p w14:paraId="00000019" w14:textId="00000019" w:rsidR="0054280C" w:rsidRDefault="00B71134">
      <w:r>
        <w:rPr>
          <w:rFonts w:ascii="Arial" w:eastAsia="Arial" w:hAnsi="Arial" w:cs="Arial"/>
          <w:sz w:val="22"/>
        </w:rPr>
        <w:t>Is this a GEE using a logit link funciton?</w:t>
      </w:r>
    </w:p>
  </w:comment>
  <w:comment w:id="111" w:author="Kayser, Georgia" w:date="2024-10-23T15:22:00Z" w:initials="KG">
    <w:p w14:paraId="0000001A" w14:textId="0000001A" w:rsidR="0054280C" w:rsidRDefault="00B71134">
      <w:r>
        <w:rPr>
          <w:rFonts w:ascii="Arial" w:eastAsia="Arial" w:hAnsi="Arial" w:cs="Arial"/>
          <w:sz w:val="22"/>
        </w:rPr>
        <w:t>Jasen</w:t>
      </w:r>
    </w:p>
  </w:comment>
  <w:comment w:id="112" w:author="Jasen Zhang" w:date="2024-10-29T11:51:00Z" w:initials="JZ">
    <w:p w14:paraId="0000001B" w14:textId="0000001B" w:rsidR="0054280C" w:rsidRDefault="00B71134">
      <w:r>
        <w:rPr>
          <w:rFonts w:ascii="Arial" w:eastAsia="Arial" w:hAnsi="Arial" w:cs="Arial"/>
          <w:sz w:val="22"/>
        </w:rPr>
        <w:t>Yes. I clarified this in the methods.</w:t>
      </w:r>
    </w:p>
  </w:comment>
  <w:comment w:id="113" w:author="Briana N Chronister" w:date="2024-10-11T14:47:00Z" w:initials="BC">
    <w:p w14:paraId="00000016" w14:textId="00000016" w:rsidR="0054280C" w:rsidRDefault="00B71134">
      <w:r>
        <w:rPr>
          <w:rFonts w:ascii="Arial" w:eastAsia="Arial" w:hAnsi="Arial" w:cs="Arial"/>
          <w:sz w:val="22"/>
        </w:rPr>
        <w:t>This needs to be described in the stats section</w:t>
      </w:r>
    </w:p>
  </w:comment>
  <w:comment w:id="114" w:author="Briana N Chronister" w:date="2024-10-11T14:53:00Z" w:initials="BC">
    <w:p w14:paraId="00000017" w14:textId="00000017" w:rsidR="0054280C" w:rsidRDefault="00B71134">
      <w:r>
        <w:rPr>
          <w:rFonts w:ascii="Arial" w:eastAsia="Arial" w:hAnsi="Arial" w:cs="Arial"/>
          <w:sz w:val="22"/>
        </w:rPr>
        <w:t>So for the OR model, are you looking at the odds of having a NEPSY score greater than 5, using the lower category as a reference, for a doubling of the distance or SA?</w:t>
      </w:r>
    </w:p>
  </w:comment>
  <w:comment w:id="115" w:author="Jasen Zhang" w:date="2024-10-29T11:03:00Z" w:initials="JZ">
    <w:p w14:paraId="00000018" w14:textId="00000018" w:rsidR="0054280C" w:rsidRDefault="00B71134">
      <w:r>
        <w:rPr>
          <w:rFonts w:ascii="Arial" w:eastAsia="Arial" w:hAnsi="Arial" w:cs="Arial"/>
          <w:sz w:val="22"/>
        </w:rPr>
        <w:t>Yes</w:t>
      </w:r>
    </w:p>
  </w:comment>
  <w:comment w:id="117" w:author="Suarez, Jose" w:date="2025-06-04T17:32:00Z" w:initials="JS">
    <w:p w14:paraId="00000014" w14:textId="00000014" w:rsidR="0054280C" w:rsidRDefault="00B71134">
      <w:r>
        <w:rPr>
          <w:rFonts w:ascii="Arial" w:eastAsia="Arial" w:hAnsi="Arial" w:cs="Arial"/>
          <w:sz w:val="22"/>
        </w:rPr>
        <w:t xml:space="preserve">You should present the prevalences of having scores in the below expected for all subtests in a table. This is important to see how robust are the dichotomous variables. Above I mentioned not using these cutoffs for the logistic but since you calculated these already, I would like to see the prevalences of low scores… it may be ok to use these clinical cutoffs but I would suspect that you will have many participants that are in this category as the mean scores of the NEPSY tend to be lower than those in the US and ths can be seen in Table 2. It may be ok to stick to this cutoff… just be careful to not make comparisons of the prevalences between ESPINA and the US. </w:t>
      </w:r>
    </w:p>
  </w:comment>
  <w:comment w:id="118" w:author="Kayser, Georgia" w:date="2025-07-17T17:11:00Z" w:initials="KG">
    <w:p w14:paraId="00000015" w14:textId="00000015" w:rsidR="0054280C" w:rsidRDefault="00B71134">
      <w:r>
        <w:rPr>
          <w:rFonts w:ascii="Arial" w:eastAsia="Arial" w:hAnsi="Arial" w:cs="Arial"/>
          <w:sz w:val="22"/>
        </w:rPr>
        <w:t xml:space="preserve">Jasen, can check prevalences of low scores, below expected score </w:t>
      </w:r>
    </w:p>
  </w:comment>
  <w:comment w:id="119" w:author="Suarez, Jose" w:date="2025-06-04T17:35:00Z" w:initials="JS">
    <w:p w14:paraId="00000013" w14:textId="00000013" w:rsidR="0054280C" w:rsidRDefault="00B71134">
      <w:r>
        <w:rPr>
          <w:rFonts w:ascii="Arial" w:eastAsia="Arial" w:hAnsi="Arial" w:cs="Arial"/>
          <w:sz w:val="22"/>
        </w:rPr>
        <w:t>Not sure what you mean by “to get similar percentiles”. Clarify. This is one of the advantages of using internal cutoffs instead of the clinical ones. An internal cutoff would be selecting those below the 10th or 15 th percentile within ESPINA (calculated separately by time period and by gender). Alternatively you can do a cut off of &lt;2SD below the mean.   This reminds me, did you mention in the text that you are using the Tscores? Remember that thes are already age and gender appropriate</w:t>
      </w:r>
    </w:p>
  </w:comment>
  <w:comment w:id="120" w:author="Suarez, Jose" w:date="2025-06-04T17:36:00Z" w:initials="JS">
    <w:p w14:paraId="00000012" w14:textId="00000012" w:rsidR="0054280C" w:rsidRDefault="00B71134">
      <w:r>
        <w:rPr>
          <w:rFonts w:ascii="Arial" w:eastAsia="Arial" w:hAnsi="Arial" w:cs="Arial"/>
          <w:sz w:val="22"/>
        </w:rPr>
        <w:t>Also did you account for test retest in Exam 3 for the domain of Attention/INhibitory (and related subtests). This is important</w:t>
      </w:r>
    </w:p>
  </w:comment>
  <w:comment w:id="123" w:author="Suarez, Jose" w:date="2025-06-04T17:42:00Z" w:initials="JS">
    <w:p w14:paraId="00000010" w14:textId="00000010" w:rsidR="0054280C" w:rsidRDefault="00B71134">
      <w:r>
        <w:rPr>
          <w:rFonts w:ascii="Arial" w:eastAsia="Arial" w:hAnsi="Arial" w:cs="Arial"/>
          <w:sz w:val="22"/>
        </w:rPr>
        <w:t>Again, I would first present the ORs for the domains. Domains would be your main outcomes. Then the subtests provide the extra detail. You could state in the models that you will calculate associations with subtests only if you see associations with the domain scores…. Alternatively you can just plan to run the analyses with all subtests, in which case you will have to present the analyses of all subtests (either in the main text or supplement).</w:t>
      </w:r>
    </w:p>
  </w:comment>
  <w:comment w:id="124" w:author="Kayser, Georgia" w:date="2025-07-17T17:18:00Z" w:initials="KG">
    <w:p w14:paraId="00000011" w14:textId="00000011" w:rsidR="0054280C" w:rsidRDefault="00B71134">
      <w:r>
        <w:rPr>
          <w:rFonts w:ascii="Arial" w:eastAsia="Arial" w:hAnsi="Arial" w:cs="Arial"/>
          <w:sz w:val="22"/>
        </w:rPr>
        <w:t>Jasen</w:t>
      </w:r>
    </w:p>
  </w:comment>
  <w:comment w:id="125" w:author="Suarez, Jose" w:date="2025-06-04T17:44:00Z" w:initials="JS">
    <w:p w14:paraId="0000000F" w14:textId="0000000F" w:rsidR="0054280C" w:rsidRDefault="00B71134">
      <w:r>
        <w:rPr>
          <w:rFonts w:ascii="Arial" w:eastAsia="Arial" w:hAnsi="Arial" w:cs="Arial"/>
          <w:sz w:val="22"/>
        </w:rPr>
        <w:t>You can see if the OR findings improve by using different NEPSY cutoffs. The cutoff selection can change the associations.</w:t>
      </w:r>
    </w:p>
  </w:comment>
  <w:comment w:id="126" w:author="Suarez, Jose" w:date="2025-06-04T17:40:00Z" w:initials="JS">
    <w:p w14:paraId="0000000E" w14:textId="0000000E" w:rsidR="0054280C" w:rsidRDefault="00B71134">
      <w:r>
        <w:rPr>
          <w:rFonts w:ascii="Arial" w:eastAsia="Arial" w:hAnsi="Arial" w:cs="Arial"/>
          <w:sz w:val="22"/>
        </w:rPr>
        <w:t>I think it is more informative to present the OR for having a LOW NEPSY score. The premise of this paper is that the closer a participan lives to crops, the worse their neurobehavior. Think about how you want to present your findings. Although greater distance is indeed associated with better neuro…. You could think it if may be better to say, greater proximity to crops was associated with worse neuro. Read the papers we have published previously on how we handled this narrative. I think we have taken both approaches in our papers.</w:t>
      </w:r>
    </w:p>
  </w:comment>
  <w:comment w:id="129" w:author="Briana N Chronister" w:date="2024-10-11T15:06:00Z" w:initials="BC">
    <w:p w14:paraId="0000000D" w14:textId="0000000D" w:rsidR="0054280C" w:rsidRDefault="00B71134">
      <w:r>
        <w:rPr>
          <w:rFonts w:ascii="Arial" w:eastAsia="Arial" w:hAnsi="Arial" w:cs="Arial"/>
          <w:sz w:val="22"/>
        </w:rPr>
        <w:t xml:space="preserve">I feel like there is going to be a question as to how you chose these buffers. It could be beneficial to pre-emptively list why in the methods. </w:t>
      </w:r>
    </w:p>
  </w:comment>
  <w:comment w:id="137" w:author="Briana N Chronister" w:date="2024-10-11T15:09:00Z" w:initials="BC">
    <w:p w14:paraId="0000000C" w14:textId="0000000C" w:rsidR="0054280C" w:rsidRDefault="00B71134">
      <w:r>
        <w:rPr>
          <w:rFonts w:ascii="Arial" w:eastAsia="Arial" w:hAnsi="Arial" w:cs="Arial"/>
          <w:sz w:val="22"/>
        </w:rPr>
        <w:t>Was there meant to be a citation here?</w:t>
      </w:r>
    </w:p>
  </w:comment>
  <w:comment w:id="138" w:author="Briana N Chronister" w:date="2024-10-11T15:09:00Z" w:initials="BC">
    <w:p w14:paraId="00000009" w14:textId="00000009" w:rsidR="0054280C" w:rsidRDefault="00B71134">
      <w:r>
        <w:rPr>
          <w:rFonts w:ascii="Arial" w:eastAsia="Arial" w:hAnsi="Arial" w:cs="Arial"/>
          <w:sz w:val="22"/>
        </w:rPr>
        <w:t xml:space="preserve">This wasn’t the case for all of them, were some of the strongest point estimates (like figure 3) were in the smallest bufers. </w:t>
      </w:r>
    </w:p>
  </w:comment>
  <w:comment w:id="139" w:author="Briana N Chronister" w:date="2024-10-11T15:10:00Z" w:initials="BC">
    <w:p w14:paraId="0000000A" w14:textId="0000000A" w:rsidR="0054280C" w:rsidRDefault="00B71134">
      <w:r>
        <w:rPr>
          <w:rFonts w:ascii="Arial" w:eastAsia="Arial" w:hAnsi="Arial" w:cs="Arial"/>
          <w:sz w:val="22"/>
        </w:rPr>
        <w:t>Like IIC in figure 2</w:t>
      </w:r>
    </w:p>
  </w:comment>
  <w:comment w:id="140" w:author="Kayser, Georgia" w:date="2024-11-20T11:54:00Z" w:initials="KG">
    <w:p w14:paraId="0000000B" w14:textId="0000000B" w:rsidR="0054280C" w:rsidRDefault="00B71134">
      <w:r>
        <w:rPr>
          <w:rFonts w:ascii="Arial" w:eastAsia="Arial" w:hAnsi="Arial" w:cs="Arial"/>
          <w:sz w:val="22"/>
        </w:rPr>
        <w:t>we added often, as IIC is significant at the 50m radii.</w:t>
      </w:r>
    </w:p>
  </w:comment>
  <w:comment w:id="141" w:author="Briana N Chronister" w:date="2024-10-11T15:18:00Z" w:initials="BC">
    <w:p w14:paraId="00000007" w14:textId="00000007" w:rsidR="0054280C" w:rsidRDefault="00B71134">
      <w:r>
        <w:rPr>
          <w:rFonts w:ascii="Arial" w:eastAsia="Arial" w:hAnsi="Arial" w:cs="Arial"/>
          <w:sz w:val="22"/>
        </w:rPr>
        <w:t xml:space="preserve">A way to estimate this would be to run an OR model looking at having greenhouses within 50m compared to those who do not and see if nepsy scores differed. </w:t>
      </w:r>
    </w:p>
  </w:comment>
  <w:comment w:id="142" w:author="Kayser, Georgia" w:date="2024-10-23T15:29:00Z" w:initials="KG">
    <w:p w14:paraId="00000008" w14:textId="00000008" w:rsidR="0054280C" w:rsidRDefault="00B71134">
      <w:r>
        <w:rPr>
          <w:rFonts w:ascii="Arial" w:eastAsia="Arial" w:hAnsi="Arial" w:cs="Arial"/>
          <w:sz w:val="22"/>
        </w:rPr>
        <w:t>We mention this limitation with the data.</w:t>
      </w:r>
    </w:p>
  </w:comment>
  <w:comment w:id="143" w:author="Briana N Chronister" w:date="2024-10-11T15:19:00Z" w:initials="BC">
    <w:p w14:paraId="00000005" w14:textId="00000005" w:rsidR="0054280C" w:rsidRDefault="00B71134">
      <w:r>
        <w:rPr>
          <w:rFonts w:ascii="Arial" w:eastAsia="Arial" w:hAnsi="Arial" w:cs="Arial"/>
          <w:sz w:val="22"/>
        </w:rPr>
        <w:t xml:space="preserve">I think it could be a function of distance as well. There are studies that look at pesticide drift within 200m. So if the buffer is 1000, even if there are greenhouses on the outskirts, due to the lower pesticide drift it will not reach individuals in the households. </w:t>
      </w:r>
    </w:p>
  </w:comment>
  <w:comment w:id="144" w:author="Briana N Chronister" w:date="2024-10-11T16:22:00Z" w:initials="BC">
    <w:p w14:paraId="00000006" w14:textId="00000006" w:rsidR="0054280C" w:rsidRDefault="00B71134">
      <w:r>
        <w:rPr>
          <w:rFonts w:ascii="Arial" w:eastAsia="Arial" w:hAnsi="Arial" w:cs="Arial"/>
          <w:sz w:val="22"/>
        </w:rPr>
        <w:t>I feel like there should be more description of results that look at distance with neurobehavior if there are any</w:t>
      </w:r>
    </w:p>
  </w:comment>
  <w:comment w:id="145" w:author="Briana N Chronister" w:date="2024-10-11T15:29:00Z" w:initials="BC">
    <w:p w14:paraId="00000003" w14:textId="00000003" w:rsidR="0054280C" w:rsidRDefault="00B71134">
      <w:r>
        <w:rPr>
          <w:rFonts w:ascii="Arial" w:eastAsia="Arial" w:hAnsi="Arial" w:cs="Arial"/>
          <w:sz w:val="22"/>
        </w:rPr>
        <w:t>I know we had this for 2016. Is there not info for 2008 about schools for participants?</w:t>
      </w:r>
    </w:p>
  </w:comment>
  <w:comment w:id="146" w:author="Kayser, Georgia" w:date="2024-10-23T15:24:00Z" w:initials="KG">
    <w:p w14:paraId="00000004" w14:textId="00000004" w:rsidR="0054280C" w:rsidRDefault="00B71134">
      <w:r>
        <w:rPr>
          <w:rFonts w:ascii="Arial" w:eastAsia="Arial" w:hAnsi="Arial" w:cs="Arial"/>
          <w:sz w:val="22"/>
        </w:rPr>
        <w:t>no data for 2008</w:t>
      </w:r>
    </w:p>
  </w:comment>
  <w:comment w:id="147" w:author="Suarez, Jose" w:date="2025-06-04T16:34:00Z" w:initials="JS">
    <w:p w14:paraId="00000002" w14:textId="00000002" w:rsidR="0054280C" w:rsidRDefault="00B71134">
      <w:r>
        <w:rPr>
          <w:rFonts w:ascii="Arial" w:eastAsia="Arial" w:hAnsi="Arial" w:cs="Arial"/>
          <w:sz w:val="22"/>
        </w:rPr>
        <w:t>Table can be dropped (see my comment in the text)</w:t>
      </w:r>
    </w:p>
  </w:comment>
  <w:comment w:id="148" w:author="Suarez, Jose" w:date="2025-06-04T16:50:00Z" w:initials="JS">
    <w:p w14:paraId="00000001" w14:textId="00000001" w:rsidR="0054280C" w:rsidRDefault="00B71134">
      <w:r>
        <w:rPr>
          <w:rFonts w:ascii="Arial" w:eastAsia="Arial" w:hAnsi="Arial" w:cs="Arial"/>
          <w:sz w:val="22"/>
        </w:rPr>
        <w:t>Describe in the footnote what the dots lines and shades mean</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Suarez, Jose" w:date="2025-06-04T12:17:00Z" w:initials="JS">
    <w:p w14:paraId="00000001" w14:textId="00000001">
      <w:pPr>
        <w:spacing w:line="240" w:after="0" w:lineRule="auto" w:before="0"/>
        <w:ind w:firstLine="0" w:left="0" w:right="0"/>
        <w:jc w:val="left"/>
      </w:pPr>
      <w:r>
        <w:rPr>
          <w:rFonts w:eastAsia="Arial" w:ascii="Arial" w:hAnsi="Arial" w:cs="Arial"/>
          <w:sz w:val="22"/>
        </w:rPr>
        <w:t xml:space="preserve">“Compilador” is just the role of Raul Harari (not his second last name. Should be removed from the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88" w15:done="0"/>
  <w15:commentEx w15:paraId="00000087" w15:done="0"/>
  <w15:commentEx w15:paraId="45AC0A4B" w15:done="0"/>
  <w15:commentEx w15:paraId="00000086" w15:done="0"/>
  <w15:commentEx w15:paraId="00000085" w15:done="1"/>
  <w15:commentEx w15:paraId="00000083" w15:done="1"/>
  <w15:commentEx w15:paraId="00000084" w15:paraIdParent="00000083" w15:done="1"/>
  <w15:commentEx w15:paraId="00000082" w15:done="0"/>
  <w15:commentEx w15:paraId="00000081" w15:done="0"/>
  <w15:commentEx w15:paraId="00000080" w15:done="0"/>
  <w15:commentEx w15:paraId="0000007E" w15:done="0"/>
  <w15:commentEx w15:paraId="0000007B" w15:done="0"/>
  <w15:commentEx w15:paraId="0000007A" w15:done="1"/>
  <w15:commentEx w15:paraId="00000079" w15:done="0"/>
  <w15:commentEx w15:paraId="44ECCEBA" w15:paraIdParent="00000079" w15:done="0"/>
  <w15:commentEx w15:paraId="0F2F05EB" w15:paraIdParent="00000079" w15:done="0"/>
  <w15:commentEx w15:paraId="654E69BD" w15:paraIdParent="00000079" w15:done="0"/>
  <w15:commentEx w15:paraId="00000077" w15:done="0"/>
  <w15:commentEx w15:paraId="00000076" w15:done="0"/>
  <w15:commentEx w15:paraId="00000073" w15:done="0"/>
  <w15:commentEx w15:paraId="00000074" w15:paraIdParent="00000073" w15:done="0"/>
  <w15:commentEx w15:paraId="00000075" w15:paraIdParent="00000073" w15:done="0"/>
  <w15:commentEx w15:paraId="00000072" w15:done="0"/>
  <w15:commentEx w15:paraId="1B2673F1" w15:paraIdParent="00000072" w15:done="0"/>
  <w15:commentEx w15:paraId="0000006D" w15:done="1"/>
  <w15:commentEx w15:paraId="0000006E" w15:done="1"/>
  <w15:commentEx w15:paraId="0000006F" w15:paraIdParent="0000006E" w15:done="1"/>
  <w15:commentEx w15:paraId="0000006C" w15:done="0"/>
  <w15:commentEx w15:paraId="0000006B" w15:done="0"/>
  <w15:commentEx w15:paraId="0000006A" w15:done="0"/>
  <w15:commentEx w15:paraId="00000068" w15:done="1"/>
  <w15:commentEx w15:paraId="00000069" w15:paraIdParent="00000068" w15:done="1"/>
  <w15:commentEx w15:paraId="00000067" w15:done="0"/>
  <w15:commentEx w15:paraId="00000064" w15:done="1"/>
  <w15:commentEx w15:paraId="00000065" w15:paraIdParent="00000064" w15:done="1"/>
  <w15:commentEx w15:paraId="00000066" w15:paraIdParent="00000064" w15:done="1"/>
  <w15:commentEx w15:paraId="00000061" w15:done="1"/>
  <w15:commentEx w15:paraId="00000062" w15:paraIdParent="00000061" w15:done="1"/>
  <w15:commentEx w15:paraId="00000063" w15:paraIdParent="00000061" w15:done="1"/>
  <w15:commentEx w15:paraId="0000005F" w15:done="1"/>
  <w15:commentEx w15:paraId="00000060" w15:paraIdParent="0000005F" w15:done="1"/>
  <w15:commentEx w15:paraId="0000005B" w15:done="1"/>
  <w15:commentEx w15:paraId="0000005C" w15:paraIdParent="0000005B" w15:done="1"/>
  <w15:commentEx w15:paraId="0000005A" w15:done="0"/>
  <w15:commentEx w15:paraId="548E2362" w15:paraIdParent="0000005A" w15:done="0"/>
  <w15:commentEx w15:paraId="00000058" w15:done="1"/>
  <w15:commentEx w15:paraId="00000059" w15:paraIdParent="00000058" w15:done="1"/>
  <w15:commentEx w15:paraId="00000053" w15:done="1"/>
  <w15:commentEx w15:paraId="00000054" w15:paraIdParent="00000053" w15:done="1"/>
  <w15:commentEx w15:paraId="00000057" w15:paraIdParent="00000053" w15:done="1"/>
  <w15:commentEx w15:paraId="00000050" w15:done="1"/>
  <w15:commentEx w15:paraId="00000051" w15:paraIdParent="00000050" w15:done="1"/>
  <w15:commentEx w15:paraId="00000052" w15:done="1"/>
  <w15:commentEx w15:paraId="6C9D12BD" w15:done="0"/>
  <w15:commentEx w15:paraId="0000004E" w15:done="0"/>
  <w15:commentEx w15:paraId="0000004F" w15:paraIdParent="0000004E" w15:done="0"/>
  <w15:commentEx w15:paraId="553C255E" w15:paraIdParent="0000004E" w15:done="0"/>
  <w15:commentEx w15:paraId="0000004C" w15:done="0"/>
  <w15:commentEx w15:paraId="49BF822C" w15:paraIdParent="0000004C" w15:done="0"/>
  <w15:commentEx w15:paraId="0000004A" w15:done="0"/>
  <w15:commentEx w15:paraId="0000004B" w15:paraIdParent="0000004A" w15:done="0"/>
  <w15:commentEx w15:paraId="4DAD4F82" w15:paraIdParent="0000004A" w15:done="0"/>
  <w15:commentEx w15:paraId="00000047" w15:done="0"/>
  <w15:commentEx w15:paraId="00000048" w15:paraIdParent="00000047" w15:done="0"/>
  <w15:commentEx w15:paraId="00000049" w15:paraIdParent="00000047" w15:done="0"/>
  <w15:commentEx w15:paraId="00000046" w15:done="0"/>
  <w15:commentEx w15:paraId="00000044" w15:done="1"/>
  <w15:commentEx w15:paraId="00000045" w15:done="1"/>
  <w15:commentEx w15:paraId="00000037" w15:done="0"/>
  <w15:commentEx w15:paraId="00000038" w15:paraIdParent="00000037" w15:done="0"/>
  <w15:commentEx w15:paraId="00000036" w15:done="0"/>
  <w15:commentEx w15:paraId="00000039" w15:done="1"/>
  <w15:commentEx w15:paraId="0000003A" w15:paraIdParent="00000039" w15:done="1"/>
  <w15:commentEx w15:paraId="00000034" w15:done="0"/>
  <w15:commentEx w15:paraId="00000035" w15:paraIdParent="00000034" w15:done="0"/>
  <w15:commentEx w15:paraId="00000030" w15:done="1"/>
  <w15:commentEx w15:paraId="00000031" w15:paraIdParent="00000030" w15:done="1"/>
  <w15:commentEx w15:paraId="00000032" w15:paraIdParent="00000030" w15:done="1"/>
  <w15:commentEx w15:paraId="0000002E" w15:done="1"/>
  <w15:commentEx w15:paraId="0000002F" w15:paraIdParent="0000002E" w15:done="1"/>
  <w15:commentEx w15:paraId="1BABC2E8" w15:done="0"/>
  <w15:commentEx w15:paraId="0000002B" w15:done="1"/>
  <w15:commentEx w15:paraId="0000002C" w15:paraIdParent="0000002B" w15:done="1"/>
  <w15:commentEx w15:paraId="0000002D" w15:paraIdParent="0000002B" w15:done="1"/>
  <w15:commentEx w15:paraId="00000028" w15:done="0"/>
  <w15:commentEx w15:paraId="00000029" w15:paraIdParent="00000028" w15:done="0"/>
  <w15:commentEx w15:paraId="0000002A" w15:paraIdParent="00000028" w15:done="0"/>
  <w15:commentEx w15:paraId="00000026" w15:done="1"/>
  <w15:commentEx w15:paraId="00000027" w15:paraIdParent="00000026" w15:done="1"/>
  <w15:commentEx w15:paraId="00000023" w15:done="0"/>
  <w15:commentEx w15:paraId="00000024" w15:done="1"/>
  <w15:commentEx w15:paraId="00000025" w15:paraIdParent="00000024" w15:done="1"/>
  <w15:commentEx w15:paraId="00000022" w15:done="0"/>
  <w15:commentEx w15:paraId="00000021" w15:done="1"/>
  <w15:commentEx w15:paraId="0000001E" w15:done="1"/>
  <w15:commentEx w15:paraId="0000001F" w15:paraIdParent="0000001E" w15:done="1"/>
  <w15:commentEx w15:paraId="00000020" w15:paraIdParent="0000001E" w15:done="1"/>
  <w15:commentEx w15:paraId="0000001C" w15:done="0"/>
  <w15:commentEx w15:paraId="0000001D" w15:paraIdParent="0000001C" w15:done="0"/>
  <w15:commentEx w15:paraId="00000019" w15:done="1"/>
  <w15:commentEx w15:paraId="0000001A" w15:paraIdParent="00000019" w15:done="1"/>
  <w15:commentEx w15:paraId="0000001B" w15:paraIdParent="00000019" w15:done="1"/>
  <w15:commentEx w15:paraId="00000016" w15:done="1"/>
  <w15:commentEx w15:paraId="00000017" w15:paraIdParent="00000016" w15:done="1"/>
  <w15:commentEx w15:paraId="00000018" w15:paraIdParent="00000016" w15:done="1"/>
  <w15:commentEx w15:paraId="00000014" w15:done="0"/>
  <w15:commentEx w15:paraId="00000015" w15:paraIdParent="00000014" w15:done="0"/>
  <w15:commentEx w15:paraId="00000013" w15:done="0"/>
  <w15:commentEx w15:paraId="00000012" w15:done="0"/>
  <w15:commentEx w15:paraId="00000010" w15:done="0"/>
  <w15:commentEx w15:paraId="00000011" w15:paraIdParent="00000010" w15:done="0"/>
  <w15:commentEx w15:paraId="0000000F" w15:done="0"/>
  <w15:commentEx w15:paraId="0000000E" w15:done="0"/>
  <w15:commentEx w15:paraId="0000000D" w15:done="1"/>
  <w15:commentEx w15:paraId="0000000C" w15:done="1"/>
  <w15:commentEx w15:paraId="00000009" w15:done="1"/>
  <w15:commentEx w15:paraId="0000000A" w15:paraIdParent="00000009" w15:done="1"/>
  <w15:commentEx w15:paraId="0000000B" w15:paraIdParent="00000009" w15:done="1"/>
  <w15:commentEx w15:paraId="00000007" w15:done="1"/>
  <w15:commentEx w15:paraId="00000008" w15:paraIdParent="00000007" w15:done="1"/>
  <w15:commentEx w15:paraId="00000005" w15:done="1"/>
  <w15:commentEx w15:paraId="00000006" w15:paraIdParent="00000005" w15:done="1"/>
  <w15:commentEx w15:paraId="00000003" w15:done="1"/>
  <w15:commentEx w15:paraId="00000004" w15:paraIdParent="00000003" w15:done="1"/>
  <w15:commentEx w15:paraId="00000002" w15:done="0"/>
  <w15:commentEx w15:paraId="00000001" w15:done="1"/>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3BA10" w16cex:dateUtc="2025-06-04T02:28:00Z"/>
  <w16cex:commentExtensible w16cex:durableId="4C736DC0" w16cex:dateUtc="2025-06-04T02:25:00Z"/>
  <w16cex:commentExtensible w16cex:durableId="00FD99D3" w16cex:dateUtc="2025-09-19T18:01:00Z"/>
  <w16cex:commentExtensible w16cex:durableId="447552F2" w16cex:dateUtc="2025-06-04T19:03:00Z"/>
  <w16cex:commentExtensible w16cex:durableId="4A7ADCEA" w16cex:dateUtc="2024-10-11T20:38:00Z"/>
  <w16cex:commentExtensible w16cex:durableId="7B89EC4E" w16cex:dateUtc="2024-10-11T20:44:00Z"/>
  <w16cex:commentExtensible w16cex:durableId="2C23D4A6" w16cex:dateUtc="2025-07-18T02:59:00Z"/>
  <w16cex:commentExtensible w16cex:durableId="647B522D" w16cex:dateUtc="2025-06-04T19:14:00Z"/>
  <w16cex:commentExtensible w16cex:durableId="2F055F1E" w16cex:dateUtc="2025-06-04T19:13:00Z"/>
  <w16cex:commentExtensible w16cex:durableId="414DB581" w16cex:dateUtc="2025-06-04T20:27:00Z"/>
  <w16cex:commentExtensible w16cex:durableId="03C6F7FD" w16cex:dateUtc="2025-06-04T20:48:00Z"/>
  <w16cex:commentExtensible w16cex:durableId="5E0C35F0" w16cex:dateUtc="2025-06-04T20:41:00Z"/>
  <w16cex:commentExtensible w16cex:durableId="17ED1E55" w16cex:dateUtc="2024-10-11T21:34:00Z"/>
  <w16cex:commentExtensible w16cex:durableId="2C23A0AA" w16cex:dateUtc="2025-07-17T23:17:00Z"/>
  <w16cex:commentExtensible w16cex:durableId="2C46F65D" w16cex:dateUtc="2025-08-13T18:32:00Z"/>
  <w16cex:commentExtensible w16cex:durableId="29662142" w16cex:dateUtc="2025-09-03T00:43:00Z"/>
  <w16cex:commentExtensible w16cex:durableId="2EBF625D" w16cex:dateUtc="2025-09-03T00:43:00Z"/>
  <w16cex:commentExtensible w16cex:durableId="36D88534" w16cex:dateUtc="2025-06-04T20:47:00Z"/>
  <w16cex:commentExtensible w16cex:durableId="2C238A9B" w16cex:dateUtc="2025-06-04T21:18:00Z"/>
  <w16cex:commentExtensible w16cex:durableId="5EA13135" w16cex:dateUtc="2025-06-04T21:20:00Z"/>
  <w16cex:commentExtensible w16cex:durableId="4CF79C58" w16cex:dateUtc="2025-06-04T21:20:00Z"/>
  <w16cex:commentExtensible w16cex:durableId="2C23D52B" w16cex:dateUtc="2025-07-18T03:01:00Z"/>
  <w16cex:commentExtensible w16cex:durableId="2741700C" w16cex:dateUtc="2025-06-04T20:59:00Z"/>
  <w16cex:commentExtensible w16cex:durableId="2C46F390" w16cex:dateUtc="2025-08-13T18:20:00Z"/>
  <w16cex:commentExtensible w16cex:durableId="38AF86AA" w16cex:dateUtc="2025-06-04T21:09:00Z"/>
  <w16cex:commentExtensible w16cex:durableId="22F67523" w16cex:dateUtc="2025-06-04T21:08:00Z"/>
  <w16cex:commentExtensible w16cex:durableId="2C23885D" w16cex:dateUtc="2025-07-17T21:34:00Z"/>
  <w16cex:commentExtensible w16cex:durableId="2BF4F3A3" w16cex:dateUtc="2025-06-04T21:12:00Z"/>
  <w16cex:commentExtensible w16cex:durableId="0BB94551" w16cex:dateUtc="2025-06-04T21:17:00Z"/>
  <w16cex:commentExtensible w16cex:durableId="43CADEF0" w16cex:dateUtc="2025-06-04T21:18:00Z"/>
  <w16cex:commentExtensible w16cex:durableId="5A910354" w16cex:dateUtc="2025-06-04T21:24:00Z"/>
  <w16cex:commentExtensible w16cex:durableId="2C239ACC" w16cex:dateUtc="2025-07-17T22:52:00Z"/>
  <w16cex:commentExtensible w16cex:durableId="71807F4C" w16cex:dateUtc="2025-06-04T21:29:00Z"/>
  <w16cex:commentExtensible w16cex:durableId="267F485E" w16cex:dateUtc="2024-10-11T21:03:00Z"/>
  <w16cex:commentExtensible w16cex:durableId="2AC38ECD" w16cex:dateUtc="2024-10-23T22:03:00Z"/>
  <w16cex:commentExtensible w16cex:durableId="5C2C4D47" w16cex:dateUtc="2024-10-29T16:43:00Z"/>
  <w16cex:commentExtensible w16cex:durableId="7C5307BF" w16cex:dateUtc="2024-10-11T21:07:00Z"/>
  <w16cex:commentExtensible w16cex:durableId="2AC38EE0" w16cex:dateUtc="2024-10-23T22:04:00Z"/>
  <w16cex:commentExtensible w16cex:durableId="7D806EC0" w16cex:dateUtc="2024-10-29T16:43:00Z"/>
  <w16cex:commentExtensible w16cex:durableId="45B73F8D" w16cex:dateUtc="2024-10-11T21:08:00Z"/>
  <w16cex:commentExtensible w16cex:durableId="7ACB2203" w16cex:dateUtc="2024-10-29T16:44:00Z"/>
  <w16cex:commentExtensible w16cex:durableId="580ECDA3" w16cex:dateUtc="2024-10-11T21:08:00Z"/>
  <w16cex:commentExtensible w16cex:durableId="2BA2570C" w16cex:dateUtc="2025-04-10T21:41:00Z"/>
  <w16cex:commentExtensible w16cex:durableId="2A1C2D73" w16cex:dateUtc="2025-06-04T21:40:00Z"/>
  <w16cex:commentExtensible w16cex:durableId="46EDAF5C" w16cex:dateUtc="2025-09-17T22:13:00Z"/>
  <w16cex:commentExtensible w16cex:durableId="14581128" w16cex:dateUtc="2024-10-11T21:06:00Z"/>
  <w16cex:commentExtensible w16cex:durableId="5DE9D0A2" w16cex:dateUtc="2024-10-29T17:04:00Z"/>
  <w16cex:commentExtensible w16cex:durableId="2BA2579D" w16cex:dateUtc="2024-10-11T21:25:00Z"/>
  <w16cex:commentExtensible w16cex:durableId="2BA2579C" w16cex:dateUtc="2024-10-23T22:20:00Z"/>
  <w16cex:commentExtensible w16cex:durableId="2BA2579B" w16cex:dateUtc="2024-10-29T18:39:00Z"/>
  <w16cex:commentExtensible w16cex:durableId="2BA2579A" w16cex:dateUtc="2024-10-11T21:27:00Z"/>
  <w16cex:commentExtensible w16cex:durableId="2BA25799" w16cex:dateUtc="2024-10-23T22:20:00Z"/>
  <w16cex:commentExtensible w16cex:durableId="2BA25798" w16cex:dateUtc="2024-10-11T21:13:00Z"/>
  <w16cex:commentExtensible w16cex:durableId="14E93999" w16cex:dateUtc="2025-09-17T22:17:00Z"/>
  <w16cex:commentExtensible w16cex:durableId="3E682FB1" w16cex:dateUtc="2025-06-04T21:41:00Z"/>
  <w16cex:commentExtensible w16cex:durableId="2C23AB0A" w16cex:dateUtc="2025-07-18T00:02:00Z"/>
  <w16cex:commentExtensible w16cex:durableId="5833B33C" w16cex:dateUtc="2025-09-17T22:20:00Z"/>
  <w16cex:commentExtensible w16cex:durableId="7DE1F6DB" w16cex:dateUtc="2025-06-04T21:44:00Z"/>
  <w16cex:commentExtensible w16cex:durableId="2C46F4F7" w16cex:dateUtc="2025-08-13T18:26:00Z"/>
  <w16cex:commentExtensible w16cex:durableId="3761DD08" w16cex:dateUtc="2025-06-04T23:21:00Z"/>
  <w16cex:commentExtensible w16cex:durableId="05793147" w16cex:dateUtc="2025-06-04T23:21:00Z"/>
  <w16cex:commentExtensible w16cex:durableId="52BCCFC9" w16cex:dateUtc="2025-09-17T22:53:00Z"/>
  <w16cex:commentExtensible w16cex:durableId="1D04AEF8" w16cex:dateUtc="2025-06-04T23:30:00Z"/>
  <w16cex:commentExtensible w16cex:durableId="2C23AB9E" w16cex:dateUtc="2025-07-18T00:04:00Z"/>
  <w16cex:commentExtensible w16cex:durableId="2C23ADA2" w16cex:dateUtc="2025-07-18T00:13:00Z"/>
  <w16cex:commentExtensible w16cex:durableId="5A9DDF78" w16cex:dateUtc="2025-06-04T23:33:00Z"/>
  <w16cex:commentExtensible w16cex:durableId="78B91E86" w16cex:dateUtc="2025-06-04T23:34:00Z"/>
  <w16cex:commentExtensible w16cex:durableId="3A680731" w16cex:dateUtc="2025-06-04T23:36:00Z"/>
  <w16cex:commentExtensible w16cex:durableId="134BBD2B" w16cex:dateUtc="2025-06-04T23:41:00Z"/>
  <w16cex:commentExtensible w16cex:durableId="646E7B72" w16cex:dateUtc="2025-06-04T23:43:00Z"/>
  <w16cex:commentExtensible w16cex:durableId="667DF11C" w16cex:dateUtc="2025-06-04T23:44:00Z"/>
  <w16cex:commentExtensible w16cex:durableId="3C3FD720" w16cex:dateUtc="2024-10-11T21:33:00Z"/>
  <w16cex:commentExtensible w16cex:durableId="2AC392CE" w16cex:dateUtc="2024-10-23T22:20:00Z"/>
  <w16cex:commentExtensible w16cex:durableId="5C6B67DA" w16cex:dateUtc="2025-06-04T23:47:00Z"/>
  <w16cex:commentExtensible w16cex:durableId="3870985C" w16cex:dateUtc="2025-06-05T00:22:00Z"/>
  <w16cex:commentExtensible w16cex:durableId="1C658DD6" w16cex:dateUtc="2024-10-11T22:11:00Z"/>
  <w16cex:commentExtensible w16cex:durableId="500A823F" w16cex:dateUtc="2024-10-11T22:11:00Z"/>
  <w16cex:commentExtensible w16cex:durableId="2AC392E1" w16cex:dateUtc="2024-10-23T22:21:00Z"/>
  <w16cex:commentExtensible w16cex:durableId="3EF6C5BD" w16cex:dateUtc="2025-06-04T23:39:00Z"/>
  <w16cex:commentExtensible w16cex:durableId="2C2399D3" w16cex:dateUtc="2025-07-17T22:48:00Z"/>
  <w16cex:commentExtensible w16cex:durableId="441E0C47" w16cex:dateUtc="2025-09-19T19:57:00Z"/>
  <w16cex:commentExtensible w16cex:durableId="39F4A599" w16cex:dateUtc="2024-10-11T21:36:00Z"/>
  <w16cex:commentExtensible w16cex:durableId="2AC392EE" w16cex:dateUtc="2024-10-23T22:21:00Z"/>
  <w16cex:commentExtensible w16cex:durableId="6A5D15D1" w16cex:dateUtc="2024-10-29T18:40:00Z"/>
  <w16cex:commentExtensible w16cex:durableId="222BBBC0" w16cex:dateUtc="2025-06-04T21:36:00Z"/>
  <w16cex:commentExtensible w16cex:durableId="0E09B19A" w16cex:dateUtc="2025-06-04T21:37:00Z"/>
  <w16cex:commentExtensible w16cex:durableId="2C23AC37" w16cex:dateUtc="2025-07-18T00:07:00Z"/>
  <w16cex:commentExtensible w16cex:durableId="083E3AA3" w16cex:dateUtc="2024-10-11T21:37:00Z"/>
  <w16cex:commentExtensible w16cex:durableId="6D17D8FB" w16cex:dateUtc="2024-10-29T16:54:00Z"/>
  <w16cex:commentExtensible w16cex:durableId="39241352" w16cex:dateUtc="2025-06-04T23:49:00Z"/>
  <w16cex:commentExtensible w16cex:durableId="29EEDA77" w16cex:dateUtc="2024-10-11T21:40:00Z"/>
  <w16cex:commentExtensible w16cex:durableId="0DCC3E69" w16cex:dateUtc="2024-10-29T18:49:00Z"/>
  <w16cex:commentExtensible w16cex:durableId="6FE7396B" w16cex:dateUtc="2025-06-05T00:23:00Z"/>
  <w16cex:commentExtensible w16cex:durableId="094DD22C" w16cex:dateUtc="2024-10-11T21:44:00Z"/>
  <w16cex:commentExtensible w16cex:durableId="3A0D7958" w16cex:dateUtc="2024-10-11T21:24:00Z"/>
  <w16cex:commentExtensible w16cex:durableId="2AC39322" w16cex:dateUtc="2024-10-23T22:22:00Z"/>
  <w16cex:commentExtensible w16cex:durableId="706E73A7" w16cex:dateUtc="2024-10-29T18:50:00Z"/>
  <w16cex:commentExtensible w16cex:durableId="722D27B7" w16cex:dateUtc="2025-06-04T23:45:00Z"/>
  <w16cex:commentExtensible w16cex:durableId="2C23AC5B" w16cex:dateUtc="2025-07-18T00:07:00Z"/>
  <w16cex:commentExtensible w16cex:durableId="3F867241" w16cex:dateUtc="2024-10-11T21:59:00Z"/>
  <w16cex:commentExtensible w16cex:durableId="2AC3932C" w16cex:dateUtc="2024-10-23T22:22:00Z"/>
  <w16cex:commentExtensible w16cex:durableId="028DDAF9" w16cex:dateUtc="2024-10-29T18:51:00Z"/>
  <w16cex:commentExtensible w16cex:durableId="1511FA8F" w16cex:dateUtc="2024-10-11T21:47:00Z"/>
  <w16cex:commentExtensible w16cex:durableId="4D4041E6" w16cex:dateUtc="2024-10-11T21:53:00Z"/>
  <w16cex:commentExtensible w16cex:durableId="3F7E9DF7" w16cex:dateUtc="2024-10-29T18:03:00Z"/>
  <w16cex:commentExtensible w16cex:durableId="6874CED7" w16cex:dateUtc="2025-06-05T00:32:00Z"/>
  <w16cex:commentExtensible w16cex:durableId="2C23AD59" w16cex:dateUtc="2025-07-18T00:11:00Z"/>
  <w16cex:commentExtensible w16cex:durableId="596CD9A3" w16cex:dateUtc="2025-06-05T00:35:00Z"/>
  <w16cex:commentExtensible w16cex:durableId="6370F5FC" w16cex:dateUtc="2025-06-05T00:36:00Z"/>
  <w16cex:commentExtensible w16cex:durableId="387B6874" w16cex:dateUtc="2025-06-05T00:42:00Z"/>
  <w16cex:commentExtensible w16cex:durableId="2C23AED0" w16cex:dateUtc="2025-07-18T00:18:00Z"/>
  <w16cex:commentExtensible w16cex:durableId="6A75B95D" w16cex:dateUtc="2025-06-05T00:44:00Z"/>
  <w16cex:commentExtensible w16cex:durableId="4B8D46D9" w16cex:dateUtc="2025-06-05T00:40:00Z"/>
  <w16cex:commentExtensible w16cex:durableId="1883D20A" w16cex:dateUtc="2024-10-11T22:06:00Z"/>
  <w16cex:commentExtensible w16cex:durableId="11C171D4" w16cex:dateUtc="2024-10-11T22:09:00Z"/>
  <w16cex:commentExtensible w16cex:durableId="6FE8BC98" w16cex:dateUtc="2024-10-11T22:09:00Z"/>
  <w16cex:commentExtensible w16cex:durableId="1C489938" w16cex:dateUtc="2024-10-11T22:10:00Z"/>
  <w16cex:commentExtensible w16cex:durableId="2AE84C83" w16cex:dateUtc="2024-11-20T19:54:00Z"/>
  <w16cex:commentExtensible w16cex:durableId="567810D9" w16cex:dateUtc="2024-10-11T22:18:00Z"/>
  <w16cex:commentExtensible w16cex:durableId="2AC394F7" w16cex:dateUtc="2024-10-23T22:29:00Z"/>
  <w16cex:commentExtensible w16cex:durableId="650F250C" w16cex:dateUtc="2024-10-11T22:19:00Z"/>
  <w16cex:commentExtensible w16cex:durableId="532EB377" w16cex:dateUtc="2024-10-11T23:22:00Z"/>
  <w16cex:commentExtensible w16cex:durableId="0DCD761C" w16cex:dateUtc="2024-10-11T22:29:00Z"/>
  <w16cex:commentExtensible w16cex:durableId="2AC39399" w16cex:dateUtc="2024-10-23T22:24:00Z"/>
  <w16cex:commentExtensible w16cex:durableId="1D1054A9" w16cex:dateUtc="2025-06-04T23:34:00Z"/>
  <w16cex:commentExtensible w16cex:durableId="0F5E6268" w16cex:dateUtc="2025-06-04T23:50: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68F21DB" w16cex:dateUtc="2025-06-04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88" w16cid:durableId="5603BA10"/>
  <w16cid:commentId w16cid:paraId="00000087" w16cid:durableId="4C736DC0"/>
  <w16cid:commentId w16cid:paraId="45AC0A4B" w16cid:durableId="00FD99D3"/>
  <w16cid:commentId w16cid:paraId="00000086" w16cid:durableId="447552F2"/>
  <w16cid:commentId w16cid:paraId="00000085" w16cid:durableId="4A7ADCEA"/>
  <w16cid:commentId w16cid:paraId="00000083" w16cid:durableId="7B89EC4E"/>
  <w16cid:commentId w16cid:paraId="00000084" w16cid:durableId="2C23D4A6"/>
  <w16cid:commentId w16cid:paraId="00000082" w16cid:durableId="647B522D"/>
  <w16cid:commentId w16cid:paraId="00000081" w16cid:durableId="2F055F1E"/>
  <w16cid:commentId w16cid:paraId="00000080" w16cid:durableId="414DB581"/>
  <w16cid:commentId w16cid:paraId="0000007E" w16cid:durableId="03C6F7FD"/>
  <w16cid:commentId w16cid:paraId="0000007B" w16cid:durableId="5E0C35F0"/>
  <w16cid:commentId w16cid:paraId="0000007A" w16cid:durableId="17ED1E55"/>
  <w16cid:commentId w16cid:paraId="00000079" w16cid:durableId="2C23A0AA"/>
  <w16cid:commentId w16cid:paraId="44ECCEBA" w16cid:durableId="2C46F65D"/>
  <w16cid:commentId w16cid:paraId="0F2F05EB" w16cid:durableId="29662142"/>
  <w16cid:commentId w16cid:paraId="654E69BD" w16cid:durableId="2EBF625D"/>
  <w16cid:commentId w16cid:paraId="00000077" w16cid:durableId="36D88534"/>
  <w16cid:commentId w16cid:paraId="00000076" w16cid:durableId="2C238A9B"/>
  <w16cid:commentId w16cid:paraId="00000073" w16cid:durableId="5EA13135"/>
  <w16cid:commentId w16cid:paraId="00000074" w16cid:durableId="4CF79C58"/>
  <w16cid:commentId w16cid:paraId="00000075" w16cid:durableId="2C23D52B"/>
  <w16cid:commentId w16cid:paraId="00000072" w16cid:durableId="2741700C"/>
  <w16cid:commentId w16cid:paraId="1B2673F1" w16cid:durableId="2C46F390"/>
  <w16cid:commentId w16cid:paraId="0000006D" w16cid:durableId="38AF86AA"/>
  <w16cid:commentId w16cid:paraId="0000006E" w16cid:durableId="22F67523"/>
  <w16cid:commentId w16cid:paraId="0000006F" w16cid:durableId="2C23885D"/>
  <w16cid:commentId w16cid:paraId="0000006C" w16cid:durableId="2BF4F3A3"/>
  <w16cid:commentId w16cid:paraId="0000006B" w16cid:durableId="0BB94551"/>
  <w16cid:commentId w16cid:paraId="0000006A" w16cid:durableId="43CADEF0"/>
  <w16cid:commentId w16cid:paraId="00000068" w16cid:durableId="5A910354"/>
  <w16cid:commentId w16cid:paraId="00000069" w16cid:durableId="2C239ACC"/>
  <w16cid:commentId w16cid:paraId="00000067" w16cid:durableId="71807F4C"/>
  <w16cid:commentId w16cid:paraId="00000064" w16cid:durableId="267F485E"/>
  <w16cid:commentId w16cid:paraId="00000065" w16cid:durableId="2AC38ECD"/>
  <w16cid:commentId w16cid:paraId="00000066" w16cid:durableId="5C2C4D47"/>
  <w16cid:commentId w16cid:paraId="00000061" w16cid:durableId="7C5307BF"/>
  <w16cid:commentId w16cid:paraId="00000062" w16cid:durableId="2AC38EE0"/>
  <w16cid:commentId w16cid:paraId="00000063" w16cid:durableId="7D806EC0"/>
  <w16cid:commentId w16cid:paraId="0000005F" w16cid:durableId="45B73F8D"/>
  <w16cid:commentId w16cid:paraId="00000060" w16cid:durableId="7ACB2203"/>
  <w16cid:commentId w16cid:paraId="0000005B" w16cid:durableId="580ECDA3"/>
  <w16cid:commentId w16cid:paraId="0000005C" w16cid:durableId="2BA2570C"/>
  <w16cid:commentId w16cid:paraId="0000005A" w16cid:durableId="2A1C2D73"/>
  <w16cid:commentId w16cid:paraId="548E2362" w16cid:durableId="46EDAF5C"/>
  <w16cid:commentId w16cid:paraId="00000058" w16cid:durableId="14581128"/>
  <w16cid:commentId w16cid:paraId="00000059" w16cid:durableId="5DE9D0A2"/>
  <w16cid:commentId w16cid:paraId="00000053" w16cid:durableId="2BA2579D"/>
  <w16cid:commentId w16cid:paraId="00000054" w16cid:durableId="2BA2579C"/>
  <w16cid:commentId w16cid:paraId="00000057" w16cid:durableId="2BA2579B"/>
  <w16cid:commentId w16cid:paraId="00000050" w16cid:durableId="2BA2579A"/>
  <w16cid:commentId w16cid:paraId="00000051" w16cid:durableId="2BA25799"/>
  <w16cid:commentId w16cid:paraId="00000052" w16cid:durableId="2BA25798"/>
  <w16cid:commentId w16cid:paraId="6C9D12BD" w16cid:durableId="14E93999"/>
  <w16cid:commentId w16cid:paraId="0000004E" w16cid:durableId="3E682FB1"/>
  <w16cid:commentId w16cid:paraId="0000004F" w16cid:durableId="2C23AB0A"/>
  <w16cid:commentId w16cid:paraId="553C255E" w16cid:durableId="5833B33C"/>
  <w16cid:commentId w16cid:paraId="0000004C" w16cid:durableId="7DE1F6DB"/>
  <w16cid:commentId w16cid:paraId="49BF822C" w16cid:durableId="2C46F4F7"/>
  <w16cid:commentId w16cid:paraId="0000004A" w16cid:durableId="3761DD08"/>
  <w16cid:commentId w16cid:paraId="0000004B" w16cid:durableId="05793147"/>
  <w16cid:commentId w16cid:paraId="4DAD4F82" w16cid:durableId="52BCCFC9"/>
  <w16cid:commentId w16cid:paraId="00000047" w16cid:durableId="1D04AEF8"/>
  <w16cid:commentId w16cid:paraId="00000048" w16cid:durableId="2C23AB9E"/>
  <w16cid:commentId w16cid:paraId="00000049" w16cid:durableId="2C23ADA2"/>
  <w16cid:commentId w16cid:paraId="00000046" w16cid:durableId="5A9DDF78"/>
  <w16cid:commentId w16cid:paraId="00000044" w16cid:durableId="78B91E86"/>
  <w16cid:commentId w16cid:paraId="00000045" w16cid:durableId="3A680731"/>
  <w16cid:commentId w16cid:paraId="00000037" w16cid:durableId="134BBD2B"/>
  <w16cid:commentId w16cid:paraId="00000038" w16cid:durableId="646E7B72"/>
  <w16cid:commentId w16cid:paraId="00000036" w16cid:durableId="667DF11C"/>
  <w16cid:commentId w16cid:paraId="00000039" w16cid:durableId="3C3FD720"/>
  <w16cid:commentId w16cid:paraId="0000003A" w16cid:durableId="2AC392CE"/>
  <w16cid:commentId w16cid:paraId="00000034" w16cid:durableId="5C6B67DA"/>
  <w16cid:commentId w16cid:paraId="00000035" w16cid:durableId="3870985C"/>
  <w16cid:commentId w16cid:paraId="00000030" w16cid:durableId="1C658DD6"/>
  <w16cid:commentId w16cid:paraId="00000031" w16cid:durableId="500A823F"/>
  <w16cid:commentId w16cid:paraId="00000032" w16cid:durableId="2AC392E1"/>
  <w16cid:commentId w16cid:paraId="0000002E" w16cid:durableId="3EF6C5BD"/>
  <w16cid:commentId w16cid:paraId="0000002F" w16cid:durableId="2C2399D3"/>
  <w16cid:commentId w16cid:paraId="1BABC2E8" w16cid:durableId="441E0C47"/>
  <w16cid:commentId w16cid:paraId="0000002B" w16cid:durableId="39F4A599"/>
  <w16cid:commentId w16cid:paraId="0000002C" w16cid:durableId="2AC392EE"/>
  <w16cid:commentId w16cid:paraId="0000002D" w16cid:durableId="6A5D15D1"/>
  <w16cid:commentId w16cid:paraId="00000028" w16cid:durableId="222BBBC0"/>
  <w16cid:commentId w16cid:paraId="00000029" w16cid:durableId="0E09B19A"/>
  <w16cid:commentId w16cid:paraId="0000002A" w16cid:durableId="2C23AC37"/>
  <w16cid:commentId w16cid:paraId="00000026" w16cid:durableId="083E3AA3"/>
  <w16cid:commentId w16cid:paraId="00000027" w16cid:durableId="6D17D8FB"/>
  <w16cid:commentId w16cid:paraId="00000023" w16cid:durableId="39241352"/>
  <w16cid:commentId w16cid:paraId="00000024" w16cid:durableId="29EEDA77"/>
  <w16cid:commentId w16cid:paraId="00000025" w16cid:durableId="0DCC3E69"/>
  <w16cid:commentId w16cid:paraId="00000022" w16cid:durableId="6FE7396B"/>
  <w16cid:commentId w16cid:paraId="00000021" w16cid:durableId="094DD22C"/>
  <w16cid:commentId w16cid:paraId="0000001E" w16cid:durableId="3A0D7958"/>
  <w16cid:commentId w16cid:paraId="0000001F" w16cid:durableId="2AC39322"/>
  <w16cid:commentId w16cid:paraId="00000020" w16cid:durableId="706E73A7"/>
  <w16cid:commentId w16cid:paraId="0000001C" w16cid:durableId="722D27B7"/>
  <w16cid:commentId w16cid:paraId="0000001D" w16cid:durableId="2C23AC5B"/>
  <w16cid:commentId w16cid:paraId="00000019" w16cid:durableId="3F867241"/>
  <w16cid:commentId w16cid:paraId="0000001A" w16cid:durableId="2AC3932C"/>
  <w16cid:commentId w16cid:paraId="0000001B" w16cid:durableId="028DDAF9"/>
  <w16cid:commentId w16cid:paraId="00000016" w16cid:durableId="1511FA8F"/>
  <w16cid:commentId w16cid:paraId="00000017" w16cid:durableId="4D4041E6"/>
  <w16cid:commentId w16cid:paraId="00000018" w16cid:durableId="3F7E9DF7"/>
  <w16cid:commentId w16cid:paraId="00000014" w16cid:durableId="6874CED7"/>
  <w16cid:commentId w16cid:paraId="00000015" w16cid:durableId="2C23AD59"/>
  <w16cid:commentId w16cid:paraId="00000013" w16cid:durableId="596CD9A3"/>
  <w16cid:commentId w16cid:paraId="00000012" w16cid:durableId="6370F5FC"/>
  <w16cid:commentId w16cid:paraId="00000010" w16cid:durableId="387B6874"/>
  <w16cid:commentId w16cid:paraId="00000011" w16cid:durableId="2C23AED0"/>
  <w16cid:commentId w16cid:paraId="0000000F" w16cid:durableId="6A75B95D"/>
  <w16cid:commentId w16cid:paraId="0000000E" w16cid:durableId="4B8D46D9"/>
  <w16cid:commentId w16cid:paraId="0000000D" w16cid:durableId="1883D20A"/>
  <w16cid:commentId w16cid:paraId="0000000C" w16cid:durableId="11C171D4"/>
  <w16cid:commentId w16cid:paraId="00000009" w16cid:durableId="6FE8BC98"/>
  <w16cid:commentId w16cid:paraId="0000000A" w16cid:durableId="1C489938"/>
  <w16cid:commentId w16cid:paraId="0000000B" w16cid:durableId="2AE84C83"/>
  <w16cid:commentId w16cid:paraId="00000007" w16cid:durableId="567810D9"/>
  <w16cid:commentId w16cid:paraId="00000008" w16cid:durableId="2AC394F7"/>
  <w16cid:commentId w16cid:paraId="00000005" w16cid:durableId="650F250C"/>
  <w16cid:commentId w16cid:paraId="00000006" w16cid:durableId="532EB377"/>
  <w16cid:commentId w16cid:paraId="00000003" w16cid:durableId="0DCD761C"/>
  <w16cid:commentId w16cid:paraId="00000004" w16cid:durableId="2AC39399"/>
  <w16cid:commentId w16cid:paraId="00000002" w16cid:durableId="1D1054A9"/>
  <w16cid:commentId w16cid:paraId="00000001" w16cid:durableId="0F5E6268"/>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168F21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5B94" w14:textId="77777777" w:rsidR="00321CCF" w:rsidRDefault="00321CCF">
      <w:r>
        <w:separator/>
      </w:r>
    </w:p>
  </w:endnote>
  <w:endnote w:type="continuationSeparator" w:id="0">
    <w:p w14:paraId="2DEA8DA9" w14:textId="77777777" w:rsidR="00321CCF" w:rsidRDefault="00321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4045C" w14:textId="77777777" w:rsidR="00321CCF" w:rsidRDefault="00321CCF">
      <w:r>
        <w:separator/>
      </w:r>
    </w:p>
  </w:footnote>
  <w:footnote w:type="continuationSeparator" w:id="0">
    <w:p w14:paraId="6B0E6BF2" w14:textId="77777777" w:rsidR="00321CCF" w:rsidRDefault="00321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150821"/>
      <w:docPartObj>
        <w:docPartGallery w:val="Page Numbers (Top of Page)"/>
        <w:docPartUnique/>
      </w:docPartObj>
    </w:sdtPr>
    <w:sdtContent>
      <w:p w14:paraId="4A9E458E" w14:textId="77777777" w:rsidR="0054280C" w:rsidRDefault="00B71134">
        <w:pPr>
          <w:pStyle w:val="Header"/>
          <w:jc w:val="center"/>
        </w:pPr>
        <w:r>
          <w:fldChar w:fldCharType="begin"/>
        </w:r>
        <w:r>
          <w:instrText xml:space="preserve"> PAGE   \* MERGEFORMAT </w:instrText>
        </w:r>
        <w:r>
          <w:fldChar w:fldCharType="separate"/>
        </w:r>
        <w:r>
          <w:t>2</w:t>
        </w:r>
        <w:r>
          <w:fldChar w:fldCharType="end"/>
        </w:r>
      </w:p>
    </w:sdtContent>
  </w:sdt>
  <w:p w14:paraId="34DF3ECA" w14:textId="77777777" w:rsidR="0054280C" w:rsidRDefault="00542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18F5"/>
    <w:multiLevelType w:val="multilevel"/>
    <w:tmpl w:val="2338767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9A92599"/>
    <w:multiLevelType w:val="multilevel"/>
    <w:tmpl w:val="2C4CCBA0"/>
    <w:lvl w:ilvl="0">
      <w:start w:val="2"/>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245163"/>
    <w:multiLevelType w:val="multilevel"/>
    <w:tmpl w:val="1360A4C6"/>
    <w:lvl w:ilvl="0">
      <w:numFmt w:val="bullet"/>
      <w:lvlText w:val=""/>
      <w:lvlJc w:val="left"/>
      <w:pPr>
        <w:ind w:left="720" w:hanging="360"/>
      </w:pPr>
      <w:rPr>
        <w:rFonts w:ascii="Symbol" w:eastAsiaTheme="minorEastAsia"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537BD8"/>
    <w:multiLevelType w:val="multilevel"/>
    <w:tmpl w:val="CF44062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08B78B9"/>
    <w:multiLevelType w:val="multilevel"/>
    <w:tmpl w:val="5A7A756C"/>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A157EEB"/>
    <w:multiLevelType w:val="multilevel"/>
    <w:tmpl w:val="947280B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FC5254B"/>
    <w:multiLevelType w:val="multilevel"/>
    <w:tmpl w:val="BF92B72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3C6394C"/>
    <w:multiLevelType w:val="multilevel"/>
    <w:tmpl w:val="BB5A227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4728098C"/>
    <w:multiLevelType w:val="multilevel"/>
    <w:tmpl w:val="CCAA18FA"/>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D08683C"/>
    <w:multiLevelType w:val="multilevel"/>
    <w:tmpl w:val="232A451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543B2330"/>
    <w:multiLevelType w:val="multilevel"/>
    <w:tmpl w:val="315012F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BB03EA5"/>
    <w:multiLevelType w:val="multilevel"/>
    <w:tmpl w:val="1BB66A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C7429D8"/>
    <w:multiLevelType w:val="multilevel"/>
    <w:tmpl w:val="011CEC3E"/>
    <w:lvl w:ilvl="0">
      <w:start w:val="50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D2D617D"/>
    <w:multiLevelType w:val="multilevel"/>
    <w:tmpl w:val="A3BE2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128112A"/>
    <w:multiLevelType w:val="multilevel"/>
    <w:tmpl w:val="43E6574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75E822B7"/>
    <w:multiLevelType w:val="multilevel"/>
    <w:tmpl w:val="1714B94A"/>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05797848">
    <w:abstractNumId w:val="3"/>
  </w:num>
  <w:num w:numId="2" w16cid:durableId="1477651390">
    <w:abstractNumId w:val="11"/>
  </w:num>
  <w:num w:numId="3" w16cid:durableId="1704399671">
    <w:abstractNumId w:val="4"/>
  </w:num>
  <w:num w:numId="4" w16cid:durableId="1111167248">
    <w:abstractNumId w:val="5"/>
  </w:num>
  <w:num w:numId="5" w16cid:durableId="1118255897">
    <w:abstractNumId w:val="8"/>
  </w:num>
  <w:num w:numId="6" w16cid:durableId="2140879725">
    <w:abstractNumId w:val="12"/>
  </w:num>
  <w:num w:numId="7" w16cid:durableId="201595436">
    <w:abstractNumId w:val="13"/>
  </w:num>
  <w:num w:numId="8" w16cid:durableId="1336809915">
    <w:abstractNumId w:val="10"/>
  </w:num>
  <w:num w:numId="9" w16cid:durableId="110127995">
    <w:abstractNumId w:val="9"/>
  </w:num>
  <w:num w:numId="10" w16cid:durableId="1108038923">
    <w:abstractNumId w:val="7"/>
  </w:num>
  <w:num w:numId="11" w16cid:durableId="1720744230">
    <w:abstractNumId w:val="0"/>
  </w:num>
  <w:num w:numId="12" w16cid:durableId="20055530">
    <w:abstractNumId w:val="14"/>
  </w:num>
  <w:num w:numId="13" w16cid:durableId="1324701306">
    <w:abstractNumId w:val="1"/>
  </w:num>
  <w:num w:numId="14" w16cid:durableId="2001083174">
    <w:abstractNumId w:val="2"/>
  </w:num>
  <w:num w:numId="15" w16cid:durableId="1472289267">
    <w:abstractNumId w:val="6"/>
  </w:num>
  <w:num w:numId="16" w16cid:durableId="95748692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en Zhang">
    <w15:presenceInfo w15:providerId="AD" w15:userId="S::jasenzhang@PersonalMicrosoftSoftware.ucla.edu::523e05bb-596e-44d8-85cb-e66937cbe58d"/>
  </w15:person>
  <w15:person w15:author="Suarez, Jose">
    <w15:presenceInfo w15:providerId="AD" w15:userId="S::jrsuarez@health.ucsd.edu::94bb3ee5-b849-4c4f-b109-170eb7673252"/>
  </w15:person>
  <w15:person w15:author="Briana N Chronister">
    <w15:presenceInfo w15:providerId="AD" w15:userId="S::bcortez@health.ucsd.edu::57f45233-3ee9-4adb-9cd4-a733d86f5de9"/>
  </w15:person>
  <w15:person w15:author="Kayser, Georgia">
    <w15:presenceInfo w15:providerId="AD" w15:userId="S::gkayser@health.ucsd.edu::278e8b28-a7b5-4f41-ae4d-1260bbdb73a4"/>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arez, Jose">
    <w15:presenceInfo w15:providerId="AD" w15:userId="S::jrsuarez@health.ucsd.edu::94bb3ee5-b849-4c4f-b109-170eb7673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80C"/>
    <w:rsid w:val="00001222"/>
    <w:rsid w:val="000059FD"/>
    <w:rsid w:val="00016D3E"/>
    <w:rsid w:val="00021825"/>
    <w:rsid w:val="00024CB1"/>
    <w:rsid w:val="00053ADD"/>
    <w:rsid w:val="0005453D"/>
    <w:rsid w:val="00062DE3"/>
    <w:rsid w:val="00087979"/>
    <w:rsid w:val="00091516"/>
    <w:rsid w:val="000A0203"/>
    <w:rsid w:val="000A10D2"/>
    <w:rsid w:val="000E0DE9"/>
    <w:rsid w:val="000F27F9"/>
    <w:rsid w:val="00114BE7"/>
    <w:rsid w:val="00132F05"/>
    <w:rsid w:val="00133F5B"/>
    <w:rsid w:val="0014649C"/>
    <w:rsid w:val="0015186E"/>
    <w:rsid w:val="00157232"/>
    <w:rsid w:val="00173A99"/>
    <w:rsid w:val="00177671"/>
    <w:rsid w:val="001941A9"/>
    <w:rsid w:val="001B03D6"/>
    <w:rsid w:val="001B0594"/>
    <w:rsid w:val="001D56F8"/>
    <w:rsid w:val="001E4D7C"/>
    <w:rsid w:val="001E5B41"/>
    <w:rsid w:val="001E6CCB"/>
    <w:rsid w:val="001E7D2B"/>
    <w:rsid w:val="001F33CE"/>
    <w:rsid w:val="001F3AE3"/>
    <w:rsid w:val="001F6021"/>
    <w:rsid w:val="00200E1B"/>
    <w:rsid w:val="00203431"/>
    <w:rsid w:val="00210F0F"/>
    <w:rsid w:val="00214348"/>
    <w:rsid w:val="00224D3F"/>
    <w:rsid w:val="00225B33"/>
    <w:rsid w:val="00242434"/>
    <w:rsid w:val="0024329E"/>
    <w:rsid w:val="00243817"/>
    <w:rsid w:val="002461D2"/>
    <w:rsid w:val="00246F12"/>
    <w:rsid w:val="00261789"/>
    <w:rsid w:val="0026454B"/>
    <w:rsid w:val="002704DF"/>
    <w:rsid w:val="0028087D"/>
    <w:rsid w:val="002813EE"/>
    <w:rsid w:val="00291495"/>
    <w:rsid w:val="00292648"/>
    <w:rsid w:val="002C079E"/>
    <w:rsid w:val="002D4C99"/>
    <w:rsid w:val="002D5210"/>
    <w:rsid w:val="002D5D17"/>
    <w:rsid w:val="002E0D57"/>
    <w:rsid w:val="002E1939"/>
    <w:rsid w:val="002E2560"/>
    <w:rsid w:val="002E78B4"/>
    <w:rsid w:val="00305E5A"/>
    <w:rsid w:val="00307345"/>
    <w:rsid w:val="00321CCF"/>
    <w:rsid w:val="00350892"/>
    <w:rsid w:val="00350909"/>
    <w:rsid w:val="00353398"/>
    <w:rsid w:val="00361407"/>
    <w:rsid w:val="0036349F"/>
    <w:rsid w:val="00373327"/>
    <w:rsid w:val="00386A6A"/>
    <w:rsid w:val="003A539B"/>
    <w:rsid w:val="003B0ACE"/>
    <w:rsid w:val="003B2B1B"/>
    <w:rsid w:val="003B3F4B"/>
    <w:rsid w:val="003B4200"/>
    <w:rsid w:val="003C040E"/>
    <w:rsid w:val="003C59F4"/>
    <w:rsid w:val="003D316C"/>
    <w:rsid w:val="003D4D2A"/>
    <w:rsid w:val="003E0FC9"/>
    <w:rsid w:val="003E62C0"/>
    <w:rsid w:val="003F3447"/>
    <w:rsid w:val="00400BC1"/>
    <w:rsid w:val="004413CF"/>
    <w:rsid w:val="00460847"/>
    <w:rsid w:val="004664E1"/>
    <w:rsid w:val="0046719C"/>
    <w:rsid w:val="00470ADD"/>
    <w:rsid w:val="004735E7"/>
    <w:rsid w:val="004775F1"/>
    <w:rsid w:val="004D262F"/>
    <w:rsid w:val="004D5920"/>
    <w:rsid w:val="004E6357"/>
    <w:rsid w:val="004F4341"/>
    <w:rsid w:val="00507FE9"/>
    <w:rsid w:val="0051063D"/>
    <w:rsid w:val="00517E61"/>
    <w:rsid w:val="00522C1F"/>
    <w:rsid w:val="00527D81"/>
    <w:rsid w:val="0054280C"/>
    <w:rsid w:val="005536C0"/>
    <w:rsid w:val="00565590"/>
    <w:rsid w:val="00570EC7"/>
    <w:rsid w:val="00585F30"/>
    <w:rsid w:val="00593EF6"/>
    <w:rsid w:val="005A4BB6"/>
    <w:rsid w:val="005A56CA"/>
    <w:rsid w:val="005B3EAE"/>
    <w:rsid w:val="005B68C9"/>
    <w:rsid w:val="005C4511"/>
    <w:rsid w:val="005C45E9"/>
    <w:rsid w:val="005E7C1C"/>
    <w:rsid w:val="005F27DB"/>
    <w:rsid w:val="006117C5"/>
    <w:rsid w:val="00620298"/>
    <w:rsid w:val="0065413B"/>
    <w:rsid w:val="006609B0"/>
    <w:rsid w:val="006611EB"/>
    <w:rsid w:val="00671B02"/>
    <w:rsid w:val="00673731"/>
    <w:rsid w:val="0069064F"/>
    <w:rsid w:val="006A27E2"/>
    <w:rsid w:val="006D0CAA"/>
    <w:rsid w:val="006E01F6"/>
    <w:rsid w:val="00732B67"/>
    <w:rsid w:val="007331AF"/>
    <w:rsid w:val="00736BD6"/>
    <w:rsid w:val="0075276E"/>
    <w:rsid w:val="0076214A"/>
    <w:rsid w:val="00781889"/>
    <w:rsid w:val="007837A4"/>
    <w:rsid w:val="007A3A46"/>
    <w:rsid w:val="007A6D30"/>
    <w:rsid w:val="007A6F8D"/>
    <w:rsid w:val="007D4C30"/>
    <w:rsid w:val="007E64AE"/>
    <w:rsid w:val="007F417A"/>
    <w:rsid w:val="007F634E"/>
    <w:rsid w:val="0081451C"/>
    <w:rsid w:val="00817EE4"/>
    <w:rsid w:val="00821441"/>
    <w:rsid w:val="00824F7C"/>
    <w:rsid w:val="00830681"/>
    <w:rsid w:val="0086251F"/>
    <w:rsid w:val="00862E93"/>
    <w:rsid w:val="00866B1A"/>
    <w:rsid w:val="00887952"/>
    <w:rsid w:val="00897B3D"/>
    <w:rsid w:val="008A0E9D"/>
    <w:rsid w:val="008A7FB4"/>
    <w:rsid w:val="008B486B"/>
    <w:rsid w:val="008B71BE"/>
    <w:rsid w:val="008D3E27"/>
    <w:rsid w:val="008F1765"/>
    <w:rsid w:val="009117BA"/>
    <w:rsid w:val="0093094B"/>
    <w:rsid w:val="00940677"/>
    <w:rsid w:val="00982559"/>
    <w:rsid w:val="00991453"/>
    <w:rsid w:val="009939F2"/>
    <w:rsid w:val="00995CB0"/>
    <w:rsid w:val="009A6EB7"/>
    <w:rsid w:val="009B229C"/>
    <w:rsid w:val="009C2495"/>
    <w:rsid w:val="009E269A"/>
    <w:rsid w:val="009E6F58"/>
    <w:rsid w:val="009F72E0"/>
    <w:rsid w:val="009F78DB"/>
    <w:rsid w:val="00A10E2B"/>
    <w:rsid w:val="00A220B4"/>
    <w:rsid w:val="00A36021"/>
    <w:rsid w:val="00A7078F"/>
    <w:rsid w:val="00A718D7"/>
    <w:rsid w:val="00A72569"/>
    <w:rsid w:val="00A73875"/>
    <w:rsid w:val="00A73F06"/>
    <w:rsid w:val="00A82C53"/>
    <w:rsid w:val="00A859C9"/>
    <w:rsid w:val="00AA6EC8"/>
    <w:rsid w:val="00AC0733"/>
    <w:rsid w:val="00AE21A0"/>
    <w:rsid w:val="00AE5DF3"/>
    <w:rsid w:val="00B0444E"/>
    <w:rsid w:val="00B12B9C"/>
    <w:rsid w:val="00B2414F"/>
    <w:rsid w:val="00B44935"/>
    <w:rsid w:val="00B57757"/>
    <w:rsid w:val="00B71134"/>
    <w:rsid w:val="00B71B88"/>
    <w:rsid w:val="00B812D4"/>
    <w:rsid w:val="00B8749D"/>
    <w:rsid w:val="00B90F3B"/>
    <w:rsid w:val="00BA470B"/>
    <w:rsid w:val="00BC2B22"/>
    <w:rsid w:val="00BC44FF"/>
    <w:rsid w:val="00BC6573"/>
    <w:rsid w:val="00BE0CF1"/>
    <w:rsid w:val="00C11DBC"/>
    <w:rsid w:val="00C138F8"/>
    <w:rsid w:val="00C30E22"/>
    <w:rsid w:val="00C32B1C"/>
    <w:rsid w:val="00C35B4E"/>
    <w:rsid w:val="00C4101E"/>
    <w:rsid w:val="00C441B8"/>
    <w:rsid w:val="00C45A05"/>
    <w:rsid w:val="00C6419D"/>
    <w:rsid w:val="00CB1783"/>
    <w:rsid w:val="00CF3197"/>
    <w:rsid w:val="00CF40E3"/>
    <w:rsid w:val="00CF4730"/>
    <w:rsid w:val="00D03C5E"/>
    <w:rsid w:val="00D14550"/>
    <w:rsid w:val="00D17DCF"/>
    <w:rsid w:val="00D30A21"/>
    <w:rsid w:val="00D53460"/>
    <w:rsid w:val="00D56636"/>
    <w:rsid w:val="00D74E65"/>
    <w:rsid w:val="00D76B0E"/>
    <w:rsid w:val="00D807DF"/>
    <w:rsid w:val="00D9528B"/>
    <w:rsid w:val="00D97CC0"/>
    <w:rsid w:val="00DB136B"/>
    <w:rsid w:val="00DB482A"/>
    <w:rsid w:val="00DB6FA9"/>
    <w:rsid w:val="00DC5943"/>
    <w:rsid w:val="00E158B1"/>
    <w:rsid w:val="00E36D7B"/>
    <w:rsid w:val="00E454F9"/>
    <w:rsid w:val="00E514B0"/>
    <w:rsid w:val="00E5214D"/>
    <w:rsid w:val="00E61B38"/>
    <w:rsid w:val="00E64E62"/>
    <w:rsid w:val="00EA43FA"/>
    <w:rsid w:val="00EB2A88"/>
    <w:rsid w:val="00ED6629"/>
    <w:rsid w:val="00EE007A"/>
    <w:rsid w:val="00EE0EF1"/>
    <w:rsid w:val="00EE402C"/>
    <w:rsid w:val="00EE6E01"/>
    <w:rsid w:val="00F131B1"/>
    <w:rsid w:val="00F27720"/>
    <w:rsid w:val="00F27ECC"/>
    <w:rsid w:val="00F304D1"/>
    <w:rsid w:val="00F42F7E"/>
    <w:rsid w:val="00F63AF7"/>
    <w:rsid w:val="00F73DA5"/>
    <w:rsid w:val="00F75DA3"/>
    <w:rsid w:val="00F762F9"/>
    <w:rsid w:val="00F9468F"/>
    <w:rsid w:val="00FA7474"/>
    <w:rsid w:val="00FA7C63"/>
    <w:rsid w:val="00FB3453"/>
    <w:rsid w:val="00FC096C"/>
    <w:rsid w:val="00FF1F27"/>
    <w:rsid w:val="00FF5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DC127"/>
  <w15:docId w15:val="{01B81674-C336-4444-B60E-CE3B1ABA3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rmalWeb">
    <w:name w:val="Normal (Web)"/>
    <w:basedOn w:val="Normal"/>
    <w:uiPriority w:val="99"/>
    <w:unhideWhenUsed/>
    <w:pPr>
      <w:spacing w:before="100" w:beforeAutospacing="1" w:after="100" w:afterAutospacing="1"/>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rFonts w:asciiTheme="minorHAnsi" w:hAnsiTheme="minorHAnsi" w:cstheme="minorBidi"/>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EndNoteBibliography">
    <w:name w:val="EndNote Bibliography"/>
    <w:basedOn w:val="Normal"/>
    <w:link w:val="EndNoteBibliographyChar"/>
    <w:rPr>
      <w:rFonts w:ascii="Calibri" w:eastAsiaTheme="minorHAnsi" w:hAnsi="Calibri" w:cs="Calibri"/>
    </w:rPr>
  </w:style>
  <w:style w:type="character" w:customStyle="1" w:styleId="EndNoteBibliographyChar">
    <w:name w:val="EndNote Bibliography Char"/>
    <w:basedOn w:val="DefaultParagraphFont"/>
    <w:link w:val="EndNoteBibliography"/>
    <w:rPr>
      <w:rFonts w:ascii="Calibri" w:eastAsiaTheme="minorHAnsi" w:hAnsi="Calibri" w:cs="Calibri"/>
      <w:lang w:eastAsia="en-US"/>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apple-converted-space">
    <w:name w:val="apple-converted-space"/>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Pr>
      <w:rFonts w:asciiTheme="minorHAnsi" w:hAnsiTheme="minorHAnsi" w:cstheme="minorBidi"/>
      <w:sz w:val="22"/>
      <w:szCs w:val="22"/>
      <w:lang w:eastAsia="ko-K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character" w:styleId="LineNumber">
    <w:name w:val="line number"/>
    <w:basedOn w:val="DefaultParagraphFont"/>
    <w:uiPriority w:val="99"/>
    <w:semiHidden/>
    <w:unhideWhenUsed/>
  </w:style>
  <w:style w:type="paragraph" w:styleId="Bibliography">
    <w:name w:val="Bibliography"/>
    <w:basedOn w:val="Normal"/>
    <w:next w:val="Normal"/>
    <w:uiPriority w:val="37"/>
    <w:unhideWhenUsed/>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70.png"/><Relationship Id="rId3" Type="http://schemas.openxmlformats.org/officeDocument/2006/relationships/numbering" Target="numbering.xml"/><Relationship Id="rId34" Type="http://schemas.onlyoffice.com/peopleDocument" Target="peopleDocument.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3.png"/><Relationship Id="rId25" Type="http://schemas.openxmlformats.org/officeDocument/2006/relationships/image" Target="media/image5.png"/><Relationship Id="rId33" Type="http://schemas.onlyoffice.com/commentsDocument" Target="commentsDocument.xml"/><Relationship Id="rId2" Type="http://schemas.openxmlformats.org/officeDocument/2006/relationships/customXml" Target="../customXml/item2.xml"/><Relationship Id="rId16" Type="http://schemas.openxmlformats.org/officeDocument/2006/relationships/image" Target="media/image20.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60.png"/><Relationship Id="rId32" Type="http://schemas.onlyoffice.com/commentsExtendedDocument" Target="commentsExtendedDocument.xml"/><Relationship Id="rId5" Type="http://schemas.openxmlformats.org/officeDocument/2006/relationships/settings" Target="settings.xml"/><Relationship Id="rId15" Type="http://schemas.openxmlformats.org/officeDocument/2006/relationships/image" Target="media/image2.png"/><Relationship Id="rId28" Type="http://schemas.openxmlformats.org/officeDocument/2006/relationships/fontTable" Target="fontTable.xml"/><Relationship Id="rId10" Type="http://schemas.microsoft.com/office/2011/relationships/commentsExtended" Target="commentsExtended.xml"/><Relationship Id="rId31" Type="http://schemas.onlyoffice.com/commentsExtensibleDocument" Target="commentsExtensibleDocument.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 Id="rId35" Type="http://schemas.onlyoffice.com/commentsIdsDocument" Target="commentsIdsDocumen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ekkE/5xSL2YtCa84KR1i/pwnQg==">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</go:docsCustomData>
</go:gDocsCustomXmlDataStorage>
</file>

<file path=customXml/itemProps1.xml><?xml version="1.0" encoding="utf-8"?>
<ds:datastoreItem xmlns:ds="http://schemas.openxmlformats.org/officeDocument/2006/customXml" ds:itemID="{7B99F446-AEE1-4A3D-9D6E-7C59F9E8E3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27</Pages>
  <Words>34034</Words>
  <Characters>203530</Characters>
  <Application>Microsoft Office Word</Application>
  <DocSecurity>0</DocSecurity>
  <Lines>6360</Lines>
  <Paragraphs>4399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Wei</dc:creator>
  <cp:keywords/>
  <dc:description/>
  <cp:lastModifiedBy>Jasen Zhang</cp:lastModifiedBy>
  <cp:revision>239</cp:revision>
  <dcterms:created xsi:type="dcterms:W3CDTF">2025-08-13T18:50:00Z</dcterms:created>
  <dcterms:modified xsi:type="dcterms:W3CDTF">2025-10-20T18:16:00Z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id="O8yTnQIp"/&gt;&lt;style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