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commentsIdsDocument.xml" ContentType="application/vnd.openxmlformats-officedocument.wordprocessingml.commentsIds+xml"/>
  <Override PartName="/customXml/itemProps2.xml" ContentType="application/vnd.openxmlformats-officedocument.customXml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endnotes.xml" ContentType="application/vnd.openxmlformats-officedocument.wordprocessingml.endnotes+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numbering.xml" ContentType="application/vnd.openxmlformats-officedocument.wordprocessingml.numbering+xml"/>
  <Override PartName="/word/commentsDocument.xml" ContentType="application/vnd.openxmlformats-officedocument.wordprocessingml.comments+xml"/>
  <Override PartName="/word/peopleDocument.xml" ContentType="application/vnd.openxmlformats-officedocument.wordprocessingml.people+xml"/>
  <Override PartName="/word/people.xml" ContentType="application/vnd.openxmlformats-officedocument.wordprocessingml.people+xml"/>
  <Override PartName="/word/header1.xml" ContentType="application/vnd.openxmlformats-officedocument.wordprocessingml.header+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t xml:space="preserve">Title:</w:t>
      </w:r>
      <w:r>
        <w:rPr>
          <w:b/>
          <w:color w:val="000000"/>
          <w:sz w:val="22"/>
          <w:szCs w:val="22"/>
        </w:rPr>
        <w:t xml:space="preserve"> </w:t>
      </w:r>
      <w:r>
        <w:rPr>
          <w:b/>
          <w:color w:val="000000"/>
          <w:sz w:val="22"/>
          <w:szCs w:val="22"/>
        </w:rPr>
        <w:t xml:space="preserve">Proximity to </w:t>
      </w:r>
      <w:r>
        <w:rPr>
          <w:b/>
          <w:color w:val="000000"/>
          <w:sz w:val="22"/>
          <w:szCs w:val="22"/>
        </w:rPr>
        <w:t xml:space="preserve">Pesticide</w:t>
      </w:r>
      <w:r>
        <w:rPr>
          <w:b/>
          <w:color w:val="000000"/>
          <w:sz w:val="22"/>
          <w:szCs w:val="22"/>
        </w:rPr>
        <w:t xml:space="preserve">-Intensive Floriculture</w:t>
      </w:r>
      <w:r>
        <w:rPr>
          <w:b/>
          <w:color w:val="000000"/>
          <w:sz w:val="22"/>
          <w:szCs w:val="22"/>
        </w:rPr>
        <w:t xml:space="preserve"> Spray Sites </w:t>
      </w:r>
      <w:r>
        <w:rPr>
          <w:b/>
          <w:color w:val="000000"/>
          <w:sz w:val="22"/>
          <w:szCs w:val="22"/>
        </w:rPr>
        <w:t xml:space="preserve">and Neurobehavioral Performance</w:t>
      </w:r>
      <w:r>
        <w:rPr>
          <w:b/>
          <w:color w:val="000000"/>
          <w:sz w:val="22"/>
          <w:szCs w:val="22"/>
        </w:rPr>
        <w:t xml:space="preserve">: A Longitudinal Analysis from Childhood to Adolescence in Ecuador </w:t>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r>
      <w:r>
        <w:rPr>
          <w:b/>
          <w:color w:val="000000"/>
          <w:sz w:val="22"/>
          <w:szCs w:val="22"/>
        </w:rPr>
      </w:r>
    </w:p>
    <w:p>
      <w:pPr>
        <w:pBdr/>
        <w:spacing/>
        <w:ind/>
        <w:jc w:val="both"/>
        <w:rPr>
          <w:color w:val="000000"/>
          <w:sz w:val="22"/>
          <w:szCs w:val="22"/>
          <w:vertAlign w:val="superscript"/>
        </w:rPr>
      </w:pPr>
      <w:r>
        <w:rPr>
          <w:b/>
          <w:color w:val="000000"/>
          <w:sz w:val="22"/>
          <w:szCs w:val="22"/>
        </w:rPr>
        <w:t xml:space="preserve">Authors: Kayser, </w:t>
      </w:r>
      <w:r>
        <w:rPr>
          <w:b/>
          <w:color w:val="000000"/>
          <w:sz w:val="22"/>
          <w:szCs w:val="22"/>
        </w:rPr>
        <w:t xml:space="preserve">G.L.</w:t>
      </w:r>
      <w:r>
        <w:rPr>
          <w:b/>
          <w:color w:val="000000"/>
          <w:sz w:val="22"/>
          <w:szCs w:val="22"/>
          <w:vertAlign w:val="superscript"/>
        </w:rPr>
        <w:t xml:space="preserve">a</w:t>
      </w:r>
      <w:r>
        <w:rPr>
          <w:b/>
          <w:color w:val="000000"/>
          <w:sz w:val="22"/>
          <w:szCs w:val="22"/>
        </w:rPr>
        <w:t xml:space="preserve">, Zhang, </w:t>
      </w:r>
      <w:r>
        <w:rPr>
          <w:b/>
          <w:color w:val="000000"/>
          <w:sz w:val="22"/>
          <w:szCs w:val="22"/>
        </w:rPr>
        <w:t xml:space="preserve">J.</w:t>
      </w:r>
      <w:r>
        <w:rPr>
          <w:b/>
          <w:color w:val="000000"/>
          <w:sz w:val="22"/>
          <w:szCs w:val="22"/>
          <w:vertAlign w:val="superscript"/>
        </w:rPr>
        <w:t xml:space="preserve">a</w:t>
      </w:r>
      <w:r>
        <w:rPr>
          <w:b/>
          <w:color w:val="000000"/>
          <w:sz w:val="22"/>
          <w:szCs w:val="22"/>
        </w:rPr>
        <w:t xml:space="preserve">, Calderón-Villarreal </w:t>
      </w:r>
      <w:r>
        <w:rPr>
          <w:b/>
          <w:color w:val="000000"/>
          <w:sz w:val="22"/>
          <w:szCs w:val="22"/>
        </w:rPr>
        <w:t xml:space="preserve">A.</w:t>
      </w:r>
      <w:r>
        <w:rPr>
          <w:b/>
          <w:color w:val="000000"/>
          <w:sz w:val="22"/>
          <w:szCs w:val="22"/>
          <w:vertAlign w:val="superscript"/>
        </w:rPr>
        <w:t xml:space="preserve">a</w:t>
      </w:r>
      <w:r>
        <w:rPr>
          <w:b/>
          <w:color w:val="000000"/>
          <w:sz w:val="22"/>
          <w:szCs w:val="22"/>
        </w:rPr>
        <w:t xml:space="preserve">, Wei, </w:t>
      </w:r>
      <w:r>
        <w:rPr>
          <w:b/>
          <w:color w:val="000000"/>
          <w:sz w:val="22"/>
          <w:szCs w:val="22"/>
        </w:rPr>
        <w:t xml:space="preserve">J.</w:t>
      </w:r>
      <w:r>
        <w:rPr>
          <w:b/>
          <w:color w:val="000000"/>
          <w:sz w:val="22"/>
          <w:szCs w:val="22"/>
          <w:vertAlign w:val="superscript"/>
        </w:rPr>
        <w:t xml:space="preserve">a</w:t>
      </w:r>
      <w:r>
        <w:rPr>
          <w:b/>
          <w:color w:val="000000"/>
          <w:sz w:val="22"/>
          <w:szCs w:val="22"/>
        </w:rPr>
        <w:t xml:space="preserve">, Chronister, </w:t>
      </w:r>
      <w:r>
        <w:rPr>
          <w:b/>
          <w:color w:val="000000"/>
          <w:sz w:val="22"/>
          <w:szCs w:val="22"/>
        </w:rPr>
        <w:t xml:space="preserve">B.N.C.</w:t>
      </w:r>
      <w:r>
        <w:rPr>
          <w:b/>
          <w:color w:val="000000"/>
          <w:sz w:val="22"/>
          <w:szCs w:val="22"/>
          <w:vertAlign w:val="superscript"/>
        </w:rPr>
        <w:t xml:space="preserve">a</w:t>
      </w:r>
      <w:r>
        <w:rPr>
          <w:b/>
          <w:color w:val="000000"/>
          <w:sz w:val="22"/>
          <w:szCs w:val="22"/>
        </w:rPr>
        <w:t xml:space="preserve">, </w:t>
      </w:r>
      <w:r>
        <w:rPr>
          <w:b/>
          <w:color w:val="000000"/>
          <w:sz w:val="22"/>
          <w:szCs w:val="22"/>
        </w:rPr>
        <w:t xml:space="preserve">Checkoway</w:t>
      </w:r>
      <w:r>
        <w:rPr>
          <w:b/>
          <w:color w:val="000000"/>
          <w:sz w:val="22"/>
          <w:szCs w:val="22"/>
        </w:rPr>
        <w:t xml:space="preserve">, </w:t>
      </w:r>
      <w:r>
        <w:rPr>
          <w:b/>
          <w:color w:val="000000"/>
          <w:sz w:val="22"/>
          <w:szCs w:val="22"/>
        </w:rPr>
        <w:t xml:space="preserve">H.</w:t>
      </w:r>
      <w:r>
        <w:rPr>
          <w:b/>
          <w:color w:val="000000"/>
          <w:sz w:val="22"/>
          <w:szCs w:val="22"/>
          <w:vertAlign w:val="superscript"/>
        </w:rPr>
        <w:t xml:space="preserve">a</w:t>
      </w:r>
      <w:r>
        <w:rPr>
          <w:b/>
          <w:color w:val="000000"/>
          <w:sz w:val="22"/>
          <w:szCs w:val="22"/>
        </w:rPr>
        <w:t xml:space="preserve">, </w:t>
      </w:r>
      <w:r>
        <w:rPr>
          <w:b/>
          <w:color w:val="000000"/>
          <w:sz w:val="22"/>
          <w:szCs w:val="22"/>
        </w:rPr>
        <w:t xml:space="preserve">Suarez-Torres, J.</w:t>
      </w:r>
      <w:r>
        <w:rPr>
          <w:b/>
          <w:color w:val="000000"/>
          <w:sz w:val="22"/>
          <w:szCs w:val="22"/>
          <w:vertAlign w:val="superscript"/>
        </w:rPr>
        <w:t xml:space="preserve"> </w:t>
      </w:r>
      <w:r>
        <w:rPr>
          <w:b/>
          <w:color w:val="000000"/>
          <w:sz w:val="22"/>
          <w:szCs w:val="22"/>
          <w:vertAlign w:val="superscript"/>
        </w:rPr>
        <w:t xml:space="preserve">b</w:t>
      </w:r>
      <w:r>
        <w:rPr>
          <w:b/>
          <w:color w:val="000000"/>
          <w:sz w:val="22"/>
          <w:szCs w:val="22"/>
        </w:rPr>
        <w:t xml:space="preserve">, De La Cruz, F.</w:t>
      </w:r>
      <w:r>
        <w:rPr>
          <w:b/>
          <w:color w:val="000000"/>
          <w:sz w:val="22"/>
          <w:szCs w:val="22"/>
          <w:vertAlign w:val="superscript"/>
        </w:rPr>
        <w:t xml:space="preserve"> </w:t>
      </w:r>
      <w:r>
        <w:rPr>
          <w:b/>
          <w:color w:val="000000"/>
          <w:sz w:val="22"/>
          <w:szCs w:val="22"/>
          <w:vertAlign w:val="superscript"/>
        </w:rPr>
        <w:t xml:space="preserve">b</w:t>
      </w:r>
      <w:r>
        <w:rPr>
          <w:b/>
          <w:color w:val="000000"/>
          <w:sz w:val="22"/>
          <w:szCs w:val="22"/>
        </w:rPr>
        <w:t xml:space="preserve">, Suarez-Lopez, J.R.</w:t>
      </w:r>
      <w:r>
        <w:rPr>
          <w:b/>
          <w:color w:val="000000"/>
          <w:sz w:val="22"/>
          <w:szCs w:val="22"/>
          <w:vertAlign w:val="superscript"/>
        </w:rPr>
        <w:t xml:space="preserve"> a  </w:t>
      </w:r>
      <w:r>
        <w:rPr>
          <w:color w:val="000000"/>
          <w:sz w:val="22"/>
          <w:szCs w:val="22"/>
          <w:vertAlign w:val="superscript"/>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r>
      <w:r>
        <w:rPr>
          <w:b/>
          <w:color w:val="000000"/>
          <w:sz w:val="22"/>
          <w:szCs w:val="22"/>
        </w:rPr>
      </w:r>
    </w:p>
    <w:p>
      <w:pPr>
        <w:pBdr/>
        <w:spacing/>
        <w:ind/>
        <w:jc w:val="both"/>
        <w:rPr>
          <w:b/>
          <w:color w:val="000000"/>
          <w:sz w:val="22"/>
          <w:szCs w:val="22"/>
        </w:rPr>
      </w:pPr>
      <w:r>
        <w:rPr>
          <w:b/>
          <w:color w:val="000000"/>
          <w:sz w:val="22"/>
          <w:szCs w:val="22"/>
        </w:rPr>
        <w:t xml:space="preserve">Author Affiliations: </w:t>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2"/>
          <w:szCs w:val="22"/>
        </w:rPr>
      </w:pPr>
      <w:r>
        <w:rPr>
          <w:b/>
          <w:color w:val="000000"/>
          <w:sz w:val="22"/>
          <w:szCs w:val="22"/>
          <w:vertAlign w:val="superscript"/>
        </w:rPr>
        <w:t xml:space="preserve">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United States </w:t>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2"/>
          <w:szCs w:val="22"/>
          <w:lang w:val="es-MX"/>
        </w:rPr>
      </w:pPr>
      <w:r>
        <w:rPr>
          <w:color w:val="000000"/>
          <w:sz w:val="22"/>
          <w:szCs w:val="22"/>
          <w:vertAlign w:val="superscript"/>
          <w:lang w:val="es-MX"/>
        </w:rPr>
        <w:t xml:space="preserve">b</w:t>
      </w:r>
      <w:r>
        <w:rPr>
          <w:color w:val="000000"/>
          <w:sz w:val="22"/>
          <w:szCs w:val="22"/>
          <w:lang w:val="es-MX"/>
        </w:rPr>
        <w:t xml:space="preserve"> Fundación Cimas del Ecuador, Quito, Ecuador </w:t>
      </w:r>
      <w:r>
        <w:rPr>
          <w:color w:val="000000"/>
          <w:sz w:val="22"/>
          <w:szCs w:val="22"/>
          <w:lang w:val="es-MX"/>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lang w:val="es-MX"/>
        </w:rPr>
      </w:pPr>
      <w:r>
        <w:rPr>
          <w:b/>
          <w:color w:val="000000"/>
          <w:sz w:val="22"/>
          <w:szCs w:val="22"/>
          <w:lang w:val="es-MX"/>
        </w:rPr>
      </w:r>
      <w:r>
        <w:rPr>
          <w:b/>
          <w:color w:val="000000"/>
          <w:sz w:val="22"/>
          <w:szCs w:val="22"/>
          <w:lang w:val="es-MX"/>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t xml:space="preserve">Prepared for:  </w:t>
      </w:r>
      <w:r>
        <w:rPr>
          <w:bCs/>
          <w:color w:val="000000"/>
          <w:sz w:val="22"/>
          <w:szCs w:val="22"/>
        </w:rPr>
        <w:t xml:space="preserve">BMC Environmental Health</w:t>
      </w:r>
      <w:r>
        <w:rPr>
          <w:bCs/>
          <w:color w:val="000000"/>
          <w:sz w:val="22"/>
          <w:szCs w:val="22"/>
        </w:rPr>
        <w:t xml:space="preserve"> (fast turnaround)</w:t>
      </w:r>
      <w:r>
        <w:rPr>
          <w:bCs/>
          <w:color w:val="000000"/>
          <w:sz w:val="22"/>
          <w:szCs w:val="22"/>
        </w:rPr>
        <w:t xml:space="preserve"> </w:t>
      </w:r>
      <w:r>
        <w:rPr>
          <w:bCs/>
          <w:color w:val="000000"/>
          <w:sz w:val="22"/>
          <w:szCs w:val="22"/>
        </w:rPr>
        <w:t xml:space="preserve">or Environmental Research</w:t>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t xml:space="preserve">Abstract </w:t>
      </w:r>
      <w:r>
        <w:rPr>
          <w:b/>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b/>
          <w:color w:val="000000"/>
          <w:sz w:val="22"/>
          <w:szCs w:val="22"/>
        </w:rPr>
        <w:t xml:space="preserve">Background:</w:t>
      </w:r>
      <w:r>
        <w:rPr>
          <w:b/>
          <w:color w:val="000000"/>
          <w:sz w:val="22"/>
          <w:szCs w:val="22"/>
        </w:rPr>
        <w:t xml:space="preserve"> </w:t>
      </w:r>
      <w:r>
        <w:rPr>
          <w:sz w:val="22"/>
          <w:szCs w:val="22"/>
        </w:rPr>
        <w:t xml:space="preserve">Children of agricultural workers have increased risk of pesticide exposure</w:t>
      </w:r>
      <w:r>
        <w:rPr>
          <w:sz w:val="22"/>
          <w:szCs w:val="22"/>
        </w:rPr>
        <w:t xml:space="preserve">. </w:t>
      </w:r>
      <w:r>
        <w:rPr>
          <w:color w:val="000000"/>
          <w:sz w:val="22"/>
          <w:szCs w:val="22"/>
        </w:rPr>
        <w:t xml:space="preserve">O</w:t>
      </w:r>
      <w:r>
        <w:rPr>
          <w:color w:val="000000"/>
          <w:sz w:val="22"/>
          <w:szCs w:val="22"/>
        </w:rPr>
        <w:t xml:space="preserve">ff-target pesticide drift </w:t>
      </w:r>
      <w:r>
        <w:rPr>
          <w:color w:val="000000"/>
          <w:sz w:val="22"/>
          <w:szCs w:val="22"/>
        </w:rPr>
        <w:t xml:space="preserve">plays</w:t>
      </w:r>
      <w:r>
        <w:rPr>
          <w:color w:val="000000"/>
          <w:sz w:val="22"/>
          <w:szCs w:val="22"/>
        </w:rPr>
        <w:t xml:space="preserve"> an important role in pesticide exposures </w:t>
      </w:r>
      <w:r>
        <w:rPr>
          <w:color w:val="000000"/>
          <w:sz w:val="22"/>
          <w:szCs w:val="22"/>
        </w:rPr>
        <w:t xml:space="preserve">for</w:t>
      </w:r>
      <w:r>
        <w:rPr>
          <w:color w:val="000000"/>
          <w:sz w:val="22"/>
          <w:szCs w:val="22"/>
        </w:rPr>
        <w:t xml:space="preserve"> families living near pesticide-spray sites</w:t>
      </w:r>
      <w:r>
        <w:rPr>
          <w:color w:val="000000"/>
          <w:sz w:val="22"/>
          <w:szCs w:val="22"/>
        </w:rPr>
        <w:t xml:space="preserve">. </w:t>
      </w:r>
      <w:r>
        <w:rPr>
          <w:sz w:val="22"/>
          <w:szCs w:val="22"/>
        </w:rPr>
        <w:t xml:space="preserve">Exposure to pesticides during early childhood can affect neurodevelopment</w:t>
      </w:r>
      <w:r>
        <w:rPr>
          <w:sz w:val="22"/>
          <w:szCs w:val="22"/>
        </w:rPr>
        <w:t xml:space="preserve">. </w:t>
      </w:r>
      <w:r>
        <w:rPr>
          <w:color w:val="000000"/>
          <w:sz w:val="22"/>
          <w:szCs w:val="22"/>
        </w:rPr>
        <w:t xml:space="preserve">In Pedro </w:t>
      </w:r>
      <w:r>
        <w:rPr>
          <w:color w:val="000000"/>
          <w:sz w:val="22"/>
          <w:szCs w:val="22"/>
        </w:rPr>
        <w:t xml:space="preserve">Moncayo</w:t>
      </w:r>
      <w:r>
        <w:rPr>
          <w:color w:val="000000"/>
          <w:sz w:val="22"/>
          <w:szCs w:val="22"/>
        </w:rPr>
        <w:t xml:space="preserve"> County, Ecuador, </w:t>
      </w:r>
      <w:r>
        <w:rPr>
          <w:color w:val="000000"/>
          <w:sz w:val="22"/>
          <w:szCs w:val="22"/>
        </w:rPr>
        <w:t xml:space="preserve">regular</w:t>
      </w:r>
      <w:r>
        <w:rPr>
          <w:color w:val="000000"/>
          <w:sz w:val="22"/>
          <w:szCs w:val="22"/>
        </w:rPr>
        <w:t xml:space="preserve"> use</w:t>
      </w:r>
      <w:r>
        <w:rPr>
          <w:color w:val="000000"/>
          <w:sz w:val="22"/>
          <w:szCs w:val="22"/>
        </w:rPr>
        <w:t xml:space="preserve"> of</w:t>
      </w:r>
      <w:r>
        <w:rPr>
          <w:color w:val="000000"/>
          <w:sz w:val="22"/>
          <w:szCs w:val="22"/>
        </w:rPr>
        <w:t xml:space="preserve"> insecticides, fungicides</w:t>
      </w:r>
      <w:r>
        <w:rPr>
          <w:color w:val="000000"/>
          <w:sz w:val="22"/>
          <w:szCs w:val="22"/>
        </w:rPr>
        <w:t xml:space="preserve">, </w:t>
      </w:r>
      <w:r>
        <w:rPr>
          <w:color w:val="000000"/>
          <w:sz w:val="22"/>
          <w:szCs w:val="22"/>
        </w:rPr>
        <w:t xml:space="preserve">and herbicides, </w:t>
      </w:r>
      <w:r>
        <w:rPr>
          <w:color w:val="000000"/>
          <w:sz w:val="22"/>
          <w:szCs w:val="22"/>
        </w:rPr>
        <w:t xml:space="preserve">has been documented, </w:t>
      </w:r>
      <w:r>
        <w:rPr>
          <w:color w:val="000000"/>
          <w:sz w:val="22"/>
          <w:szCs w:val="22"/>
        </w:rPr>
        <w:t xml:space="preserve">making children of agricultural families</w:t>
      </w:r>
      <w:r>
        <w:rPr>
          <w:color w:val="000000"/>
          <w:sz w:val="22"/>
          <w:szCs w:val="22"/>
        </w:rPr>
        <w:t xml:space="preserve"> and those living in proximity to floriculture</w:t>
      </w:r>
      <w:r>
        <w:rPr>
          <w:color w:val="000000"/>
          <w:sz w:val="22"/>
          <w:szCs w:val="22"/>
        </w:rPr>
        <w:t xml:space="preserve"> highly susceptible to pesticide exposure</w:t>
      </w:r>
      <w:r>
        <w:rPr>
          <w:color w:val="000000"/>
          <w:sz w:val="22"/>
          <w:szCs w:val="22"/>
        </w:rPr>
        <w:t xml:space="preserve">. </w:t>
      </w:r>
      <w:r>
        <w:rPr>
          <w:color w:val="000000"/>
          <w:sz w:val="22"/>
          <w:szCs w:val="22"/>
        </w:rPr>
        <w:t xml:space="preserve">This study </w:t>
      </w:r>
      <w:r>
        <w:rPr>
          <w:color w:val="000000"/>
          <w:sz w:val="22"/>
          <w:szCs w:val="22"/>
        </w:rPr>
        <w:t xml:space="preserve">aims to tests associations of r</w:t>
      </w:r>
      <w:r>
        <w:rPr>
          <w:color w:val="000000"/>
          <w:sz w:val="22"/>
          <w:szCs w:val="22"/>
        </w:rPr>
        <w:t xml:space="preserve">esidential proximity to </w:t>
      </w:r>
      <w:r>
        <w:rPr>
          <w:color w:val="000000"/>
          <w:sz w:val="22"/>
          <w:szCs w:val="22"/>
        </w:rPr>
        <w:t xml:space="preserve">pesticide-intensive </w:t>
      </w:r>
      <w:r>
        <w:rPr>
          <w:color w:val="000000"/>
          <w:sz w:val="22"/>
          <w:szCs w:val="22"/>
        </w:rPr>
        <w:t xml:space="preserve">floricultural crops </w:t>
      </w:r>
      <w:r>
        <w:rPr>
          <w:color w:val="000000"/>
          <w:sz w:val="22"/>
          <w:szCs w:val="22"/>
        </w:rPr>
        <w:t xml:space="preserve">with </w:t>
      </w:r>
      <w:r>
        <w:rPr>
          <w:color w:val="000000"/>
          <w:sz w:val="22"/>
          <w:szCs w:val="22"/>
        </w:rPr>
        <w:t xml:space="preserve">neurobehavior assessed longitudinally from childhood through adolescence.</w:t>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color w:val="000000"/>
          <w:sz w:val="22"/>
          <w:szCs w:val="22"/>
        </w:rPr>
      </w:pPr>
      <w:r>
        <w:rPr>
          <w:b/>
          <w:color w:val="000000"/>
          <w:sz w:val="22"/>
          <w:szCs w:val="22"/>
        </w:rPr>
      </w:r>
      <w:r>
        <w:rPr>
          <w:b/>
          <w:color w:val="000000"/>
          <w:sz w:val="22"/>
          <w:szCs w:val="22"/>
        </w:rPr>
      </w:r>
    </w:p>
    <w:p>
      <w:pPr>
        <w:pBdr/>
        <w:spacing/>
        <w:ind/>
        <w:rPr>
          <w:sz w:val="22"/>
          <w:szCs w:val="22"/>
        </w:rPr>
      </w:pPr>
      <w:r>
        <w:rPr>
          <w:b/>
          <w:color w:val="000000"/>
          <w:sz w:val="22"/>
          <w:szCs w:val="22"/>
        </w:rPr>
        <w:t xml:space="preserve">Methods:</w:t>
      </w:r>
      <w:r>
        <w:rPr>
          <w:b/>
          <w:color w:val="000000"/>
          <w:sz w:val="22"/>
          <w:szCs w:val="22"/>
        </w:rPr>
        <w:t xml:space="preserve"> </w:t>
      </w:r>
      <w:r>
        <w:rPr>
          <w:color w:val="000000"/>
          <w:sz w:val="22"/>
          <w:szCs w:val="22"/>
        </w:rPr>
        <w:t xml:space="preserve">We examined participants from the ESPINA study </w:t>
      </w:r>
      <w:r>
        <w:rPr>
          <w:color w:val="000000"/>
          <w:sz w:val="22"/>
          <w:szCs w:val="22"/>
        </w:rPr>
        <w:t xml:space="preserve">living in agricultural settings in Ecuador </w:t>
      </w:r>
      <w:r>
        <w:rPr>
          <w:color w:val="000000"/>
          <w:sz w:val="22"/>
          <w:szCs w:val="22"/>
        </w:rPr>
        <w:t xml:space="preserve">at three time periods</w:t>
      </w:r>
      <w:r>
        <w:rPr>
          <w:color w:val="000000"/>
          <w:sz w:val="22"/>
          <w:szCs w:val="22"/>
        </w:rPr>
        <w:t xml:space="preserve"> -</w:t>
      </w:r>
      <w:r>
        <w:rPr>
          <w:color w:val="000000"/>
          <w:sz w:val="22"/>
          <w:szCs w:val="22"/>
        </w:rPr>
        <w:t xml:space="preserve"> </w:t>
      </w:r>
      <w:r>
        <w:rPr>
          <w:color w:val="000000"/>
          <w:sz w:val="22"/>
          <w:szCs w:val="22"/>
        </w:rPr>
        <w:t xml:space="preserve">Visit 1</w:t>
      </w:r>
      <w:r>
        <w:rPr>
          <w:color w:val="000000"/>
          <w:sz w:val="22"/>
          <w:szCs w:val="22"/>
        </w:rPr>
        <w:t xml:space="preserve">:</w:t>
      </w:r>
      <w:r>
        <w:rPr>
          <w:color w:val="000000"/>
          <w:sz w:val="22"/>
          <w:szCs w:val="22"/>
        </w:rPr>
        <w:t xml:space="preserve"> </w:t>
      </w:r>
      <w:r>
        <w:rPr>
          <w:rFonts w:eastAsia="Times New Roman"/>
          <w:color w:val="212121"/>
          <w:sz w:val="22"/>
          <w:szCs w:val="22"/>
          <w:shd w:val="clear" w:color="auto" w:fill="ffffff"/>
        </w:rPr>
        <w:t xml:space="preserve">July-August 2008 (4-9-year-olds), </w:t>
      </w:r>
      <w:r>
        <w:rPr>
          <w:rFonts w:eastAsia="Times New Roman"/>
          <w:color w:val="212121"/>
          <w:sz w:val="22"/>
          <w:szCs w:val="22"/>
          <w:shd w:val="clear" w:color="auto" w:fill="ffffff"/>
        </w:rPr>
        <w:t xml:space="preserve">Visit 2</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w:t>
      </w:r>
      <w:r>
        <w:rPr>
          <w:rFonts w:eastAsia="Times New Roman"/>
          <w:color w:val="212121"/>
          <w:sz w:val="22"/>
          <w:szCs w:val="22"/>
          <w:shd w:val="clear" w:color="auto" w:fill="ffffff"/>
        </w:rPr>
        <w:t xml:space="preserve">April 2016 (11-17-year-olds)</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and </w:t>
      </w:r>
      <w:r>
        <w:rPr>
          <w:rFonts w:eastAsia="Times New Roman"/>
          <w:color w:val="212121"/>
          <w:sz w:val="22"/>
          <w:szCs w:val="22"/>
          <w:shd w:val="clear" w:color="auto" w:fill="ffffff"/>
        </w:rPr>
        <w:t xml:space="preserve">Visit 3</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w:t>
      </w:r>
      <w:r>
        <w:rPr>
          <w:rFonts w:eastAsia="Times New Roman"/>
          <w:color w:val="212121"/>
          <w:sz w:val="22"/>
          <w:szCs w:val="22"/>
          <w:shd w:val="clear" w:color="auto" w:fill="ffffff"/>
        </w:rPr>
        <w:t xml:space="preserve">July-October 2016 (11-17-year-olds)</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w:t>
      </w:r>
      <w:r>
        <w:rPr>
          <w:rFonts w:eastAsia="Times New Roman"/>
          <w:color w:val="212121"/>
          <w:sz w:val="22"/>
          <w:szCs w:val="22"/>
          <w:shd w:val="clear" w:color="auto" w:fill="ffffff"/>
        </w:rPr>
        <w:t xml:space="preserve">Neurobehavioral performance</w:t>
      </w:r>
      <w:r>
        <w:rPr>
          <w:rFonts w:eastAsia="Times New Roman"/>
          <w:color w:val="212121"/>
          <w:sz w:val="22"/>
          <w:szCs w:val="22"/>
          <w:shd w:val="clear" w:color="auto" w:fill="ffffff"/>
        </w:rPr>
        <w:t xml:space="preserve"> </w:t>
      </w:r>
      <w:r>
        <w:rPr>
          <w:rFonts w:eastAsia="Times New Roman"/>
          <w:color w:val="212121"/>
          <w:sz w:val="22"/>
          <w:szCs w:val="22"/>
          <w:shd w:val="clear" w:color="auto" w:fill="ffffff"/>
        </w:rPr>
        <w:t xml:space="preserve">was evaluated using the NEPSY-II </w:t>
      </w:r>
      <w:r>
        <w:rPr>
          <w:rFonts w:eastAsia="Times New Roman"/>
          <w:color w:val="212121"/>
          <w:sz w:val="22"/>
          <w:szCs w:val="22"/>
          <w:shd w:val="clear" w:color="auto" w:fill="ffffff"/>
        </w:rPr>
        <w:t xml:space="preserve">across all time periods</w:t>
      </w:r>
      <w:r>
        <w:rPr>
          <w:color w:val="000000"/>
          <w:sz w:val="22"/>
          <w:szCs w:val="22"/>
        </w:rPr>
        <w:t xml:space="preserve">. </w:t>
      </w:r>
      <w:r>
        <w:rPr>
          <w:color w:val="000000"/>
          <w:sz w:val="22"/>
          <w:szCs w:val="22"/>
        </w:rPr>
        <w:t xml:space="preserve">D</w:t>
      </w:r>
      <w:r>
        <w:rPr>
          <w:color w:val="000000"/>
          <w:sz w:val="22"/>
          <w:szCs w:val="22"/>
        </w:rPr>
        <w:t xml:space="preserve">istance between participant</w:t>
      </w:r>
      <w:r>
        <w:rPr>
          <w:color w:val="000000"/>
          <w:sz w:val="22"/>
          <w:szCs w:val="22"/>
        </w:rPr>
        <w:t xml:space="preserve">s’</w:t>
      </w:r>
      <w:r>
        <w:rPr>
          <w:color w:val="000000"/>
          <w:sz w:val="22"/>
          <w:szCs w:val="22"/>
        </w:rPr>
        <w:t xml:space="preserve"> households and the nearest </w:t>
      </w:r>
      <w:r>
        <w:rPr>
          <w:color w:val="000000"/>
          <w:sz w:val="22"/>
          <w:szCs w:val="22"/>
        </w:rPr>
        <w:t xml:space="preserve">flor</w:t>
      </w:r>
      <w:r>
        <w:rPr>
          <w:color w:val="000000"/>
          <w:sz w:val="22"/>
          <w:szCs w:val="22"/>
        </w:rPr>
        <w:t xml:space="preserve">i</w:t>
      </w:r>
      <w:r>
        <w:rPr>
          <w:color w:val="000000"/>
          <w:sz w:val="22"/>
          <w:szCs w:val="22"/>
        </w:rPr>
        <w:t xml:space="preserve">cultural </w:t>
      </w:r>
      <w:r>
        <w:rPr>
          <w:color w:val="000000"/>
          <w:sz w:val="22"/>
          <w:szCs w:val="22"/>
        </w:rPr>
        <w:t xml:space="preserve">crop</w:t>
      </w:r>
      <w:r>
        <w:rPr>
          <w:color w:val="000000"/>
          <w:sz w:val="22"/>
          <w:szCs w:val="22"/>
        </w:rPr>
        <w:t xml:space="preserve">,</w:t>
      </w:r>
      <w:r>
        <w:rPr>
          <w:color w:val="000000"/>
          <w:sz w:val="22"/>
          <w:szCs w:val="22"/>
        </w:rPr>
        <w:t xml:space="preserve"> and total surface area of floricultural </w:t>
      </w:r>
      <w:r>
        <w:rPr>
          <w:color w:val="000000"/>
          <w:sz w:val="22"/>
          <w:szCs w:val="22"/>
        </w:rPr>
        <w:t xml:space="preserve">crops </w:t>
      </w:r>
      <w:r>
        <w:rPr>
          <w:color w:val="000000"/>
          <w:sz w:val="22"/>
          <w:szCs w:val="22"/>
        </w:rPr>
        <w:t xml:space="preserve">near homes were calculated</w:t>
      </w:r>
      <w:r>
        <w:rPr>
          <w:color w:val="000000"/>
          <w:sz w:val="22"/>
          <w:szCs w:val="22"/>
        </w:rPr>
        <w:t xml:space="preserve">. </w:t>
      </w:r>
      <w:r>
        <w:rPr>
          <w:sz w:val="22"/>
          <w:szCs w:val="22"/>
        </w:rPr>
        <w:t xml:space="preserve">A</w:t>
      </w:r>
      <w:r>
        <w:rPr>
          <w:sz w:val="22"/>
          <w:szCs w:val="22"/>
        </w:rPr>
        <w:t xml:space="preserve">ssociations were tested using </w:t>
      </w:r>
      <w:r>
        <w:rPr>
          <w:sz w:val="22"/>
          <w:szCs w:val="22"/>
        </w:rPr>
        <w:t xml:space="preserve">generalized estimating equation model</w:t>
      </w:r>
      <w:r>
        <w:rPr>
          <w:sz w:val="22"/>
          <w:szCs w:val="22"/>
        </w:rPr>
        <w:t xml:space="preserve">s</w:t>
      </w:r>
      <w:r>
        <w:rPr>
          <w:sz w:val="22"/>
          <w:szCs w:val="22"/>
        </w:rPr>
        <w:t xml:space="preserve">. </w:t>
      </w:r>
      <w:r>
        <w:rPr>
          <w:sz w:val="22"/>
          <w:szCs w:val="22"/>
        </w:rPr>
      </w:r>
    </w:p>
    <w:p>
      <w:pPr>
        <w:pBdr/>
        <w:spacing/>
        <w:ind/>
        <w:rPr>
          <w:b/>
          <w:color w:val="000000"/>
          <w:sz w:val="22"/>
          <w:szCs w:val="22"/>
        </w:rPr>
      </w:pPr>
      <w:r>
        <w:rPr>
          <w:b/>
          <w:color w:val="000000"/>
          <w:sz w:val="22"/>
          <w:szCs w:val="22"/>
        </w:rPr>
      </w:r>
      <w:r>
        <w:rPr>
          <w:b/>
          <w:color w:val="000000"/>
          <w:sz w:val="22"/>
          <w:szCs w:val="22"/>
        </w:rPr>
      </w:r>
    </w:p>
    <w:p>
      <w:pPr>
        <w:pBdr/>
        <w:spacing/>
        <w:ind/>
        <w:rPr>
          <w:color w:val="000000"/>
          <w:sz w:val="22"/>
          <w:szCs w:val="22"/>
        </w:rPr>
      </w:pPr>
      <w:r>
        <w:rPr>
          <w:b/>
          <w:color w:val="000000"/>
          <w:sz w:val="22"/>
          <w:szCs w:val="22"/>
        </w:rPr>
        <w:t xml:space="preserve">Results:</w:t>
      </w:r>
      <w:r>
        <w:rPr>
          <w:b/>
          <w:color w:val="000000"/>
          <w:sz w:val="22"/>
          <w:szCs w:val="22"/>
        </w:rPr>
        <w:t xml:space="preserve"> </w:t>
      </w:r>
      <w:r>
        <w:rPr>
          <w:color w:val="000000"/>
          <w:sz w:val="22"/>
          <w:szCs w:val="22"/>
        </w:rPr>
        <w:t xml:space="preserve">We included XXX observations of</w:t>
      </w:r>
      <w:r>
        <w:rPr>
          <w:color w:val="000000"/>
          <w:sz w:val="22"/>
          <w:szCs w:val="22"/>
        </w:rPr>
        <w:t xml:space="preserve"> </w:t>
      </w:r>
      <w:r>
        <w:rPr>
          <w:color w:val="000000"/>
          <w:sz w:val="22"/>
          <w:szCs w:val="22"/>
        </w:rPr>
        <w:t xml:space="preserve">629</w:t>
      </w:r>
      <w:r>
        <w:rPr>
          <w:color w:val="000000"/>
          <w:sz w:val="22"/>
          <w:szCs w:val="22"/>
        </w:rPr>
        <w:t xml:space="preserve"> children </w:t>
      </w:r>
      <w:r>
        <w:rPr>
          <w:color w:val="000000"/>
          <w:sz w:val="22"/>
          <w:szCs w:val="22"/>
        </w:rPr>
        <w:t xml:space="preserve">examined across the 3 time periods</w:t>
      </w:r>
      <w:r>
        <w:rPr>
          <w:color w:val="000000"/>
          <w:sz w:val="22"/>
          <w:szCs w:val="22"/>
        </w:rPr>
        <w:t xml:space="preserve">. Average distance from nearest plantation was </w:t>
      </w:r>
      <w:r>
        <w:rPr>
          <w:color w:val="000000"/>
          <w:sz w:val="22"/>
          <w:szCs w:val="22"/>
        </w:rPr>
        <w:t xml:space="preserve">44</w:t>
      </w:r>
      <w:r>
        <w:rPr>
          <w:color w:val="000000"/>
          <w:sz w:val="22"/>
          <w:szCs w:val="22"/>
        </w:rPr>
        <w:t xml:space="preserve">1.8</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348</w:t>
      </w:r>
      <w:r>
        <w:rPr>
          <w:color w:val="000000"/>
          <w:sz w:val="22"/>
          <w:szCs w:val="22"/>
        </w:rPr>
        <w:t xml:space="preserve">.3</w:t>
      </w:r>
      <w:r>
        <w:rPr>
          <w:color w:val="000000"/>
          <w:sz w:val="22"/>
          <w:szCs w:val="22"/>
        </w:rPr>
        <w:t xml:space="preserve">m</w:t>
      </w:r>
      <w:r>
        <w:rPr>
          <w:color w:val="000000"/>
          <w:sz w:val="22"/>
          <w:szCs w:val="22"/>
        </w:rPr>
        <w:t xml:space="preserve">)</w:t>
      </w:r>
      <w:r>
        <w:rPr>
          <w:color w:val="000000"/>
          <w:sz w:val="22"/>
          <w:szCs w:val="22"/>
        </w:rPr>
        <w:t xml:space="preserve">, </w:t>
      </w:r>
      <w:r>
        <w:rPr>
          <w:color w:val="000000"/>
          <w:sz w:val="22"/>
          <w:szCs w:val="22"/>
        </w:rPr>
        <w:t xml:space="preserve">50</w:t>
      </w:r>
      <w:r>
        <w:rPr>
          <w:color w:val="000000"/>
          <w:sz w:val="22"/>
          <w:szCs w:val="22"/>
        </w:rPr>
        <w:t xml:space="preserve">8.8</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6</w:t>
      </w:r>
      <w:r>
        <w:rPr>
          <w:color w:val="000000"/>
          <w:sz w:val="22"/>
          <w:szCs w:val="22"/>
        </w:rPr>
        <w:t xml:space="preserve">30.8</w:t>
      </w:r>
      <w:r>
        <w:rPr>
          <w:color w:val="000000"/>
          <w:sz w:val="22"/>
          <w:szCs w:val="22"/>
        </w:rPr>
        <w:t xml:space="preserve">m</w:t>
      </w:r>
      <w:r>
        <w:rPr>
          <w:color w:val="000000"/>
          <w:sz w:val="22"/>
          <w:szCs w:val="22"/>
        </w:rPr>
        <w:t xml:space="preserve">)</w:t>
      </w:r>
      <w:r>
        <w:rPr>
          <w:color w:val="000000"/>
          <w:sz w:val="22"/>
          <w:szCs w:val="22"/>
        </w:rPr>
        <w:t xml:space="preserve"> and </w:t>
      </w:r>
      <w:r>
        <w:rPr>
          <w:color w:val="000000"/>
          <w:sz w:val="22"/>
          <w:szCs w:val="22"/>
        </w:rPr>
        <w:t xml:space="preserve">5</w:t>
      </w:r>
      <w:r>
        <w:rPr>
          <w:color w:val="000000"/>
          <w:sz w:val="22"/>
          <w:szCs w:val="22"/>
        </w:rPr>
        <w:t xml:space="preserve">66.9</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80</w:t>
      </w:r>
      <w:r>
        <w:rPr>
          <w:color w:val="000000"/>
          <w:sz w:val="22"/>
          <w:szCs w:val="22"/>
        </w:rPr>
        <w:t xml:space="preserve">3.6</w:t>
      </w:r>
      <w:r>
        <w:rPr>
          <w:color w:val="000000"/>
          <w:sz w:val="22"/>
          <w:szCs w:val="22"/>
        </w:rPr>
        <w:t xml:space="preserve">m</w:t>
      </w:r>
      <w:r>
        <w:rPr>
          <w:color w:val="000000"/>
          <w:sz w:val="22"/>
          <w:szCs w:val="22"/>
        </w:rPr>
        <w:t xml:space="preserve">)</w:t>
      </w:r>
      <w:r>
        <w:rPr>
          <w:color w:val="000000"/>
          <w:sz w:val="22"/>
          <w:szCs w:val="22"/>
        </w:rPr>
        <w:t xml:space="preserve"> in time 1, 2, and 3 respectively. </w:t>
      </w:r>
      <w:r>
        <w:rPr>
          <w:color w:val="000000"/>
          <w:sz w:val="22"/>
          <w:szCs w:val="22"/>
        </w:rPr>
        <w:t xml:space="preserve">Most </w:t>
      </w:r>
      <w:r>
        <w:rPr>
          <w:color w:val="000000"/>
          <w:sz w:val="22"/>
          <w:szCs w:val="22"/>
        </w:rPr>
        <w:t xml:space="preserve">participants</w:t>
      </w:r>
      <w:r>
        <w:rPr>
          <w:color w:val="000000"/>
          <w:sz w:val="22"/>
          <w:szCs w:val="22"/>
        </w:rPr>
        <w:t xml:space="preserve"> live</w:t>
      </w:r>
      <w:r>
        <w:rPr>
          <w:color w:val="000000"/>
          <w:sz w:val="22"/>
          <w:szCs w:val="22"/>
        </w:rPr>
        <w:t xml:space="preserve">d</w:t>
      </w:r>
      <w:r>
        <w:rPr>
          <w:color w:val="000000"/>
          <w:sz w:val="22"/>
          <w:szCs w:val="22"/>
        </w:rPr>
        <w:t xml:space="preserve"> </w:t>
      </w:r>
      <w:r>
        <w:rPr>
          <w:color w:val="000000"/>
          <w:sz w:val="22"/>
          <w:szCs w:val="22"/>
        </w:rPr>
        <w:t xml:space="preserve">with</w:t>
      </w:r>
      <w:r>
        <w:rPr>
          <w:color w:val="000000"/>
          <w:sz w:val="22"/>
          <w:szCs w:val="22"/>
        </w:rPr>
        <w:t xml:space="preserve">in 500m </w:t>
      </w:r>
      <w:r>
        <w:rPr>
          <w:color w:val="000000"/>
          <w:sz w:val="22"/>
          <w:szCs w:val="22"/>
        </w:rPr>
        <w:t xml:space="preserve">of a crop</w:t>
      </w:r>
      <w:r>
        <w:rPr>
          <w:color w:val="000000"/>
          <w:sz w:val="22"/>
          <w:szCs w:val="22"/>
        </w:rPr>
        <w:t xml:space="preserve">: Visit </w:t>
      </w:r>
      <w:r>
        <w:rPr>
          <w:color w:val="000000"/>
          <w:sz w:val="22"/>
          <w:szCs w:val="22"/>
        </w:rPr>
        <w:t xml:space="preserve">1</w:t>
      </w:r>
      <w:r>
        <w:rPr>
          <w:color w:val="000000"/>
          <w:sz w:val="22"/>
          <w:szCs w:val="22"/>
        </w:rPr>
        <w:t xml:space="preserve"> </w:t>
      </w:r>
      <w:r>
        <w:rPr>
          <w:color w:val="000000"/>
          <w:sz w:val="22"/>
          <w:szCs w:val="22"/>
        </w:rPr>
        <w:t xml:space="preserve">(62.6%)</w:t>
      </w:r>
      <w:r>
        <w:rPr>
          <w:color w:val="000000"/>
          <w:sz w:val="22"/>
          <w:szCs w:val="22"/>
        </w:rPr>
        <w:t xml:space="preserve">, </w:t>
      </w:r>
      <w:r>
        <w:rPr>
          <w:color w:val="000000"/>
          <w:sz w:val="22"/>
          <w:szCs w:val="22"/>
        </w:rPr>
        <w:t xml:space="preserve">Visit </w:t>
      </w:r>
      <w:r>
        <w:rPr>
          <w:color w:val="000000"/>
          <w:sz w:val="22"/>
          <w:szCs w:val="22"/>
        </w:rPr>
        <w:t xml:space="preserve">2</w:t>
      </w:r>
      <w:r>
        <w:rPr>
          <w:color w:val="000000"/>
          <w:sz w:val="22"/>
          <w:szCs w:val="22"/>
        </w:rPr>
        <w:t xml:space="preserve"> (61.8%)</w:t>
      </w:r>
      <w:r>
        <w:rPr>
          <w:color w:val="000000"/>
          <w:sz w:val="22"/>
          <w:szCs w:val="22"/>
        </w:rPr>
        <w:t xml:space="preserve">, and </w:t>
      </w:r>
      <w:r>
        <w:rPr>
          <w:color w:val="000000"/>
          <w:sz w:val="22"/>
          <w:szCs w:val="22"/>
        </w:rPr>
        <w:t xml:space="preserve">Visit </w:t>
      </w:r>
      <w:r>
        <w:rPr>
          <w:color w:val="000000"/>
          <w:sz w:val="22"/>
          <w:szCs w:val="22"/>
        </w:rPr>
        <w:t xml:space="preserve">3</w:t>
      </w:r>
      <w:r>
        <w:rPr>
          <w:color w:val="000000"/>
          <w:sz w:val="22"/>
          <w:szCs w:val="22"/>
        </w:rPr>
        <w:t xml:space="preserve"> (63.6%)</w:t>
      </w:r>
      <w:r>
        <w:rPr>
          <w:color w:val="000000"/>
          <w:sz w:val="22"/>
          <w:szCs w:val="22"/>
        </w:rPr>
        <w:t xml:space="preserve">. </w:t>
      </w:r>
      <w:r>
        <w:rPr>
          <w:color w:val="000000"/>
          <w:sz w:val="22"/>
          <w:szCs w:val="22"/>
        </w:rPr>
        <w:t xml:space="preserve">Across</w:t>
      </w:r>
      <w:r>
        <w:rPr>
          <w:color w:val="000000"/>
          <w:sz w:val="22"/>
          <w:szCs w:val="22"/>
        </w:rPr>
        <w:t xml:space="preserve"> the three visits, NEPSY-II scores </w:t>
      </w:r>
      <w:r>
        <w:rPr>
          <w:color w:val="000000"/>
          <w:sz w:val="22"/>
          <w:szCs w:val="22"/>
        </w:rPr>
        <w:t xml:space="preserve">mean (SD) </w:t>
      </w:r>
      <w:r>
        <w:rPr>
          <w:color w:val="000000"/>
          <w:sz w:val="22"/>
          <w:szCs w:val="22"/>
        </w:rPr>
        <w:t xml:space="preserve">ranged </w:t>
      </w:r>
      <w:r>
        <w:rPr>
          <w:color w:val="000000"/>
          <w:sz w:val="22"/>
          <w:szCs w:val="22"/>
        </w:rPr>
        <w:t xml:space="preserve">from</w:t>
      </w:r>
      <w:r>
        <w:rPr>
          <w:color w:val="000000"/>
          <w:sz w:val="22"/>
          <w:szCs w:val="22"/>
        </w:rPr>
        <w:t xml:space="preserve"> 5.9</w:t>
      </w:r>
      <w:r>
        <w:rPr>
          <w:color w:val="000000"/>
          <w:sz w:val="22"/>
          <w:szCs w:val="22"/>
        </w:rPr>
        <w:t xml:space="preserve"> (3.0)</w:t>
      </w:r>
      <w:r>
        <w:rPr>
          <w:color w:val="000000"/>
          <w:sz w:val="22"/>
          <w:szCs w:val="22"/>
        </w:rPr>
        <w:t xml:space="preserve"> </w:t>
      </w:r>
      <w:r>
        <w:rPr>
          <w:color w:val="000000"/>
          <w:sz w:val="22"/>
          <w:szCs w:val="22"/>
        </w:rPr>
        <w:t xml:space="preserve">to</w:t>
      </w:r>
      <w:r>
        <w:rPr>
          <w:color w:val="000000"/>
          <w:sz w:val="22"/>
          <w:szCs w:val="22"/>
        </w:rPr>
        <w:t xml:space="preserve"> 10.7</w:t>
      </w:r>
      <w:r>
        <w:rPr>
          <w:color w:val="000000"/>
          <w:sz w:val="22"/>
          <w:szCs w:val="22"/>
        </w:rPr>
        <w:t xml:space="preserve"> (4.9)</w:t>
      </w:r>
      <w:r>
        <w:rPr>
          <w:color w:val="000000"/>
          <w:sz w:val="22"/>
          <w:szCs w:val="22"/>
        </w:rPr>
        <w:t xml:space="preserve">. </w:t>
      </w:r>
      <w:r>
        <w:rPr>
          <w:color w:val="000000"/>
          <w:sz w:val="22"/>
          <w:szCs w:val="22"/>
        </w:rPr>
        <w:t xml:space="preserve">Increasing floriculture distance between </w:t>
      </w:r>
      <w:r>
        <w:rPr>
          <w:color w:val="000000"/>
          <w:sz w:val="22"/>
          <w:szCs w:val="22"/>
        </w:rPr>
        <w:t xml:space="preserve">participant’s </w:t>
      </w:r>
      <w:r>
        <w:rPr>
          <w:color w:val="000000"/>
          <w:sz w:val="22"/>
          <w:szCs w:val="22"/>
        </w:rPr>
        <w:t xml:space="preserve">homes and floricultural crop was associated with higher performance on the domains</w:t>
      </w:r>
      <w:r>
        <w:rPr>
          <w:color w:val="000000"/>
          <w:sz w:val="22"/>
          <w:szCs w:val="22"/>
        </w:rPr>
        <w:t xml:space="preserve"> of</w:t>
      </w:r>
      <w:r>
        <w:rPr>
          <w:color w:val="000000"/>
          <w:sz w:val="22"/>
          <w:szCs w:val="22"/>
        </w:rPr>
        <w:t xml:space="preserve"> Attention/Inhibitory Control, Language, and Memory/</w:t>
      </w:r>
      <w:commentRangeStart w:id="0"/>
      <w:r>
        <w:rPr>
          <w:color w:val="000000"/>
          <w:sz w:val="22"/>
          <w:szCs w:val="22"/>
        </w:rPr>
        <w:t xml:space="preserve">Learning</w:t>
      </w:r>
      <w:commentRangeEnd w:id="0"/>
      <w:r>
        <w:commentReference w:id="0"/>
      </w:r>
      <w:r>
        <w:rPr>
          <w:color w:val="000000"/>
          <w:sz w:val="22"/>
          <w:szCs w:val="22"/>
        </w:rPr>
        <w:t xml:space="preserve">.</w:t>
      </w:r>
      <w:r>
        <w:rPr>
          <w:color w:val="000000"/>
          <w:sz w:val="22"/>
          <w:szCs w:val="22"/>
        </w:rPr>
        <w:t xml:space="preserve"> Concurring with these findings,</w:t>
      </w:r>
      <w:r>
        <w:rPr>
          <w:color w:val="000000"/>
          <w:sz w:val="22"/>
          <w:szCs w:val="22"/>
        </w:rPr>
        <w:t xml:space="preserve"> </w:t>
      </w:r>
      <w:r>
        <w:rPr>
          <w:color w:val="000000"/>
          <w:sz w:val="22"/>
          <w:szCs w:val="22"/>
        </w:rPr>
        <w:t xml:space="preserve">all crop area</w:t>
      </w:r>
      <w:r>
        <w:rPr>
          <w:color w:val="000000"/>
          <w:sz w:val="22"/>
          <w:szCs w:val="22"/>
        </w:rPr>
        <w:t xml:space="preserve">s</w:t>
      </w:r>
      <w:r>
        <w:rPr>
          <w:color w:val="000000"/>
          <w:sz w:val="22"/>
          <w:szCs w:val="22"/>
        </w:rPr>
        <w:t xml:space="preserve"> </w:t>
      </w:r>
      <w:r>
        <w:rPr>
          <w:color w:val="000000"/>
          <w:sz w:val="22"/>
          <w:szCs w:val="22"/>
        </w:rPr>
        <w:t xml:space="preserve">within 100-500m </w:t>
      </w:r>
      <w:r>
        <w:rPr>
          <w:color w:val="000000"/>
          <w:sz w:val="22"/>
          <w:szCs w:val="22"/>
        </w:rPr>
        <w:t xml:space="preserve">buffers around homes were associated </w:t>
      </w:r>
      <w:r>
        <w:rPr>
          <w:color w:val="000000"/>
          <w:sz w:val="22"/>
          <w:szCs w:val="22"/>
        </w:rPr>
        <w:t xml:space="preserve">with lower Attention/Inhibitory Control domain scores</w:t>
      </w:r>
      <w:r>
        <w:rPr>
          <w:color w:val="000000"/>
          <w:sz w:val="22"/>
          <w:szCs w:val="22"/>
        </w:rPr>
        <w:t xml:space="preserve">. </w:t>
      </w:r>
      <w:r>
        <w:rPr>
          <w:color w:val="000000"/>
          <w:sz w:val="22"/>
          <w:szCs w:val="22"/>
        </w:rPr>
        <w:t xml:space="preserve">For instance, d</w:t>
      </w:r>
      <w:r>
        <w:rPr>
          <w:color w:val="000000"/>
          <w:sz w:val="22"/>
          <w:szCs w:val="22"/>
        </w:rPr>
        <w:t xml:space="preserve">oubling </w:t>
      </w:r>
      <w:r>
        <w:rPr>
          <w:color w:val="000000"/>
          <w:sz w:val="22"/>
          <w:szCs w:val="22"/>
        </w:rPr>
        <w:t xml:space="preserve">crop </w:t>
      </w:r>
      <w:r>
        <w:rPr>
          <w:color w:val="000000"/>
          <w:sz w:val="22"/>
          <w:szCs w:val="22"/>
        </w:rPr>
        <w:t xml:space="preserve">area</w:t>
      </w:r>
      <w:r>
        <w:rPr>
          <w:color w:val="000000"/>
          <w:sz w:val="22"/>
          <w:szCs w:val="22"/>
        </w:rPr>
        <w:t xml:space="preserve">s</w:t>
      </w:r>
      <w:r>
        <w:rPr>
          <w:color w:val="000000"/>
          <w:sz w:val="22"/>
          <w:szCs w:val="22"/>
        </w:rPr>
        <w:t xml:space="preserve"> within 300m </w:t>
      </w:r>
      <w:r>
        <w:rPr>
          <w:color w:val="000000"/>
          <w:sz w:val="22"/>
          <w:szCs w:val="22"/>
        </w:rPr>
        <w:t xml:space="preserve">was associated with lower</w:t>
      </w:r>
      <w:r>
        <w:rPr>
          <w:color w:val="000000"/>
          <w:sz w:val="22"/>
          <w:szCs w:val="22"/>
        </w:rPr>
        <w:t xml:space="preserve"> scores by -</w:t>
      </w:r>
      <w:commentRangeStart w:id="1"/>
      <w:r>
        <w:rPr>
          <w:color w:val="000000"/>
          <w:sz w:val="22"/>
          <w:szCs w:val="22"/>
        </w:rPr>
        <w:t xml:space="preserve">0.026</w:t>
      </w:r>
      <w:commentRangeEnd w:id="1"/>
      <w:r>
        <w:commentReference w:id="1"/>
      </w:r>
      <w:r>
        <w:rPr>
          <w:color w:val="000000"/>
          <w:sz w:val="22"/>
          <w:szCs w:val="22"/>
        </w:rPr>
        <w:t xml:space="preserve"> (CI</w:t>
      </w:r>
      <w:r>
        <w:rPr>
          <w:color w:val="000000"/>
          <w:sz w:val="22"/>
          <w:szCs w:val="22"/>
        </w:rPr>
        <w:t xml:space="preserve">:</w:t>
      </w:r>
      <w:r>
        <w:rPr>
          <w:color w:val="000000"/>
          <w:sz w:val="22"/>
          <w:szCs w:val="22"/>
        </w:rPr>
        <w:t xml:space="preserve"> -0.045, -0.007</w:t>
      </w:r>
      <w:r>
        <w:rPr>
          <w:color w:val="000000"/>
          <w:sz w:val="22"/>
          <w:szCs w:val="22"/>
        </w:rPr>
        <w:t xml:space="preserve">; p = 0.0064)</w:t>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b/>
          <w:color w:val="000000"/>
          <w:sz w:val="22"/>
          <w:szCs w:val="22"/>
        </w:rPr>
        <w:t xml:space="preserve">Conclusions:</w:t>
      </w:r>
      <w:r>
        <w:rPr>
          <w:b/>
          <w:color w:val="000000"/>
          <w:sz w:val="22"/>
          <w:szCs w:val="22"/>
        </w:rPr>
        <w:t xml:space="preserve"> </w:t>
      </w:r>
      <w:r>
        <w:rPr>
          <w:bCs/>
          <w:color w:val="000000"/>
          <w:sz w:val="22"/>
          <w:szCs w:val="22"/>
        </w:rPr>
        <w:t xml:space="preserve">Residential proximity to floricultural crops was associated with lower neurobehavioral performance in some domains in longitudinal analysis. </w:t>
      </w:r>
      <w:r>
        <w:rPr>
          <w:bCs/>
          <w:color w:val="000000"/>
          <w:sz w:val="22"/>
          <w:szCs w:val="22"/>
        </w:rPr>
        <w:t xml:space="preserve">These findings </w:t>
      </w:r>
      <w:r>
        <w:rPr>
          <w:bCs/>
          <w:color w:val="000000"/>
          <w:sz w:val="22"/>
          <w:szCs w:val="22"/>
        </w:rPr>
        <w:t xml:space="preserve">suggest</w:t>
      </w:r>
      <w:r>
        <w:rPr>
          <w:bCs/>
          <w:color w:val="000000"/>
          <w:sz w:val="22"/>
          <w:szCs w:val="22"/>
        </w:rPr>
        <w:t xml:space="preserve"> that off target pesticide </w:t>
      </w:r>
      <w:r>
        <w:rPr>
          <w:bCs/>
          <w:color w:val="000000"/>
          <w:sz w:val="22"/>
          <w:szCs w:val="22"/>
        </w:rPr>
        <w:t xml:space="preserve">drift from crops may affect </w:t>
      </w:r>
      <w:r>
        <w:rPr>
          <w:color w:val="000000"/>
          <w:sz w:val="22"/>
          <w:szCs w:val="22"/>
        </w:rPr>
        <w:t xml:space="preserve">neurobehavioral performance</w:t>
      </w:r>
      <w:r>
        <w:rPr>
          <w:color w:val="000000"/>
          <w:sz w:val="22"/>
          <w:szCs w:val="22"/>
        </w:rPr>
        <w:t xml:space="preserve"> of children living nearby</w:t>
      </w:r>
      <w:r>
        <w:rPr>
          <w:color w:val="000000"/>
          <w:sz w:val="22"/>
          <w:szCs w:val="22"/>
        </w:rPr>
        <w:t xml:space="preserve">, in tasks</w:t>
      </w:r>
      <w:r>
        <w:rPr>
          <w:color w:val="000000"/>
          <w:sz w:val="22"/>
          <w:szCs w:val="22"/>
        </w:rPr>
        <w:t xml:space="preserve"> </w:t>
      </w:r>
      <w:r>
        <w:rPr>
          <w:color w:val="000000"/>
          <w:sz w:val="22"/>
          <w:szCs w:val="22"/>
        </w:rPr>
        <w:t xml:space="preserve">related to</w:t>
      </w:r>
      <w:r>
        <w:rPr>
          <w:color w:val="000000"/>
          <w:sz w:val="22"/>
          <w:szCs w:val="22"/>
        </w:rPr>
        <w:t xml:space="preserve"> impulsivity and cognitive flexibility, </w:t>
      </w:r>
      <w:r>
        <w:rPr>
          <w:color w:val="000000"/>
          <w:sz w:val="22"/>
          <w:szCs w:val="22"/>
        </w:rPr>
        <w:t xml:space="preserve">understanding complex verbal instructions</w:t>
      </w:r>
      <w:r>
        <w:rPr>
          <w:color w:val="000000"/>
          <w:sz w:val="22"/>
          <w:szCs w:val="22"/>
        </w:rPr>
        <w:t xml:space="preserve">, and </w:t>
      </w:r>
      <w:r>
        <w:rPr>
          <w:color w:val="000000"/>
          <w:sz w:val="22"/>
          <w:szCs w:val="22"/>
        </w:rPr>
        <w:t xml:space="preserve">challenges with verbal-visual associative learning</w:t>
      </w:r>
      <w:r>
        <w:rPr>
          <w:color w:val="000000"/>
          <w:sz w:val="22"/>
          <w:szCs w:val="22"/>
        </w:rPr>
        <w:t xml:space="preserve"> among </w:t>
      </w:r>
      <w:r>
        <w:rPr>
          <w:color w:val="000000"/>
          <w:sz w:val="22"/>
          <w:szCs w:val="22"/>
        </w:rPr>
        <w:t xml:space="preserve">children and </w:t>
      </w:r>
      <w:r>
        <w:rPr>
          <w:color w:val="000000"/>
          <w:sz w:val="22"/>
          <w:szCs w:val="22"/>
        </w:rPr>
        <w:t xml:space="preserve">adolescents</w:t>
      </w:r>
      <w:r>
        <w:rPr>
          <w:color w:val="000000"/>
          <w:sz w:val="22"/>
          <w:szCs w:val="22"/>
        </w:rPr>
        <w:t xml:space="preserve">.</w:t>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color w:val="000000"/>
          <w:sz w:val="22"/>
          <w:szCs w:val="22"/>
        </w:rPr>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b/>
          <w:bCs/>
          <w:color w:val="000000"/>
          <w:sz w:val="22"/>
          <w:szCs w:val="22"/>
        </w:rPr>
        <w:t xml:space="preserve">Key words (1-7): </w:t>
      </w:r>
      <w:r>
        <w:rPr>
          <w:color w:val="000000"/>
          <w:sz w:val="22"/>
          <w:szCs w:val="22"/>
        </w:rPr>
        <w:t xml:space="preserve">neurodevelopment, children, </w:t>
      </w:r>
      <w:r>
        <w:rPr>
          <w:color w:val="000000"/>
          <w:sz w:val="22"/>
          <w:szCs w:val="22"/>
        </w:rPr>
        <w:t xml:space="preserve">Attention, Inhibition, Memory, Learning</w:t>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bCs/>
          <w:color w:val="000000"/>
          <w:sz w:val="22"/>
          <w:szCs w:val="22"/>
        </w:rPr>
      </w:pPr>
      <w:r>
        <w:rPr>
          <w:b/>
          <w:bCs/>
          <w:color w:val="000000"/>
          <w:sz w:val="22"/>
          <w:szCs w:val="22"/>
        </w:rPr>
      </w:r>
      <w:r>
        <w:rPr>
          <w:b/>
          <w:bCs/>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rPr>
          <w:b/>
          <w:bCs/>
          <w:color w:val="000000"/>
          <w:sz w:val="22"/>
          <w:szCs w:val="22"/>
        </w:rPr>
      </w:pPr>
      <w:r>
        <w:rPr>
          <w:b/>
          <w:bCs/>
          <w:color w:val="000000"/>
          <w:sz w:val="22"/>
          <w:szCs w:val="22"/>
        </w:rPr>
        <w:t xml:space="preserve">Highlights (</w:t>
      </w:r>
      <w:r>
        <w:rPr>
          <w:b/>
          <w:bCs/>
          <w:color w:val="000000"/>
          <w:sz w:val="22"/>
          <w:szCs w:val="22"/>
        </w:rPr>
        <w:t xml:space="preserve">3 to 5 bullet points, each a maximum of 85 characters, including spaces</w:t>
      </w:r>
      <w:r>
        <w:rPr>
          <w:b/>
          <w:bCs/>
          <w:color w:val="000000"/>
          <w:sz w:val="22"/>
          <w:szCs w:val="22"/>
        </w:rPr>
        <w:t xml:space="preserve">):</w:t>
      </w:r>
      <w:r>
        <w:rPr>
          <w:b/>
          <w:bCs/>
          <w:color w:val="000000"/>
          <w:sz w:val="22"/>
          <w:szCs w:val="22"/>
        </w:rPr>
      </w:r>
    </w:p>
    <w:p>
      <w:pPr>
        <w:pStyle w:val="782"/>
        <w:numPr>
          <w:ilvl w:val="0"/>
          <w:numId w:val="15"/>
        </w:num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color w:val="000000"/>
          <w:sz w:val="22"/>
          <w:szCs w:val="22"/>
        </w:rPr>
        <w:t xml:space="preserve"> </w:t>
      </w:r>
      <w:r>
        <w:rPr>
          <w:color w:val="000000"/>
          <w:sz w:val="22"/>
          <w:szCs w:val="22"/>
        </w:rPr>
      </w:r>
    </w:p>
    <w:p>
      <w:pPr>
        <w:pStyle w:val="782"/>
        <w:numPr>
          <w:ilvl w:val="0"/>
          <w:numId w:val="15"/>
        </w:num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color w:val="000000"/>
          <w:sz w:val="22"/>
          <w:szCs w:val="22"/>
        </w:rPr>
        <w:t xml:space="preserve">  </w:t>
      </w:r>
      <w:r>
        <w:rPr>
          <w:color w:val="000000"/>
          <w:sz w:val="22"/>
          <w:szCs w:val="22"/>
        </w:rPr>
      </w:r>
    </w:p>
    <w:p>
      <w:pPr>
        <w:pStyle w:val="782"/>
        <w:numPr>
          <w:ilvl w:val="0"/>
          <w:numId w:val="15"/>
        </w:numPr>
        <w:pBdr>
          <w:top w:val="none" w:color="000000" w:sz="4" w:space="0"/>
          <w:left w:val="none" w:color="000000" w:sz="4" w:space="0"/>
          <w:bottom w:val="none" w:color="000000" w:sz="4" w:space="0"/>
          <w:right w:val="none" w:color="000000" w:sz="4" w:space="0"/>
          <w:between w:val="none" w:color="000000" w:sz="4" w:space="0"/>
        </w:pBdr>
        <w:spacing/>
        <w:ind/>
        <w:rPr>
          <w:color w:val="000000"/>
          <w:sz w:val="22"/>
          <w:szCs w:val="22"/>
        </w:rPr>
      </w:pPr>
      <w:r>
        <w:rPr>
          <w:color w:val="000000"/>
          <w:sz w:val="22"/>
          <w:szCs w:val="22"/>
        </w:rPr>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360"/>
        <w:rPr>
          <w:b/>
          <w:bCs/>
          <w:sz w:val="22"/>
          <w:szCs w:val="22"/>
        </w:rPr>
      </w:pPr>
      <w:r>
        <w:rPr>
          <w:b/>
          <w:bCs/>
          <w:sz w:val="22"/>
          <w:szCs w:val="22"/>
        </w:rPr>
      </w:r>
      <w:r>
        <w:rPr>
          <w:b/>
          <w:bCs/>
          <w:sz w:val="22"/>
          <w:szCs w:val="22"/>
        </w:rPr>
      </w:r>
    </w:p>
    <w:p>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sz w:val="22"/>
          <w:szCs w:val="22"/>
        </w:rPr>
      </w:pPr>
      <w:r>
        <w:rPr>
          <w:b/>
          <w:bCs/>
          <w:color w:val="000000"/>
          <w:sz w:val="22"/>
          <w:szCs w:val="22"/>
        </w:rPr>
        <w:t xml:space="preserve">Introduction</w:t>
      </w:r>
      <w:r>
        <w:rPr>
          <w:b/>
          <w:bCs/>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360"/>
        <w:jc w:val="both"/>
        <w:rPr>
          <w:sz w:val="22"/>
          <w:szCs w:val="22"/>
        </w:rPr>
      </w:pPr>
      <w:r>
        <w:rPr>
          <w:sz w:val="22"/>
          <w:szCs w:val="22"/>
        </w:rPr>
      </w:r>
      <w:r>
        <w:rPr>
          <w:sz w:val="22"/>
          <w:szCs w:val="22"/>
        </w:rPr>
      </w:r>
    </w:p>
    <w:p>
      <w:pPr>
        <w:pBdr/>
        <w:spacing/>
        <w:ind w:firstLine="720"/>
        <w:jc w:val="both"/>
        <w:rPr>
          <w:color w:val="000000"/>
          <w:sz w:val="22"/>
          <w:szCs w:val="22"/>
        </w:rPr>
      </w:pPr>
      <w:r>
        <w:rPr>
          <w:sz w:val="22"/>
          <w:szCs w:val="22"/>
        </w:rPr>
        <w:t xml:space="preserve">Children of agricultural workers have increased risk of pesticide exposure not only through direct contact but also through off-target drift from agricultural crops to residential homes</w:t>
      </w:r>
      <w:r>
        <w:rPr>
          <w:sz w:val="22"/>
          <w:szCs w:val="22"/>
        </w:rPr>
        <w:t xml:space="preserve"> </w:t>
      </w:r>
      <w:r>
        <w:rPr>
          <w:sz w:val="22"/>
          <w:szCs w:val="22"/>
        </w:rPr>
        <w:fldChar w:fldCharType="begin"/>
      </w:r>
      <w:r>
        <w:rPr>
          <w:sz w:val="22"/>
          <w:szCs w:val="22"/>
        </w:rPr>
        <w:instrText xml:space="preserve"> ADDIN ZOTERO_ITEM CSL_CITATION {"cit</w:instrText>
      </w:r>
      <w:r>
        <w:rPr>
          <w:sz w:val="22"/>
          <w:szCs w:val="22"/>
        </w:rPr>
        <w:instrText xml:space="preserve">ationID":"hQSoPLAT","properties":{"formattedCitation":"(Coronado et al., 2011; Hyland &amp; Laribi, 2017; Lu et al., 2000; Simcox et al., 1995; Su\\uc0\\u225{}rez-L\\uc0\\u243{}pez et al., 2020; Ward et al., 2006)","plainCitation":"(Coronado et al., 2011; Hyla</w:instrText>
      </w:r>
      <w:r>
        <w:rPr>
          <w:sz w:val="22"/>
          <w:szCs w:val="22"/>
        </w:rPr>
        <w:instrText xml:space="preserve">nd &amp; Laribi, 2017; Lu et al., 2000; Simcox et al., 1995; Suárez-López et al., 2020; Ward et al., 2006)","noteIndex":0},"citationItems":[{"id":4675,"uris":["http://zotero.org/users/5127433/items/JD22R45A"],"itemData":{"id":4675,"type":"article-journal","abs</w:instrText>
      </w:r>
      <w:r>
        <w:rPr>
          <w:sz w:val="22"/>
          <w:szCs w:val="22"/>
        </w:rPr>
        <w:instrText xml:space="preserve">tract":"Objectives: \n          Residential proximity to pesticide-treated farmland is an important pesticide exposure pathway.\n          Methods: \n          In-person interviews and biological samples were collected from 100 farmworker and 100 non-farmw</w:instrText>
      </w:r>
      <w:r>
        <w:rPr>
          <w:sz w:val="22"/>
          <w:szCs w:val="22"/>
        </w:rPr>
        <w:instrText xml:space="preserve">orker adults and children living in Eastern Washington State. We examined the relationship of residential proximity to farmland to urinary metabolite concentrations of dimethylphosphate (DMTP) and levels of pesticide residues in house dust.\n          Resu</w:instrText>
      </w:r>
      <w:r>
        <w:rPr>
          <w:sz w:val="22"/>
          <w:szCs w:val="22"/>
        </w:rPr>
        <w:instrText xml:space="preserve">lts: \n          DMTP concentrations were higher in farmworkers than non-farmworkers (71 μg/L vs 6 μg/L) and in farmworker children than non-farmworker children (17 μg/L vs 8 μg/L). Compared to non-farmworker households, farmworker households had higher le</w:instrText>
      </w:r>
      <w:r>
        <w:rPr>
          <w:sz w:val="22"/>
          <w:szCs w:val="22"/>
        </w:rPr>
        <w:instrText xml:space="preserve">vels of azinphos-methyl (643 ng/g vs 121 ng/g) and phosmet (153 ng/g vs 50 ng/g). Overall, a 20% reduction in DMTP concentration was observed per mile increase in distance from farmland.\n          Conclusions: \n          Lower OP metabolite concentration</w:instrText>
      </w:r>
      <w:r>
        <w:rPr>
          <w:sz w:val="22"/>
          <w:szCs w:val="22"/>
        </w:rPr>
        <w:instrText xml:space="preserve">s correlated with increasing distance from farmland.","container-title":"Journal of Occupational and Environmental Medicine","DOI":"10.1097/JOM.0b013e318222f03a","ISSN":"1076-2752","issue":"8","language":"en-US","page":"884","source":"journals.lww.com","ti</w:instrText>
      </w:r>
      <w:r>
        <w:rPr>
          <w:sz w:val="22"/>
          <w:szCs w:val="22"/>
        </w:rPr>
        <w:instrText xml:space="preserve">tle":"Organophosphate Pesticide Exposure and Residential Proximity to Nearby Fields: Evidence for the Drift Pathway","title-short":"Organophosphate Pesticide Exposure and Residential Proximity to Nearby Fields","volume":"53","author":[{"family":"Coronado",</w:instrText>
      </w:r>
      <w:r>
        <w:rPr>
          <w:sz w:val="22"/>
          <w:szCs w:val="22"/>
        </w:rPr>
        <w:instrText xml:space="preserve">"given":"Gloria D."},{"family":"Holte","given":"Sarah"},{"family":"Vigoren","given":"Eric"},{"family":"Griffith","given":"William C."},{"family":"Barr","given":"Dana Boyd"},{"family":"Faustman","given":"Elaine"},{"family":"Thompson","given":"Beti"}],"issue</w:instrText>
      </w:r>
      <w:r>
        <w:rPr>
          <w:sz w:val="22"/>
          <w:szCs w:val="22"/>
        </w:rPr>
        <w:instrText xml:space="preserve">d":{"date-parts":[["2011",8]]}}},{"id":4694,"uris":["http://zotero.org/users/5127433/items/8GV5WITX"],"itemData":{"id":4694,"type":"article-journal","abstract":"BackgroundChildren of farmworkers may be chronically exposed to pesticides via the take-home ex</w:instrText>
      </w:r>
      <w:r>
        <w:rPr>
          <w:sz w:val="22"/>
          <w:szCs w:val="22"/>
        </w:rPr>
        <w:instrText xml:space="preserve">posure pathway.ObjectiveThe goal of this review was to analyze scientific literature evaluating the role of the take-home pesticide exposure pathway in children of agricultural workers.MethodsA systematic review was undertaken and inclusion criteria were a</w:instrText>
      </w:r>
      <w:r>
        <w:rPr>
          <w:sz w:val="22"/>
          <w:szCs w:val="22"/>
        </w:rPr>
        <w:instrText xml:space="preserve">pplied to identify original articles of interest. Of the 30 articles included in this review, some belonged to the same studies, resulting in a total of 23 studies. Eight studies assessed environmental samples, nine collected biological samples, and the re</w:instrText>
      </w:r>
      <w:r>
        <w:rPr>
          <w:sz w:val="22"/>
          <w:szCs w:val="22"/>
        </w:rPr>
        <w:instrText xml:space="preserve">maining six analyzed both. Eleven studies compared pesticide levels between farm and non-farm families.ResultsThere is convincing evidence that children of farmworkers are exposed to pesticides at higher levels than \"non-agricultural\" children, even when</w:instrText>
      </w:r>
      <w:r>
        <w:rPr>
          <w:sz w:val="22"/>
          <w:szCs w:val="22"/>
        </w:rPr>
        <w:instrText xml:space="preserve"> residing in the same agricultural communities. These levels were shown to depend on the season, occupation, number of farmworkers per home, and type of crops. Other factors such as age, gender and, sex seem to also influence this pathway. Some studies hav</w:instrText>
      </w:r>
      <w:r>
        <w:rPr>
          <w:sz w:val="22"/>
          <w:szCs w:val="22"/>
        </w:rPr>
        <w:instrText xml:space="preserve">e shown that pesticides used solely in agriculture are found only in households of farmworkers spraying these pesticides. Moreover, intervention studies have shown that behaviors among farmworkers can significantly lower exposure of people living in the sa</w:instrText>
      </w:r>
      <w:r>
        <w:rPr>
          <w:sz w:val="22"/>
          <w:szCs w:val="22"/>
        </w:rPr>
        <w:instrText xml:space="preserve">me households as farmworkers.Discussion and conclusionThe evidence presented here raises concerns regarding health effects associated with exposure to pesticides in children living in agricultural communities, and indicates that strategies should be develo</w:instrText>
      </w:r>
      <w:r>
        <w:rPr>
          <w:sz w:val="22"/>
          <w:szCs w:val="22"/>
        </w:rPr>
        <w:instrText xml:space="preserve">ped to reduce exposures in these populations.","container-title":"Environmental research","DOI":"10.1016/j.envres.2017.04.017","ISSN":"1096-0953","journalAbbreviation":"Environ Res","language":"eng","note":"PMID: 28437652","page":"559-570","source":"Europe</w:instrText>
      </w:r>
      <w:r>
        <w:rPr>
          <w:sz w:val="22"/>
          <w:szCs w:val="22"/>
        </w:rPr>
        <w:instrText xml:space="preserve"> PMC","title":"Review of take-home pesticide exposure pathway in children living in agricultural areas","volume":"156","author":[{"family":"Hyland","given":"Carly"},{"family":"Laribi","given":"Ouahiba"}],"issued":{"date-parts":[["2017",7,1]]}}},{"id":4706,</w:instrText>
      </w:r>
      <w:r>
        <w:rPr>
          <w:sz w:val="22"/>
          <w:szCs w:val="22"/>
        </w:rPr>
        <w:instrText xml:space="preserve">"uris":["http://zotero.org/users/5127433/items/K4C3HN5C"],"itemData":{"id":4706,"type":"article-journal","abstract":"Children's exposure to organophosphorus (OP) pesticides in an agricultural community in central Washington State was determined. Spot urine</w:instrText>
      </w:r>
      <w:r>
        <w:rPr>
          <w:sz w:val="22"/>
          <w:szCs w:val="22"/>
        </w:rPr>
        <w:instrText xml:space="preserve"> and hand wipe samples were collected from 109 children 9 months to 6 years of age, as were house dust samples, and wipe samples from various surfaces. Children were categorized based on parental occupation (agricultural vs nonagricultural) and on househol</w:instrText>
      </w:r>
      <w:r>
        <w:rPr>
          <w:sz w:val="22"/>
          <w:szCs w:val="22"/>
        </w:rPr>
        <w:instrText xml:space="preserve">d proximity to pesticide-treated orchards. Median house dust concentrations of dimethyl OP pesticides in homes of agricultural families were seven times higher than those of reference families (1. 92 vs 0.27 microg/g; P&lt;0.001). Median pesticide metabolite </w:instrText>
      </w:r>
      <w:r>
        <w:rPr>
          <w:sz w:val="22"/>
          <w:szCs w:val="22"/>
        </w:rPr>
        <w:instrText xml:space="preserve">concentrations in agricultural children were five times higher than those in reference children (0.05 vs 0.01 microg/ml; P=0.09). Median pesticide concentrations in housedust (P=0.01) and metabolite concentrations in urine (P=0.01) from agricultural famili</w:instrText>
      </w:r>
      <w:r>
        <w:rPr>
          <w:sz w:val="22"/>
          <w:szCs w:val="22"/>
        </w:rPr>
        <w:instrText xml:space="preserve">es were significantly higher in the children living near treated orchards (within 200 ft or 60 m) than those living more distant. Ten of 61 agricultural children had detectable OP pesticide levles on their hands, whereas none of the reference children had </w:instrText>
      </w:r>
      <w:r>
        <w:rPr>
          <w:sz w:val="22"/>
          <w:szCs w:val="22"/>
        </w:rPr>
        <w:instrText xml:space="preserve">detectable levels. These findings indicate that children living with parents who work with agricultural pesticides, or who live in proximity to pesticide-treated farmland, have higher exposures than do other children living in the same community","containe</w:instrText>
      </w:r>
      <w:r>
        <w:rPr>
          <w:sz w:val="22"/>
          <w:szCs w:val="22"/>
        </w:rPr>
        <w:instrText xml:space="preserve">r-title":"Environmental research","DOI":"10.1006/enrs.2000.4076","journalAbbreviation":"Environmental research","page":"290-302","source":"ResearchGate","title":"Pesticide Exposure of Children in an Agricultural Community: Evidence of Household Proximity t</w:instrText>
      </w:r>
      <w:r>
        <w:rPr>
          <w:sz w:val="22"/>
          <w:szCs w:val="22"/>
        </w:rPr>
        <w:instrText xml:space="preserve">o Farmland and Take Home Exposure Pathways","title-short":"Pesticide Exposure of Children in an Agricultural Community","volume":"84","author":[{"family":"Lu","given":"C"},{"family":"Fenske","given":"Richard"},{"family":"Simcox","given":"Nancy"},{"family":</w:instrText>
      </w:r>
      <w:r>
        <w:rPr>
          <w:sz w:val="22"/>
          <w:szCs w:val="22"/>
        </w:rPr>
        <w:instrText xml:space="preserve">"Kalman","given":"David"}],"issued":{"date-parts":[["2000",12,1]]}}},{"id":4736,"uris":["http://zotero.org/users/5127433/items/CXGU9RTA"],"itemData":{"id":4736,"type":"article-journal","abstract":"Child of agriculture families are likely to be exposed to a</w:instrText>
      </w:r>
      <w:r>
        <w:rPr>
          <w:sz w:val="22"/>
          <w:szCs w:val="22"/>
        </w:rPr>
        <w:instrText xml:space="preserve">gricultural chemicals, even if they are not involved in farm activities. This study was designed to determine whether such children are exposed to higher levels of pesticides than children whose parents are not involved in agriculture and whose homes are n</w:instrText>
      </w:r>
      <w:r>
        <w:rPr>
          <w:sz w:val="22"/>
          <w:szCs w:val="22"/>
        </w:rPr>
        <w:instrText xml:space="preserve">ot close to farms. Household dust and soil samples were collected in children's play areas from 59 residences in eastern Washington State (26 farming, 22 farmworker, and 11 nonfarming families). The majority of the farm families lived within 200 feet of an</w:instrText>
      </w:r>
      <w:r>
        <w:rPr>
          <w:sz w:val="22"/>
          <w:szCs w:val="22"/>
        </w:rPr>
        <w:instrText xml:space="preserve"> operating apple or pear orchard, whereas all reference homes were located at least a quarter of a mile from an orchard. Four organophosphorous (OP) insecticides commonly used on tree fruit were targeted for analysis: azinphosmethyl, chlorpyrifos, parathio</w:instrText>
      </w:r>
      <w:r>
        <w:rPr>
          <w:sz w:val="22"/>
          <w:szCs w:val="22"/>
        </w:rPr>
        <w:instrText xml:space="preserve">n, and phosmet. Samples were extracted and analyzed by gas chromatography/mass selective detection. Pesticide concentrations in household dust were significantly higher than in soil for all groups. OP levels for farmer/farm-worker families ranged from nond</w:instrText>
      </w:r>
      <w:r>
        <w:rPr>
          <w:sz w:val="22"/>
          <w:szCs w:val="22"/>
        </w:rPr>
        <w:instrText xml:space="preserve">etectable to 930 ng/g in soil (0.93 ppm) and from nondetectable to 17,000 ng/g in dust (17 ppm); all four OP compounds were found in 62% of household dust samples, and two-thirds of the farm homes contained at least one OP above 1000 ng/g. Residues were fo</w:instrText>
      </w:r>
      <w:r>
        <w:rPr>
          <w:sz w:val="22"/>
          <w:szCs w:val="22"/>
        </w:rPr>
        <w:instrText xml:space="preserve">und less frequently in reference homes and all levels were below 1000 ng/g. Household dust concentrations for all four target compounds were significantly lower in reference homes when compared to farmer/farmworker homes (Mann Whitney, U test; p &lt; 0.05). T</w:instrText>
      </w:r>
      <w:r>
        <w:rPr>
          <w:sz w:val="22"/>
          <w:szCs w:val="22"/>
        </w:rPr>
        <w:instrText xml:space="preserve">hese results demonstrate that children of agricultural families have a higher potential for exposure to OP pesticides than children of nonfarm families in this region. Measurable residues of a toxicity, I compound registered exclusively for agricultural us</w:instrText>
      </w:r>
      <w:r>
        <w:rPr>
          <w:sz w:val="22"/>
          <w:szCs w:val="22"/>
        </w:rPr>
        <w:instrText xml:space="preserve">e, azcnphosmettyl were found in household dust samples from all study homes, suggesting that low level exposure to such chemicals occurs throughout the region. Children's total and cumulative exposure to this pesticide class from household dust, soil, and </w:instrText>
      </w:r>
      <w:r>
        <w:rPr>
          <w:sz w:val="22"/>
          <w:szCs w:val="22"/>
        </w:rPr>
        <w:instrText xml:space="preserve">other sources warrants further investigation.","container-title":"Environmental Health Perspectives","DOI":"10.1289/ehp.951031126","issue":"12","note":"publisher: Environmental Health Perspectives","page":"1126-1134","source":"ehp.niehs.nih.gov (Atypon)","</w:instrText>
      </w:r>
      <w:r>
        <w:rPr>
          <w:sz w:val="22"/>
          <w:szCs w:val="22"/>
        </w:rPr>
        <w:instrText xml:space="preserve">title":"Pesticides in household dust and soil: exposure pathways for children of agricultural families.","title-short":"Pesticides in household dust and soil","volume":"103","author":[{"family":"Simcox","given":"N J"},{"family":"Fenske","given":"R A"},{"fa</w:instrText>
      </w:r>
      <w:r>
        <w:rPr>
          <w:sz w:val="22"/>
          <w:szCs w:val="22"/>
        </w:rPr>
        <w:instrText xml:space="preserve">mily":"Wolz","given":"S A"},{"family":"Lee","given":"I C"},{"family":"Kalman","given":"D A"}],"issued":{"date-parts":[["1995",12]]}}},{"id":4733,"uris":["http://zotero.org/users/5127433/items/PG2XT3KC"],"itemData":{"id":4733,"type":"article-journal","abstr</w:instrText>
      </w:r>
      <w:r>
        <w:rPr>
          <w:sz w:val="22"/>
          <w:szCs w:val="22"/>
        </w:rPr>
        <w:instrText xml:space="preserve">act":"Background\nOff-target drift of pesticides from farms increases the risk of pesticide exposure of people living nearby. Cholinesterase inhibitors (i.e. organophosphates and carbamates) are frequently used in agriculture and inhibit acetylcholinestera</w:instrText>
      </w:r>
      <w:r>
        <w:rPr>
          <w:sz w:val="22"/>
          <w:szCs w:val="22"/>
        </w:rPr>
        <w:instrText xml:space="preserve">se (AChE) activity. Greenhouse agriculture is an important production method, but it is unknown how far pesticide drift from greenhouses can extend and expose people living nearby.\n\nMethods\nThis study included 1156 observations from 3 exams (2008, Apr 2</w:instrText>
      </w:r>
      <w:r>
        <w:rPr>
          <w:sz w:val="22"/>
          <w:szCs w:val="22"/>
        </w:rPr>
        <w:instrText xml:space="preserve">016 and Jul-Oct of 623 children aged 4-to-17 years living in agricultural communities in Ecuador. AChE, a physiological marker of cholinesterase inhibitor exposure, was measured in blood. Geographic positioning of greenhouses and homes were obtained using </w:instrText>
      </w:r>
      <w:r>
        <w:rPr>
          <w:sz w:val="22"/>
          <w:szCs w:val="22"/>
        </w:rPr>
        <w:instrText xml:space="preserve">GPS receivers and satellite imagery. Distances between homes and the nearest greenhouse edge, and areas of greenhouse crops within various buffer zones around homes were calculated. Repeated-measures regression adjusted for hemoglobin and other covariates </w:instrText>
      </w:r>
      <w:r>
        <w:rPr>
          <w:sz w:val="22"/>
          <w:szCs w:val="22"/>
        </w:rPr>
        <w:instrText xml:space="preserve">estimated change in AChE relative to distance from greenhouses.\n\nResults\nThe pooled mean (SD) of AChE activity was 3.58 U/mL (0.60). The median (25th-75th %tile) residential distance to crops was 334 m (123, 648) and crop area within 500 m of homes (non</w:instrText>
      </w:r>
      <w:r>
        <w:rPr>
          <w:sz w:val="22"/>
          <w:szCs w:val="22"/>
        </w:rPr>
        <w:instrText xml:space="preserve">-zero values only) was 18,482 m2 (7115, 61,841). Residential proximity to greenhouse crops was associated with lower AChE activity among children living within 275m of crops (AChE difference per 100m of proximity [95% CI]= −0.10 U/mL [−0.20, −0.006]). Lowe</w:instrText>
      </w:r>
      <w:r>
        <w:rPr>
          <w:sz w:val="22"/>
          <w:szCs w:val="22"/>
        </w:rPr>
        <w:instrText xml:space="preserve">r AChE activity was associated with greater crop area within 500m of homes (AChE difference per 1000m2 [95% CI]= −0.026 U/mL [−0.040, −0.012]) and especially within 150m (−0.037 U/mL [−0.065, −0.007]).\n\nConclusions\nResidential proximity to floricultural</w:instrText>
      </w:r>
      <w:r>
        <w:rPr>
          <w:sz w:val="22"/>
          <w:szCs w:val="22"/>
        </w:rPr>
        <w:instrText xml:space="preserve"> greenhouses, especially within 275m, was associated with lower AChE activity among children, reflecting greater cholinesterase inhibitor exposure from pesticide drift. Analyses of residential proximity and crop areas near homes yielded complementary findi</w:instrText>
      </w:r>
      <w:r>
        <w:rPr>
          <w:sz w:val="22"/>
          <w:szCs w:val="22"/>
        </w:rPr>
        <w:instrText xml:space="preserve">ngs. Mitigation of off-target drift of pesticides from crops onto nearby homes is recommended.","container-title":"Environmental research","DOI":"10.1016/j.envres.2020.109728","ISSN":"0013-9351","journalAbbreviation":"Environ Res","note":"PMID: 32798937\nP</w:instrText>
      </w:r>
      <w:r>
        <w:rPr>
          <w:sz w:val="22"/>
          <w:szCs w:val="22"/>
        </w:rPr>
        <w:instrText xml:space="preserve">MCID: PMC7483309","page":"109728","source":"PubMed Central","title":"Residential proximity to greenhouse crops and pesticide exposure (via acetylcholinesterase activity) assessed from childhood through adolescence","volume":"188","author":[{"family":"Suáre</w:instrText>
      </w:r>
      <w:r>
        <w:rPr>
          <w:sz w:val="22"/>
          <w:szCs w:val="22"/>
        </w:rPr>
        <w:instrText xml:space="preserve">z-López","given":"José R."},{"family":"Nazeeh","given":"Noor"},{"family":"Kayser","given":"Georgia"},{"family":"Suarez-Torres","given":"Jose"},{"family":"Checkoway","given":"Harvey"},{"family":"López-Paredes","given":"Dolores"},{"family":"Jacobs","given":"</w:instrText>
      </w:r>
      <w:r>
        <w:rPr>
          <w:sz w:val="22"/>
          <w:szCs w:val="22"/>
        </w:rPr>
        <w:instrText xml:space="preserve">David R."},{"family":"Cruz","given":"Franklin","non-dropping-particle":"de la"}],"issued":{"date-parts":[["2020",9]]}}},{"id":4738,"uris":["http://zotero.org/users/5127433/items/8QA6Z3A5"],"itemData":{"id":4738,"type":"article-journal","abstract":"Rural re</w:instrText>
      </w:r>
      <w:r>
        <w:rPr>
          <w:sz w:val="22"/>
          <w:szCs w:val="22"/>
        </w:rPr>
        <w:instrText xml:space="preserve">sidents can be exposed to agricultural pesticides through the proximity of their homes to crop fields. Previously, we developed a method to create historical crop maps using a geographic information system. The aim of the present study was to determine whe</w:instrText>
      </w:r>
      <w:r>
        <w:rPr>
          <w:sz w:val="22"/>
          <w:szCs w:val="22"/>
        </w:rPr>
        <w:instrText xml:space="preserve">ther crop maps are useful for predicting levels of crop herbicides in carpet dust samples from residences. From homes of participants in a case–control study of non-Hodgkin lymphoma in Iowa (1998–2000), we collected vacuum cleaner dust and measured 14 herb</w:instrText>
      </w:r>
      <w:r>
        <w:rPr>
          <w:sz w:val="22"/>
          <w:szCs w:val="22"/>
        </w:rPr>
        <w:instrText xml:space="preserve">icides with high use on corn and soybeans in Iowa. Of 112 homes, 58% of residences had crops within 500 m of their home, an intermediate distance for primary drift from aerial and ground applications. Detection rates for herbicides ranged from 0% for metri</w:instrText>
      </w:r>
      <w:r>
        <w:rPr>
          <w:sz w:val="22"/>
          <w:szCs w:val="22"/>
        </w:rPr>
        <w:instrText xml:space="preserve">buzin and cyanazine to 95% for 2,4-dichlorophenoxyacetic acid. Six herbicides used almost exclusively in agriculture were detected in 28% of homes. Detections and concentrations were highest in homes with an active farmer. Increasing acreage of corn and so</w:instrText>
      </w:r>
      <w:r>
        <w:rPr>
          <w:sz w:val="22"/>
          <w:szCs w:val="22"/>
          <w:lang w:val="es-MX"/>
        </w:rPr>
        <w:instrText xml:space="preserve">ybean fields within 750 m of homes was associated with significantly elevated odds of detecting agricultural herbicides compared with homes with no crops within 750 m (adjusted odds ratio per 10 acres = 1.06; 95% confid</w:instrText>
      </w:r>
      <w:r>
        <w:rPr>
          <w:sz w:val="22"/>
          <w:szCs w:val="22"/>
          <w:lang w:val="es-MX"/>
        </w:rPr>
        <w:instrText xml:space="preserve">ence interval, 1.02–1.11). Herbicide concentrations also increased significantly with increasing acreage within 750 m. We evaluated the distance of crop fields from the home at &lt; 100, 101–250, 251–500, and 501–750 m. Including the crop buffer distance para</w:instrText>
      </w:r>
      <w:r>
        <w:rPr>
          <w:sz w:val="22"/>
          <w:szCs w:val="22"/>
          <w:lang w:val="es-MX"/>
        </w:rPr>
        <w:instrText xml:space="preserve">meters in the model did not significantly improve the fit compared with a model with total acres within 750 m. Our results indicate that crop maps may be a useful method for estimating levels of herbicides in homes from nearby crop fields.","container-titl</w:instrText>
      </w:r>
      <w:r>
        <w:rPr>
          <w:sz w:val="22"/>
          <w:szCs w:val="22"/>
          <w:lang w:val="es-MX"/>
        </w:rPr>
        <w:instrText xml:space="preserve">e":"Environmental Health Perspectives","DOI":"10.1289/ehp.8770","issue":"6","note":"publisher: Environmental Health Perspectives","page":"893-897","source":"ehp.niehs.nih.gov (Atypon)","title":"Proximity to Crops and Residential Exposure to Agricultural He</w:instrText>
      </w:r>
      <w:r>
        <w:rPr>
          <w:sz w:val="22"/>
          <w:szCs w:val="22"/>
          <w:lang w:val="es-MX"/>
        </w:rPr>
        <w:instrText xml:space="preserve">rbicides in Iowa","volume":"114","author":[{"family":"Ward","given":"Mary H."},{"family":"Lubin","given":"Jay"},{"family":"Giglierano","given":"James"},{"family":"Colt","given":"Joanne S."},{"family":"Wolter","given":"Calvin"},{"family":"Bekiroglu","given"</w:instrText>
      </w:r>
      <w:r>
        <w:rPr>
          <w:sz w:val="22"/>
          <w:szCs w:val="22"/>
          <w:lang w:val="es-MX"/>
        </w:rPr>
        <w:instrText xml:space="preserve">:"Nural"},{"family":"Camann","given":"David"},{"family":"Hartge","given":"Patricia"},{"family":"Nuckols","given":"John R."}],"issued":{"date-parts":[["2006",6]]}}}],"schema":"https://github.com/citation-style-language/schema/raw/master/csl-citation.json"} </w:instrText>
      </w:r>
      <w:r>
        <w:rPr>
          <w:sz w:val="22"/>
          <w:szCs w:val="22"/>
        </w:rPr>
        <w:fldChar w:fldCharType="separate"/>
      </w:r>
      <w:r>
        <w:rPr>
          <w:sz w:val="22"/>
          <w:lang w:val="es-MX"/>
        </w:rPr>
        <w:t xml:space="preserve">(Coronado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w:t>
      </w:r>
      <w:r>
        <w:rPr>
          <w:color w:val="000000"/>
          <w:sz w:val="22"/>
          <w:szCs w:val="22"/>
        </w:rPr>
        <w:t xml:space="preserve">plays</w:t>
      </w:r>
      <w:r>
        <w:rPr>
          <w:color w:val="000000"/>
          <w:sz w:val="22"/>
          <w:szCs w:val="22"/>
        </w:rPr>
        <w:t xml:space="preserve"> an important role in pesticide exposures </w:t>
      </w:r>
      <w:r>
        <w:rPr>
          <w:color w:val="000000"/>
          <w:sz w:val="22"/>
          <w:szCs w:val="22"/>
        </w:rPr>
        <w:t xml:space="preserve">for</w:t>
      </w:r>
      <w:r>
        <w:rPr>
          <w:color w:val="000000"/>
          <w:sz w:val="22"/>
          <w:szCs w:val="22"/>
        </w:rPr>
        <w:t xml:space="preserve"> families living near pesticide-spray sites</w:t>
      </w:r>
      <w:r>
        <w:rPr>
          <w:color w:val="000000"/>
          <w:sz w:val="22"/>
          <w:szCs w:val="22"/>
        </w:rPr>
        <w:t xml:space="preserve"> </w:t>
      </w:r>
      <w:r>
        <w:rPr>
          <w:color w:val="000000"/>
          <w:sz w:val="22"/>
          <w:szCs w:val="22"/>
        </w:rPr>
        <w:fldChar w:fldCharType="begin"/>
      </w:r>
      <w:r>
        <w:rPr>
          <w:color w:val="000000"/>
          <w:sz w:val="22"/>
          <w:szCs w:val="22"/>
        </w:rPr>
        <w:instrText xml:space="preserve"> ADDIN</w:instrText>
      </w:r>
      <w:r>
        <w:rPr>
          <w:color w:val="000000"/>
          <w:sz w:val="22"/>
          <w:szCs w:val="22"/>
        </w:rPr>
        <w:instrText xml:space="preserve"> ZOTERO_ITEM CSL_CITATION {"citationID":"u4IaDArA","properties":{"formattedCitation":"(Coronado et al., 2011; Ward et al., 2006)","plainCitation":"(Coronado et al., 2011; Ward et al., 2006)","noteIndex":0},"citationItems":[{"id":4675,"uris":["http://zotero</w:instrText>
      </w:r>
      <w:r>
        <w:rPr>
          <w:color w:val="000000"/>
          <w:sz w:val="22"/>
          <w:szCs w:val="22"/>
        </w:rPr>
        <w:instrText xml:space="preserve">.org/users/5127433/items/JD22R45A"],"itemData":{"id":4675,"type":"article-journal","abstract":"Objectives: \n          Residential proximity to pesticide-treated farmland is an important pesticide exposure pathway.\n          Methods: \n          In-person</w:instrText>
      </w:r>
      <w:r>
        <w:rPr>
          <w:color w:val="000000"/>
          <w:sz w:val="22"/>
          <w:szCs w:val="22"/>
        </w:rPr>
        <w:instrText xml:space="preserve"> interviews and biological samples were collected from 100 farmworker and 100 non-farmworker adults and children living in Eastern Washington State. We examined the relationship of residential proximity to farmland to urinary metabolite concentrations of d</w:instrText>
      </w:r>
      <w:r>
        <w:rPr>
          <w:color w:val="000000"/>
          <w:sz w:val="22"/>
          <w:szCs w:val="22"/>
        </w:rPr>
        <w:instrText xml:space="preserve">imethylphosphate (DMTP) and levels of pesticide residues in house dust.\n          Results: \n          DMTP concentrations were higher in farmworkers than non-farmworkers (71 μg/L vs 6 μg/L) and in farmworker children than non-farmworker children (17 μg/L</w:instrText>
      </w:r>
      <w:r>
        <w:rPr>
          <w:color w:val="000000"/>
          <w:sz w:val="22"/>
          <w:szCs w:val="22"/>
        </w:rPr>
        <w:instrText xml:space="preserve"> vs 8 μg/L). Compared to non-farmworker households, farmworker households had higher levels of azinphos-methyl (643 ng/g vs 121 ng/g) and phosmet (153 ng/g vs 50 ng/g). Overall, a 20% reduction in DMTP concentration was observed per mile increase in distan</w:instrText>
      </w:r>
      <w:r>
        <w:rPr>
          <w:color w:val="000000"/>
          <w:sz w:val="22"/>
          <w:szCs w:val="22"/>
        </w:rPr>
        <w:instrText xml:space="preserve">ce from farmland.\n          Conclusions: \n          Lower OP metabolite concentrations correlated with increasing distance from farmland.","container-title":"Journal of Occupational and Environmental Medicine","DOI":"10.1097/JOM.0b013e318222f03a","ISSN":</w:instrText>
      </w:r>
      <w:r>
        <w:rPr>
          <w:color w:val="000000"/>
          <w:sz w:val="22"/>
          <w:szCs w:val="22"/>
        </w:rPr>
        <w:instrText xml:space="preserve">"1076-2752","issue":"8","language":"en-US","page":"884","source":"journals.lww.com","title":"Organophosphate Pesticide Exposure and Residential Proximity to Nearby Fields: Evidence for the Drift Pathway","title-short":"Organophosphate Pesticide Exposure an</w:instrText>
      </w:r>
      <w:r>
        <w:rPr>
          <w:color w:val="000000"/>
          <w:sz w:val="22"/>
          <w:szCs w:val="22"/>
        </w:rPr>
        <w:instrText xml:space="preserve">d Residential Proximity to Nearby Fields","volume":"53","author":[{"family":"Coronado","given":"Gloria D."},{"family":"Holte","given":"Sarah"},{"family":"Vigoren","given":"Eric"},{"family":"Griffith","given":"William C."},{"family":"Barr","given":"Dana Boy</w:instrText>
      </w:r>
      <w:r>
        <w:rPr>
          <w:color w:val="000000"/>
          <w:sz w:val="22"/>
          <w:szCs w:val="22"/>
        </w:rPr>
        <w:instrText xml:space="preserve">d"},{"family":"Faustman","given":"Elaine"},{"family":"Thompson","given":"Beti"}],"issued":{"date-parts":[["2011",8]]}}},{"id":4738,"uris":["http://zotero.org/users/5127433/items/8QA6Z3A5"],"itemData":{"id":4738,"type":"article-journal","abstract":"Rural re</w:instrText>
      </w:r>
      <w:r>
        <w:rPr>
          <w:color w:val="000000"/>
          <w:sz w:val="22"/>
          <w:szCs w:val="22"/>
        </w:rPr>
        <w:instrText xml:space="preserve">sidents can be exposed to agricultural pesticides through the proximity of their homes to crop fields. Previously, we developed a method to create historical crop maps using a geographic information system. The aim of the present study was to determine whe</w:instrText>
      </w:r>
      <w:r>
        <w:rPr>
          <w:color w:val="000000"/>
          <w:sz w:val="22"/>
          <w:szCs w:val="22"/>
        </w:rPr>
        <w:instrText xml:space="preserve">ther crop maps are useful for predicting levels of crop herbicides in carpet dust samples from residences. From homes of participants in a case–control study of non-Hodgkin lymphoma in Iowa (1998–2000), we collected vacuum cleaner dust and measured 14 herb</w:instrText>
      </w:r>
      <w:r>
        <w:rPr>
          <w:color w:val="000000"/>
          <w:sz w:val="22"/>
          <w:szCs w:val="22"/>
        </w:rPr>
        <w:instrText xml:space="preserve">icides with high use on corn and soybeans in Iowa. Of 112 homes, 58% of residences had crops within 500 m of their home, an intermediate distance for primary drift from aerial and ground applications. Detection rates for herbicides ranged from 0% for metri</w:instrText>
      </w:r>
      <w:r>
        <w:rPr>
          <w:color w:val="000000"/>
          <w:sz w:val="22"/>
          <w:szCs w:val="22"/>
        </w:rPr>
        <w:instrText xml:space="preserve">buzin and cyanazine to 95% for 2,4-dichlorophenoxyacetic acid. Six herbicides used almost exclusively in agriculture were detected in 28% of homes. Detections and concentrations were highest in homes with an active farmer. Increasing acreage of corn and so</w:instrText>
      </w:r>
      <w:r>
        <w:rPr>
          <w:color w:val="000000"/>
          <w:sz w:val="22"/>
          <w:szCs w:val="22"/>
        </w:rPr>
        <w:instrText xml:space="preserve">ybean fields within 750 m of homes </w:instrText>
      </w:r>
      <w:r>
        <w:rPr>
          <w:color w:val="000000"/>
          <w:sz w:val="22"/>
          <w:szCs w:val="22"/>
        </w:rPr>
        <w:instrText xml:space="preserve">was associated with significantly elevated odds of detecting agricultural herbicides compared with homes with no crops within 750 m (adjusted odds ratio per 10 acres = 1.06; 95% confid</w:instrText>
      </w:r>
      <w:r>
        <w:rPr>
          <w:color w:val="000000"/>
          <w:sz w:val="22"/>
          <w:szCs w:val="22"/>
        </w:rPr>
        <w:instrText xml:space="preserve">ence interval, 1.02–1.11). Herbicide concentrations also increased significantly with increasing acreage within 750 m. We evaluated the distance of crop fields from the home at &lt; 100, 101–250, 251–500, and 501–750 m. Including the crop buffer distance para</w:instrText>
      </w:r>
      <w:r>
        <w:rPr>
          <w:color w:val="000000"/>
          <w:sz w:val="22"/>
          <w:szCs w:val="22"/>
        </w:rPr>
        <w:instrText xml:space="preserve">meters in the model did not significantly improve the fit compared with a model with total acres within 750 m. Our results indicate that crop maps may be a useful method for estimating levels of herbicides in homes from nearby crop fields.","container-titl</w:instrText>
      </w:r>
      <w:r>
        <w:rPr>
          <w:color w:val="000000"/>
          <w:sz w:val="22"/>
          <w:szCs w:val="22"/>
        </w:rPr>
        <w:instrText xml:space="preserve">e":"Environmental Health Perspectives","DOI":"10.1289/ehp.8770","issue":"6","note":"publisher: Environmental Health Perspectives","page":"893-897","source":"ehp.niehs.nih.gov (Atypon)","title":"Proximity to Crops and Residential Exposure to Agricultural He</w:instrText>
      </w:r>
      <w:r>
        <w:rPr>
          <w:color w:val="000000"/>
          <w:sz w:val="22"/>
          <w:szCs w:val="22"/>
        </w:rPr>
        <w:instrText xml:space="preserve">rbicides in Iowa","volume":"114","author":[{"family":"Ward","given":"Mary H."},{"family":"Lubin","given":"Jay"},{"family":"Giglierano","given":"James"},{"family":"Colt","given":"Joanne S."},{"family":"Wolter","given":"Calvin"},{"family":"Bekiroglu","given"</w:instrText>
      </w:r>
      <w:r>
        <w:rPr>
          <w:color w:val="000000"/>
          <w:sz w:val="22"/>
          <w:szCs w:val="22"/>
        </w:rPr>
        <w:instrText xml:space="preserve">:"Nural"},{"family":"Camann","given":"David"},{"family":"Hartge","given":"Patricia"},{"family":"Nuckols","given":"John R."}],"issued":{"date-parts":[["2006",6]]}}}],"schema":"https://github.com/citation-style-language/schema/raw/master/csl-citation.json"} </w:instrText>
      </w:r>
      <w:r>
        <w:rPr>
          <w:color w:val="000000"/>
          <w:sz w:val="22"/>
          <w:szCs w:val="22"/>
        </w:rPr>
        <w:fldChar w:fldCharType="separate"/>
      </w:r>
      <w:r>
        <w:rPr>
          <w:sz w:val="22"/>
        </w:rPr>
        <w:t xml:space="preserve">(Coronado et al., 2011; Ward et al., 2006)</w:t>
      </w:r>
      <w:r>
        <w:rPr>
          <w:color w:val="000000"/>
          <w:sz w:val="22"/>
          <w:szCs w:val="22"/>
        </w:rPr>
        <w:fldChar w:fldCharType="end"/>
      </w:r>
      <w:r>
        <w:rPr>
          <w:color w:val="000000"/>
          <w:sz w:val="22"/>
          <w:szCs w:val="22"/>
        </w:rPr>
        <w:t xml:space="preserve">.</w:t>
      </w:r>
      <w:r>
        <w:rPr>
          <w:color w:val="c00000"/>
          <w:sz w:val="22"/>
          <w:szCs w:val="22"/>
        </w:rPr>
        <w:t xml:space="preserve"> </w:t>
      </w:r>
      <w:r>
        <w:rPr>
          <w:color w:val="000000"/>
          <w:sz w:val="22"/>
          <w:szCs w:val="22"/>
        </w:rPr>
        <w:t xml:space="preserve">For example, children living within 60</w:t>
      </w:r>
      <w:r>
        <w:rPr>
          <w:color w:val="000000"/>
          <w:sz w:val="22"/>
          <w:szCs w:val="22"/>
        </w:rPr>
        <w:t xml:space="preserve">-</w:t>
      </w:r>
      <w:r>
        <w:rPr>
          <w:color w:val="000000"/>
          <w:sz w:val="22"/>
          <w:szCs w:val="22"/>
        </w:rPr>
        <w:t xml:space="preserve">275</w:t>
      </w:r>
      <w:r>
        <w:rPr>
          <w:color w:val="000000"/>
          <w:sz w:val="22"/>
          <w:szCs w:val="22"/>
        </w:rPr>
        <w:t xml:space="preserve"> </w:t>
      </w:r>
      <w:r>
        <w:rPr>
          <w:color w:val="000000"/>
          <w:sz w:val="22"/>
          <w:szCs w:val="22"/>
        </w:rPr>
        <w:t xml:space="preserve">m of agricultural sites had</w:t>
      </w:r>
      <w:r>
        <w:rPr>
          <w:color w:val="000000"/>
          <w:sz w:val="22"/>
          <w:szCs w:val="22"/>
        </w:rPr>
        <w:t xml:space="preserve"> lower acetylcholinesterase </w:t>
      </w:r>
      <w:r>
        <w:rPr>
          <w:color w:val="000000"/>
          <w:sz w:val="22"/>
          <w:szCs w:val="22"/>
        </w:rPr>
        <w:t xml:space="preserve">(</w:t>
      </w:r>
      <w:r>
        <w:rPr>
          <w:color w:val="000000"/>
          <w:sz w:val="22"/>
          <w:szCs w:val="22"/>
        </w:rPr>
        <w:t xml:space="preserve">AChE</w:t>
      </w:r>
      <w:r>
        <w:rPr>
          <w:color w:val="000000"/>
          <w:sz w:val="22"/>
          <w:szCs w:val="22"/>
        </w:rPr>
        <w:t xml:space="preserve">) </w:t>
      </w:r>
      <w:r>
        <w:rPr>
          <w:color w:val="000000"/>
          <w:sz w:val="22"/>
          <w:szCs w:val="22"/>
        </w:rPr>
        <w:t xml:space="preserve">activity</w:t>
      </w:r>
      <w:r>
        <w:rPr>
          <w:color w:val="000000"/>
          <w:sz w:val="22"/>
          <w:szCs w:val="22"/>
        </w:rPr>
        <w:t xml:space="preserve">, an enzyme inhibited by organophosphate</w:t>
      </w:r>
      <w:r>
        <w:rPr>
          <w:color w:val="000000"/>
          <w:sz w:val="22"/>
          <w:szCs w:val="22"/>
        </w:rPr>
        <w:t xml:space="preserve"> (OP)</w:t>
      </w:r>
      <w:r>
        <w:rPr>
          <w:color w:val="000000"/>
          <w:sz w:val="22"/>
          <w:szCs w:val="22"/>
        </w:rPr>
        <w:t xml:space="preserve"> </w:t>
      </w:r>
      <w:commentRangeStart w:id="2"/>
      <w:r>
        <w:rPr>
          <w:color w:val="000000"/>
          <w:sz w:val="22"/>
          <w:szCs w:val="22"/>
        </w:rPr>
        <w:t xml:space="preserve">insecticides</w:t>
      </w:r>
      <w:commentRangeEnd w:id="2"/>
      <w:r>
        <w:commentReference w:id="2"/>
      </w:r>
      <w:r>
        <w:rPr>
          <w:color w:val="000000"/>
          <w:sz w:val="22"/>
          <w:szCs w:val="22"/>
        </w:rPr>
        <w:t xml:space="preserve">, and</w:t>
      </w:r>
      <w:r>
        <w:rPr>
          <w:color w:val="000000"/>
          <w:sz w:val="22"/>
          <w:szCs w:val="22"/>
        </w:rPr>
        <w:t xml:space="preserve"> higher urinary pesticide biomarkers and pesticide levels within their house dust</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{"citationID":"dwLQlg5t","properties":{"formattedCitation":"(Bradman et al., 2011; Lu et al., 2000)","plainCitation":"(Bradman et al., 2011; Lu et al., 2000)","noteIndex":0},"citationItems":[{"id":4668,"uris":["http://z</w:instrText>
      </w:r>
      <w:r>
        <w:rPr>
          <w:color w:val="000000"/>
          <w:sz w:val="22"/>
          <w:szCs w:val="22"/>
        </w:rPr>
        <w:instrText xml:space="preserve">otero.org/users/5127433/items/9BMPYSXZ"],"itemData":{"id":4668,"type":"article-journal","abstract":"Organophosphorus (OP) pesticides are used in agriculture and several are registered for home use. As young children age they may experience different pestic</w:instrText>
      </w:r>
      <w:r>
        <w:rPr>
          <w:color w:val="000000"/>
          <w:sz w:val="22"/>
          <w:szCs w:val="22"/>
        </w:rPr>
        <w:instrText xml:space="preserve">ide exposures due to varying diet, behavior, and other factors. We measured six OP dialkylphosphate (DAP) metabolites (three dimethyl alkylphosphates (DMAP) and three diethyl alkylphosphates (DEAP)) in urine samples collected from ~400 children living in a</w:instrText>
      </w:r>
      <w:r>
        <w:rPr>
          <w:color w:val="000000"/>
          <w:sz w:val="22"/>
          <w:szCs w:val="22"/>
        </w:rPr>
        <w:instrText xml:space="preserve">n agricultural community when they were 6, 12, and 24 months old. We examined bivariate associations between DAP metabolite levels and determinants such as age, diet, season, and parent occupation. To evaluate independent impacts, we then used generalized </w:instrText>
      </w:r>
      <w:r>
        <w:rPr>
          <w:color w:val="000000"/>
          <w:sz w:val="22"/>
          <w:szCs w:val="22"/>
        </w:rPr>
        <w:instrText xml:space="preserve">linear mixed multivariable models including interaction terms with age. The final models indicated that DMAP metabolite levels increased with age. DMAP levels were also positively associated with daily servings of produce at 6- and 24-months. Among the 6-m</w:instrText>
      </w:r>
      <w:r>
        <w:rPr>
          <w:rFonts w:hint="eastAsia"/>
          <w:color w:val="000000"/>
          <w:sz w:val="22"/>
          <w:szCs w:val="22"/>
        </w:rPr>
        <w:instrText xml:space="preserve">onth olds, DMAP metabolite levels were higher when samples were collected during the summer/spring versus the winter/fall months. Among the 12-month olds, DMAP and DEAP metabolites were higher when children lived </w:instrText>
      </w:r>
      <w:r>
        <w:rPr>
          <w:rFonts w:hint="eastAsia"/>
          <w:color w:val="000000"/>
          <w:sz w:val="22"/>
          <w:szCs w:val="22"/>
        </w:rPr>
        <w:instrText xml:space="preserve">≤</w:instrText>
      </w:r>
      <w:r>
        <w:rPr>
          <w:rFonts w:hint="eastAsia"/>
          <w:color w:val="000000"/>
          <w:sz w:val="22"/>
          <w:szCs w:val="22"/>
        </w:rPr>
        <w:instrText xml:space="preserve">60 meters from an agricultural field. Amo</w:instrText>
      </w:r>
      <w:r>
        <w:rPr>
          <w:color w:val="000000"/>
          <w:sz w:val="22"/>
          <w:szCs w:val="22"/>
        </w:rPr>
        <w:instrText xml:space="preserve">ng the 24-month-olds, DEAP metabolite levels were higher during the summer/spring months. Our findings suggest that there are multiple determinants of OP pesticide exposures, notably dietary inta</w:instrText>
      </w:r>
      <w:r>
        <w:rPr>
          <w:color w:val="000000"/>
          <w:sz w:val="22"/>
          <w:szCs w:val="22"/>
        </w:rPr>
        <w:instrText xml:space="preserve">ke and temporal and spatial proximity to agricultural use. The impact of these determinants varied by age and class of DAP metabolite.","container-title":"International Journal of Environmental Research and Public Health","DOI":"10.3390/ijerph8041061","ISS</w:instrText>
      </w:r>
      <w:r>
        <w:rPr>
          <w:color w:val="000000"/>
          <w:sz w:val="22"/>
          <w:szCs w:val="22"/>
        </w:rPr>
        <w:instrText xml:space="preserve">N":"1660-4601","issue":"4","language":"en","license":"http://creativecommons.org/licenses/by/3.0/","note":"number: 4\npublisher: Molecular Diversity Preservation International","page":"1061-1083","source":"www.mdpi.com","title":"Determinants of Organophosp</w:instrText>
      </w:r>
      <w:r>
        <w:rPr>
          <w:color w:val="000000"/>
          <w:sz w:val="22"/>
          <w:szCs w:val="22"/>
        </w:rPr>
        <w:instrText xml:space="preserve">horus Pesticide Urinary Metabolite Levels in Young Children Living in an Agricultural Community","volume":"8","author":[{"family":"Bradman","given":"Asa"},{"family":"Castorina","given":"Rosemary"},{"family":"Boyd Barr","given":"Dana"},{"family":"Chevrier",</w:instrText>
      </w:r>
      <w:r>
        <w:rPr>
          <w:color w:val="000000"/>
          <w:sz w:val="22"/>
          <w:szCs w:val="22"/>
        </w:rPr>
        <w:instrText xml:space="preserve">"given":"Jonathan"},{"family":"Harnly","given":"Martha E."},{"family":"Eisen","given":"Ellen A."},{"family":"McKone","given":"Thomas E."},{"family":"Harley","given":"Kim"},{"family":"Holland","given":"Nina"},{"family":"Eskenazi","given":"Brenda"}],"issued"</w:instrText>
      </w:r>
      <w:r>
        <w:rPr>
          <w:color w:val="000000"/>
          <w:sz w:val="22"/>
          <w:szCs w:val="22"/>
        </w:rPr>
        <w:instrText xml:space="preserve">:{"date-parts":[["2011",4]]}}},{"id":4706,"uris":["http://zotero.org/users/5127433/items/K4C3HN5C"],"itemData":{"id":4706,"type":"article-journal","abstract":"Children's exposure to organophosphorus (OP) pesticides in an agricultural community in central W</w:instrText>
      </w:r>
      <w:r>
        <w:rPr>
          <w:color w:val="000000"/>
          <w:sz w:val="22"/>
          <w:szCs w:val="22"/>
        </w:rPr>
        <w:instrText xml:space="preserve">ashington State was determined. Spot urine and hand wipe samples were collected from 109 children 9 months to 6 years of age, as were house dust samples, and wipe samples from various surfaces. Children were categorized based on parental occupation (agricu</w:instrText>
      </w:r>
      <w:r>
        <w:rPr>
          <w:color w:val="000000"/>
          <w:sz w:val="22"/>
          <w:szCs w:val="22"/>
        </w:rPr>
        <w:instrText xml:space="preserve">ltural vs nonagricultural) and on household proximity to pesticide-treated orchards. Median house dust concentrations of dimethyl OP pesticides in homes of agricultural families were seven times higher than those of reference families (1. 92 vs 0.27 microg</w:instrText>
      </w:r>
      <w:r>
        <w:rPr>
          <w:color w:val="000000"/>
          <w:sz w:val="22"/>
          <w:szCs w:val="22"/>
        </w:rPr>
        <w:instrText xml:space="preserve">/g; P&lt;0.001). Median pesticide metabolite concentrations in agricultural children were five times higher than those in reference children (0.05 vs 0.01 microg/ml; P=0.09). Median pesticide concentrations</w:instrText>
      </w:r>
      <w:r>
        <w:rPr>
          <w:color w:val="000000"/>
          <w:sz w:val="22"/>
          <w:szCs w:val="22"/>
        </w:rPr>
        <w:instrText xml:space="preserve"> in housedust (P=0.01) and metabolite concentrations in urine (P=0.01) from agricultural families were significantly higher in the children living near treated orchards (within 200 ft or 60 m) than those living more distant. Ten of 61 agricultural children</w:instrText>
      </w:r>
      <w:r>
        <w:rPr>
          <w:color w:val="000000"/>
          <w:sz w:val="22"/>
          <w:szCs w:val="22"/>
        </w:rPr>
        <w:instrText xml:space="preserve"> had detectable OP pesticide levles on their hands, whereas none of the reference children had detectable levels. These findings indicate that children living with parents who work with agricultural pesticides, or who live in proximity to pesticide-treated</w:instrText>
      </w:r>
      <w:r>
        <w:rPr>
          <w:color w:val="000000"/>
          <w:sz w:val="22"/>
          <w:szCs w:val="22"/>
        </w:rPr>
        <w:instrText xml:space="preserve"> farmland, have higher exposures than do other children living in the same community","container-title":"Environmental research","DOI":"10.1006/enrs.2000.4076","journalAbbreviation":"Environmental research","page":"290-302","source":"ResearchGate","title":</w:instrText>
      </w:r>
      <w:r>
        <w:rPr>
          <w:color w:val="000000"/>
          <w:sz w:val="22"/>
          <w:szCs w:val="22"/>
        </w:rPr>
        <w:instrText xml:space="preserve">"Pesticide Exposure of Children in an Agricultural Community: Evidence of Household Proximity to Farmland and Take Home Exposure Pathways","title-short":"Pesticide Exposure of Children in an Agricultural Community","volume":"84","author":[{"family":"Lu","g</w:instrText>
      </w:r>
      <w:r>
        <w:rPr>
          <w:color w:val="000000"/>
          <w:sz w:val="22"/>
          <w:szCs w:val="22"/>
        </w:rPr>
        <w:instrText xml:space="preserve">iven":"C"},{"family":"Fenske","given":"Richard"},{"family":"Simcox","given":"Nancy"},{"family":"Kalman","given":"David"}],"issued":{"date-parts":[["2000",12,1]]}}}],"schema":"https://github.com/citation-style-language/schema/raw/master/csl-citation.json"} </w:instrText>
      </w:r>
      <w:r>
        <w:rPr>
          <w:color w:val="000000"/>
          <w:sz w:val="22"/>
          <w:szCs w:val="22"/>
        </w:rPr>
        <w:fldChar w:fldCharType="separate"/>
      </w:r>
      <w:r>
        <w:rPr>
          <w:sz w:val="22"/>
        </w:rPr>
        <w:t xml:space="preserve">(Bradman et al., 2011; Lu et al., 2000)</w:t>
      </w:r>
      <w:r>
        <w:rPr>
          <w:color w:val="000000"/>
          <w:sz w:val="22"/>
          <w:szCs w:val="22"/>
        </w:rPr>
        <w:fldChar w:fldCharType="end"/>
      </w:r>
      <w:r>
        <w:rPr>
          <w:color w:val="000000"/>
          <w:sz w:val="22"/>
          <w:szCs w:val="22"/>
        </w:rPr>
        <w:t xml:space="preserve">.</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firstLine="720"/>
        <w:jc w:val="both"/>
        <w:rPr>
          <w:color w:val="c00000"/>
          <w:sz w:val="22"/>
          <w:szCs w:val="22"/>
        </w:rPr>
      </w:pPr>
      <w:r>
        <w:rPr>
          <w:sz w:val="22"/>
          <w:szCs w:val="22"/>
        </w:rPr>
        <w:t xml:space="preserve">Exposure to certain insecticides</w:t>
      </w:r>
      <w:r>
        <w:rPr>
          <w:sz w:val="22"/>
          <w:szCs w:val="22"/>
        </w:rPr>
        <w:t xml:space="preserve"> </w:t>
      </w:r>
      <w:r>
        <w:rPr>
          <w:sz w:val="22"/>
          <w:szCs w:val="22"/>
        </w:rPr>
        <w:t xml:space="preserve">including organophosphates (OPs), carbamates, organochlorines (OCs), neonicotinoids (NEOs), and pyrethroids</w:t>
      </w:r>
      <w:r>
        <w:rPr>
          <w:sz w:val="22"/>
          <w:szCs w:val="22"/>
        </w:rPr>
        <w:t xml:space="preserve">, </w:t>
      </w:r>
      <w:r>
        <w:rPr>
          <w:sz w:val="22"/>
          <w:szCs w:val="22"/>
        </w:rPr>
        <w:t xml:space="preserve">as well as fungicides and herbicides during early childhood, </w:t>
      </w:r>
      <w:r>
        <w:rPr>
          <w:sz w:val="22"/>
          <w:szCs w:val="22"/>
        </w:rPr>
        <w:t xml:space="preserve">may have </w:t>
      </w:r>
      <w:r>
        <w:rPr>
          <w:sz w:val="22"/>
          <w:szCs w:val="22"/>
        </w:rPr>
        <w:t xml:space="preserve">adverse effects on neurodevelopment </w:t>
      </w:r>
      <w:r>
        <w:rPr>
          <w:sz w:val="22"/>
          <w:szCs w:val="22"/>
        </w:rPr>
        <w:t xml:space="preserve"> </w:t>
      </w:r>
      <w:r>
        <w:rPr>
          <w:sz w:val="22"/>
          <w:szCs w:val="22"/>
        </w:rPr>
        <w:fldChar w:fldCharType="begin"/>
      </w:r>
      <w:r>
        <w:rPr>
          <w:sz w:val="22"/>
          <w:szCs w:val="22"/>
        </w:rPr>
        <w:instrText xml:space="preserve"> ADDIN ZOTERO_ITEM CSL_CITATION {"citationID":"9zzueKQj","properties":{"formattedCitation":"(D\\uc0\\u243{}rea, 2021; Sapbamrer &amp; Hongsibsong, 2019)","plainCitation":"(Dórea, 2021; Sapbamrer &amp; Hongsibsong, 2019)","noteIndex":0},</w:instrText>
      </w:r>
      <w:r>
        <w:rPr>
          <w:sz w:val="22"/>
          <w:szCs w:val="22"/>
        </w:rPr>
        <w:instrText xml:space="preserve">"citationItems":[{"id":4746,"uris":["http://zotero.org/users/5127433/items/L6ITFPYJ"],"itemData":{"id":4746,"type":"article-journal","container-title":"Environment International","DOI":"10.1016/j.envint.2021.106407","ISSN":"1873-6750","journalAbbreviation"</w:instrText>
      </w:r>
      <w:r>
        <w:rPr>
          <w:sz w:val="22"/>
          <w:szCs w:val="22"/>
        </w:rPr>
        <w:instrText xml:space="preserve">:"Environ Int","language":"eng","note":"PMID: 33508535","page":"106407","source":"PubMed","title":"Neurodevelopment in mining environments entails different types of exposure and non-essential element interactions: Broadening the significance of the Nyanza</w:instrText>
      </w:r>
      <w:r>
        <w:rPr>
          <w:sz w:val="22"/>
          <w:szCs w:val="22"/>
        </w:rPr>
        <w:instrText xml:space="preserve"> et al study in Tanzania","title-short":"Neurodevelopment in mining environments entails different types of exposure and non-essential element interactions","volume":"149","author":[{"family":"Dórea","given":"José G."}],"issued":{"date-parts":[["2021",4]]}</w:instrText>
      </w:r>
      <w:r>
        <w:rPr>
          <w:sz w:val="22"/>
          <w:szCs w:val="22"/>
        </w:rPr>
        <w:instrText xml:space="preserve">}},{"id":4716,"uris":["http://zotero.org/users/5127433/items/9IY7J5XC"],"itemData":{"id":4716,"type":"article-journal","abstract":"Exposure to pesticides is a major factor in the cause of dysfunction in the nervous system and neurodevelopment disorders in </w:instrText>
      </w:r>
      <w:r>
        <w:rPr>
          <w:sz w:val="22"/>
          <w:szCs w:val="22"/>
        </w:rPr>
        <w:instrText xml:space="preserve">children at critical periods of great vulnerability. The aim of this study was to review scientific evidence published on neurodevelopmental effects of prenatal and postnatal exposure to organophosphate pesticides (OPs) in different stages, including neona</w:instrText>
      </w:r>
      <w:r>
        <w:rPr>
          <w:sz w:val="22"/>
          <w:szCs w:val="22"/>
        </w:rPr>
        <w:instrText xml:space="preserve">tes, infants, toddlers, preschool children, and school-age children. Full-text articles published in PubMed, Scopus, and ISI databases between 1973 and 2019 were reviewed and the scientific evidence was evaluated. Results: Fifty studies were eligible for i</w:instrText>
      </w:r>
      <w:r>
        <w:rPr>
          <w:sz w:val="22"/>
          <w:szCs w:val="22"/>
        </w:rPr>
        <w:instrText xml:space="preserve">nclusion in this quantitative synthesis. Fifteen of these papers evaluated the effects on neonates and infants, 18 on the effects on toddlers and preschool children, and 24 the effects on school-age children. Considerable evidence suggests that prenatal ex</w:instrText>
      </w:r>
      <w:r>
        <w:rPr>
          <w:sz w:val="22"/>
          <w:szCs w:val="22"/>
        </w:rPr>
        <w:instrText xml:space="preserve">posure to OPs contributes to child neurodevelopment disorders in all stages, whereas data about the effects of postnatal exposure are limited. Therefore, the available evidence supports the theory that sensitive time-windows occur prenatally rather than po</w:instrText>
      </w:r>
      <w:r>
        <w:rPr>
          <w:sz w:val="22"/>
          <w:szCs w:val="22"/>
        </w:rPr>
        <w:instrText xml:space="preserve">stnatally. Although 45 out of the total 50 selected articles found an association between OP exposure and child neurodevelopment, some of the evidence is controversial. A standardized methodology is needed to enable the comparison of the results in several</w:instrText>
      </w:r>
      <w:r>
        <w:rPr>
          <w:sz w:val="22"/>
          <w:szCs w:val="22"/>
        </w:rPr>
        <w:instrText xml:space="preserve"> studies, and further research studies are needed to warrant firmer conclusions. A systematic review of this evidence should be performed continuously to update the state of knowledge regarding neurodevelopmental effects associated with OP exposure.","cont</w:instrText>
      </w:r>
      <w:r>
        <w:rPr>
          <w:sz w:val="22"/>
          <w:szCs w:val="22"/>
        </w:rPr>
        <w:instrText xml:space="preserve">ainer-title":"Environmental Science and Pollution Research","DOI":"10.1007/s11356-019-05126-w","ISSN":"1614-7499","issue":"18","journalAbbreviation":"Environ Sci Pollut Res","language":"en","page":"18267-18290","source":"Springer Link","title":"Effects of </w:instrText>
      </w:r>
      <w:r>
        <w:rPr>
          <w:sz w:val="22"/>
          <w:szCs w:val="22"/>
        </w:rPr>
        <w:instrText xml:space="preserve">prenatal and postnatal exposure to organophosphate pesticides on child neurodevelopment in different age groups: a systematic review","title-short":"Effects of prenatal and postnatal exposure to organophosphate pesticides on child neurodevelopment in diffe</w:instrText>
      </w:r>
      <w:r>
        <w:rPr>
          <w:sz w:val="22"/>
          <w:szCs w:val="22"/>
        </w:rPr>
        <w:instrText xml:space="preserve">rent age groups","volume":"26","author":[{"family":"Sapbamrer","given":"Ratana"},{"family":"Hongsibsong","given":"Surat"}],"issued":{"date-parts":[["2019",6,1]]}}}],"schema":"https://github.com/citation-style-language/schema/raw/master/csl-citation.json"} </w:instrText>
      </w:r>
      <w:r>
        <w:rPr>
          <w:sz w:val="22"/>
          <w:szCs w:val="22"/>
        </w:rPr>
        <w:fldChar w:fldCharType="separate"/>
      </w:r>
      <w:r>
        <w:rPr>
          <w:sz w:val="22"/>
        </w:rPr>
        <w:t xml:space="preserve">(Dórea, 2021; Sapbamrer &amp; Hongsibsong, 2019)</w:t>
      </w:r>
      <w:r>
        <w:rPr>
          <w:sz w:val="22"/>
          <w:szCs w:val="22"/>
        </w:rPr>
        <w:fldChar w:fldCharType="end"/>
      </w:r>
      <w:r>
        <w:rPr>
          <w:sz w:val="22"/>
          <w:szCs w:val="22"/>
        </w:rPr>
        <w:t xml:space="preserve">.</w:t>
      </w:r>
      <w:r>
        <w:rPr>
          <w:sz w:val="22"/>
          <w:szCs w:val="22"/>
        </w:rPr>
        <w:t xml:space="preserve"> </w:t>
      </w:r>
      <w:r>
        <w:rPr>
          <w:sz w:val="22"/>
          <w:szCs w:val="22"/>
        </w:rPr>
        <w:t xml:space="preserve">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{"citationID":"tStkVliJ","properties":{"formattedCitation":"(Eskenazi et al., 2007)","plainCitat</w:instrText>
      </w:r>
      <w:r>
        <w:rPr>
          <w:color w:val="000000"/>
          <w:sz w:val="22"/>
          <w:szCs w:val="22"/>
        </w:rPr>
        <w:instrText xml:space="preserve">ion":"(Eskenazi et al., 2007)","noteIndex":0},"citationItems":[{"id":4678,"uris":["http://zotero.org/users/5127433/items/Z6AEBYRE"],"itemData":{"id":4678,"type":"article-journal","abstract":"BackgroundOrganophosphate (OP) pesticides are widely used in agri</w:instrText>
      </w:r>
      <w:r>
        <w:rPr>
          <w:color w:val="000000"/>
          <w:sz w:val="22"/>
          <w:szCs w:val="22"/>
        </w:rPr>
        <w:instrText xml:space="preserve">culture and homes. Animal studies suggest that even moderate doses are neurodevelopmental toxicants, but there are few studies in humans.ObjectivesWe investigated the relationship of prenatal and child OP urinary metabolite levels with children’s neurodeve</w:instrText>
      </w:r>
      <w:r>
        <w:rPr>
          <w:color w:val="000000"/>
          <w:sz w:val="22"/>
          <w:szCs w:val="22"/>
        </w:rPr>
        <w:instrText xml:space="preserve">lopment.MethodsParticipating children were from a longitudinal birth cohort of primarily Latino farm-worker families in California. We measured six nonspecific dialkylphosphate (DAP) metabolites in maternal and child urine as well as metabolites specific t</w:instrText>
      </w:r>
      <w:r>
        <w:rPr>
          <w:color w:val="000000"/>
          <w:sz w:val="22"/>
          <w:szCs w:val="22"/>
        </w:rPr>
        <w:instrText xml:space="preserve">o malathion (MDA) and chlorpyrifos (TCPy) in maternal urine. We examined their association with children’s performance at 6 (n = 396), 12 (n = 395), and 24 (n = 372) months of age on the Bayley Scales of Infant Development [Mental Development (MDI) and Psy</w:instrText>
      </w:r>
      <w:r>
        <w:rPr>
          <w:color w:val="000000"/>
          <w:sz w:val="22"/>
          <w:szCs w:val="22"/>
        </w:rPr>
        <w:instrText xml:space="preserve">chomotor Development (PDI) Indices] and mother’s report on the Child Behavior Checklist (CBCL) (n = 356).ResultsGenerally, pregnancy DAP levels were negatively associated with MDI, but child measures were positively associated. At 24 months of age, these a</w:instrText>
      </w:r>
      <w:r>
        <w:rPr>
          <w:color w:val="000000"/>
          <w:sz w:val="22"/>
          <w:szCs w:val="22"/>
        </w:rPr>
        <w:instrText xml:space="preserve">ssociations reached statistical significance [per 10-fold increase in prenatal DAPs: β = −3.5 points; 95% confidence interval (CI), −6.6 to −0.5; child DAPs: β = 2.4 points; 95% CI, 0.5 to 4.2]. Neither prenatal nor child DAPs were associated with PDI or C</w:instrText>
      </w:r>
      <w:r>
        <w:rPr>
          <w:color w:val="000000"/>
          <w:sz w:val="22"/>
          <w:szCs w:val="22"/>
        </w:rPr>
        <w:instrText xml:space="preserve">BCL attention problems, but both prenatal and postnatal DAPs were associated with risk of pervasive developmental disorder [per 10-fold increase in prenatal DAPs: odds ratio (OR) = 2.3, p = 0.05; child DAPs OR = 1.7, p = 0.04]. MDA and TCPy were not associ</w:instrText>
      </w:r>
      <w:r>
        <w:rPr>
          <w:color w:val="000000"/>
          <w:sz w:val="22"/>
          <w:szCs w:val="22"/>
        </w:rPr>
        <w:instrText xml:space="preserve">ated with any outcome.ConclusionsWe report adverse associations of prenatal DAPs with mental development and pervasive developmental problems at 24 months of age. Results should be interpreted with caution given the observed positive relationship with post</w:instrText>
      </w:r>
      <w:r>
        <w:rPr>
          <w:color w:val="000000"/>
          <w:sz w:val="22"/>
          <w:szCs w:val="22"/>
        </w:rPr>
        <w:instrText xml:space="preserve">natal DAPs.","container-title":"Environmental Health Perspectives","DOI":"10.1289/ehp.9828","issue":"5","note":"publisher: Environmental Health Perspectives","page":"792-798","source":"ehp.niehs.nih.gov (Atypon)","title":"Organophosphate Pesticide Exposure</w:instrText>
      </w:r>
      <w:r>
        <w:rPr>
          <w:color w:val="000000"/>
          <w:sz w:val="22"/>
          <w:szCs w:val="22"/>
        </w:rPr>
        <w:instrText xml:space="preserve"> and Neurodevelopment in Young Mexican-American Children","volume":"115","author":[{"family":"Eskenazi","given":"Brenda"},{"family":"Marks","given":"Amy R."},{"family":"Bradman","given":"Asa"},{"family":"Harley","given":"Kim"},{"family":"Barr","given":"Dan</w:instrText>
      </w:r>
      <w:r>
        <w:rPr>
          <w:color w:val="000000"/>
          <w:sz w:val="22"/>
          <w:szCs w:val="22"/>
        </w:rPr>
        <w:instrText xml:space="preserve">a B."},{"family":"Johnson","given":"Caroline"},{"family":"Morga","given":"Norma"},{"family":"Jewell","given":"Nicholas P."}],"issued":{"date-parts":[["2007",5]]}}}],"schema":"https://github.com/citation-style-language/schema/raw/master/csl-citation.json"} </w:instrText>
      </w:r>
      <w:r>
        <w:rPr>
          <w:color w:val="000000"/>
          <w:sz w:val="22"/>
          <w:szCs w:val="22"/>
        </w:rPr>
        <w:fldChar w:fldCharType="separate"/>
      </w:r>
      <w:r>
        <w:rPr>
          <w:sz w:val="22"/>
        </w:rPr>
        <w:t xml:space="preserve">(Eskenazi et al., 2007)</w:t>
      </w:r>
      <w:r>
        <w:rPr>
          <w:color w:val="000000"/>
          <w:sz w:val="22"/>
          <w:szCs w:val="22"/>
        </w:rPr>
        <w:fldChar w:fldCharType="end"/>
      </w:r>
      <w:r>
        <w:rPr>
          <w:color w:val="000000"/>
          <w:sz w:val="22"/>
          <w:szCs w:val="22"/>
        </w:rPr>
        <w:t xml:space="preserve">.</w:t>
      </w:r>
      <w:r>
        <w:rPr>
          <w:color w:val="000000"/>
          <w:sz w:val="22"/>
          <w:szCs w:val="22"/>
          <w:highlight w:val="white"/>
        </w:rPr>
        <w:t xml:space="preserve"> </w:t>
      </w:r>
      <w:r>
        <w:rPr>
          <w:sz w:val="22"/>
          <w:szCs w:val="22"/>
        </w:rPr>
        <w:t xml:space="preserve">Associations between pesticide exposure with </w:t>
      </w:r>
      <w:r>
        <w:rPr>
          <w:sz w:val="22"/>
          <w:szCs w:val="22"/>
        </w:rPr>
        <w:t xml:space="preserve">neurobehavioral performance </w:t>
      </w:r>
      <w:r>
        <w:rPr>
          <w:sz w:val="22"/>
          <w:szCs w:val="22"/>
        </w:rPr>
        <w:t xml:space="preserve">has</w:t>
      </w:r>
      <w:r>
        <w:rPr>
          <w:sz w:val="22"/>
          <w:szCs w:val="22"/>
        </w:rPr>
        <w:t xml:space="preserve"> primarily </w:t>
      </w:r>
      <w:r>
        <w:rPr>
          <w:sz w:val="22"/>
          <w:szCs w:val="22"/>
        </w:rPr>
        <w:t xml:space="preserve">been observed for</w:t>
      </w:r>
      <w:r>
        <w:rPr>
          <w:sz w:val="22"/>
          <w:szCs w:val="22"/>
        </w:rPr>
        <w:t xml:space="preserve"> attention, motor function and inhibition</w:t>
      </w:r>
      <w:r>
        <w:rPr>
          <w:sz w:val="22"/>
          <w:szCs w:val="22"/>
        </w:rPr>
        <w:t xml:space="preserve"> domains </w:t>
      </w:r>
      <w:r>
        <w:rPr>
          <w:sz w:val="22"/>
          <w:szCs w:val="22"/>
        </w:rPr>
        <w:fldChar w:fldCharType="begin"/>
      </w:r>
      <w:r>
        <w:rPr>
          <w:sz w:val="22"/>
          <w:szCs w:val="22"/>
        </w:rPr>
        <w:instrText xml:space="preserve"> ADDIN ZOTERO_ITEM CSL_CITATION {"citationID":"AvX9k6ro","properties":{"formattedCitation":"(Burns et al., 2013; </w:instrText>
      </w:r>
      <w:r>
        <w:rPr>
          <w:sz w:val="22"/>
          <w:szCs w:val="22"/>
        </w:rPr>
        <w:instrText xml:space="preserve">Eskenazi et al., 2007; Ismail et al., 2017; Marks et al., 2010; Mu\\uc0\\u241{}oz-Quezada et al., 2013; Rosas &amp; Eskenazi, 2008; S\\uc0\\u225{}nchez Lizardi et al., 2008; Shelton et al., 2014; Suarez-Lopez et al., 2013; Wagner-Schuman et al., 2015)","plainC</w:instrText>
      </w:r>
      <w:r>
        <w:rPr>
          <w:sz w:val="22"/>
          <w:szCs w:val="22"/>
        </w:rPr>
        <w:instrText xml:space="preserve">itation":"(Burns et al., 2013; Eskenazi et al., 2007; Ismail et al., 2017; Marks et al., 2010; Muñoz-Quezada et al., 2013; Rosas &amp; Eskenazi, 2008; Sánchez Lizardi et al., 2008; Shelton et al., 2014; Suarez-Lopez et al., 2013; Wagner-Schuman et al., 2015)",</w:instrText>
      </w:r>
      <w:r>
        <w:rPr>
          <w:sz w:val="22"/>
          <w:szCs w:val="22"/>
        </w:rPr>
        <w:instrText xml:space="preserve">"noteIndex":0},"citationItems":[{"id":4670,"uris":["http://zotero.org/users/5127433/items/R464GVU6"],"itemData":{"id":4670,"type":"article-journal","abstract":"Assessment of whether pesticide exposure is associated with neurodevelopmental outcomes in child</w:instrText>
      </w:r>
      <w:r>
        <w:rPr>
          <w:sz w:val="22"/>
          <w:szCs w:val="22"/>
        </w:rPr>
        <w:instrText xml:space="preserve">ren can best be addressed with a systematic review of both the human and animal peer-reviewed literature. This review analyzed epidemiologic studies testing the hypothesis that exposure to pesticides during pregnancy and/or early childhood is associated wi</w:instrText>
      </w:r>
      <w:r>
        <w:rPr>
          <w:sz w:val="22"/>
          <w:szCs w:val="22"/>
        </w:rPr>
        <w:instrText xml:space="preserve">th neurodevelopmental outcomes in children. Studies that directly queried pesticide exposure (e.g., via questionnaire or interview) or measured pesticide or metabolite levels in biological specimens from study participants (e.g., blood, urine, etc.) or the</w:instrText>
      </w:r>
      <w:r>
        <w:rPr>
          <w:sz w:val="22"/>
          <w:szCs w:val="22"/>
        </w:rPr>
        <w:instrText xml:space="preserve">ir immediate environment (e.g., personal air monitoring, home dust samples, etc.) were eligible for inclusion. Consistency, strength of association, and dose response were key elements of the framework utilized for evaluating epidemiologic studies. As a wh</w:instrText>
      </w:r>
      <w:r>
        <w:rPr>
          <w:sz w:val="22"/>
          <w:szCs w:val="22"/>
        </w:rPr>
        <w:instrText xml:space="preserve">ole, the epidemiologic studies did not strongly implicate any particular pesticide as being causally related to adverse neurodevelopmental outcomes in infants and children. A few associations were unique for a health outcome and specific pesticide, and alt</w:instrText>
      </w:r>
      <w:r>
        <w:rPr>
          <w:sz w:val="22"/>
          <w:szCs w:val="22"/>
        </w:rPr>
        <w:instrText xml:space="preserve">ernative hypotheses could not be ruled out. Our survey of the in vivo peer-reviewed published mammalian literature focused on effects of the specific active ingredient of pesticides on functional neurodevelopmental endpoints (i.e., behavior, neuropharmacol</w:instrText>
      </w:r>
      <w:r>
        <w:rPr>
          <w:sz w:val="22"/>
          <w:szCs w:val="22"/>
        </w:rPr>
        <w:instrText xml:space="preserve">ogy and neuropathology). In most cases, effects were noted at dose levels within the same order of magnitude or higher compared to the point of departure used for chronic risk assessments in the United States. Thus, although the published animal studies ma</w:instrText>
      </w:r>
      <w:r>
        <w:rPr>
          <w:sz w:val="22"/>
          <w:szCs w:val="22"/>
        </w:rPr>
        <w:instrText xml:space="preserve">y have characterized potential neurodevelopmental outcomes using endpoints not required by guideline studies, the effects were generally observed at or above effect levels measured in repeated-dose toxicology studies submitted to the U.S. Environmental Pro</w:instrText>
      </w:r>
      <w:r>
        <w:rPr>
          <w:sz w:val="22"/>
          <w:szCs w:val="22"/>
        </w:rPr>
        <w:instrText xml:space="preserve">tection Agency (EPA). Suggestions for improved exposure assessment in epidemiology studies and more effective and tiered approaches in animal testing are discussed.","container-title":"Journal of Toxicology and Environmental Health, Part B","DOI":"10.1080/</w:instrText>
      </w:r>
      <w:r>
        <w:rPr>
          <w:sz w:val="22"/>
          <w:szCs w:val="22"/>
        </w:rPr>
        <w:instrText xml:space="preserve">10937404.2013.783383","ISSN":"1093-7404","issue":"3-4","note":"publisher: Taylor &amp; Francis\n_eprint: https://doi.org/10.1080/10937404.2013.783383\nPMID: 23777200","page":"127–283","source":"Taylor and Francis+NEJM","title":"Pesticide Exposure and Neurodeve</w:instrText>
      </w:r>
      <w:r>
        <w:rPr>
          <w:sz w:val="22"/>
          <w:szCs w:val="22"/>
        </w:rPr>
        <w:instrText xml:space="preserve">lopmental Outcomes: Review of the Epidemiologic and Animal Studies","title-short":"Pesticide Exposure and Neurodevelopmental Outcomes","volume":"16","author":[{"family":"Burns","given":"Carol J."},{"family":"McIntosh","given":"Laura J."},{"family":"Mink","</w:instrText>
      </w:r>
      <w:r>
        <w:rPr>
          <w:sz w:val="22"/>
          <w:szCs w:val="22"/>
        </w:rPr>
        <w:instrText xml:space="preserve">given":"Pamela J."},{"family":"Jurek","given":"Anne M."},{"family":"Li","given":"Abby A."}],"issued":{"date-parts":[["2013",4,1]]}}},{"id":4678,"uris":["http://zotero.org/users/5127433/items/Z6AEBYRE"],"itemData":{"id":4678,"type":"article-journal","abstra</w:instrText>
      </w:r>
      <w:r>
        <w:rPr>
          <w:sz w:val="22"/>
          <w:szCs w:val="22"/>
        </w:rPr>
        <w:instrText xml:space="preserve">ct":"BackgroundOrganophosphate (OP) pesticides are widely used in agriculture and homes. Animal studies suggest that even moderate doses are neurodevelopmental toxicants, but there are few studies in humans.ObjectivesWe investigated the relationship of pre</w:instrText>
      </w:r>
      <w:r>
        <w:rPr>
          <w:sz w:val="22"/>
          <w:szCs w:val="22"/>
        </w:rPr>
        <w:instrText xml:space="preserve">natal and child OP urinary metabolite levels with children’s neurodevelopment.MethodsParticipating children were from a longitudinal birth cohort of primarily Latino farm-worker families in California. We measured six nonspecific dialkylphosphate (DAP) met</w:instrText>
      </w:r>
      <w:r>
        <w:rPr>
          <w:sz w:val="22"/>
          <w:szCs w:val="22"/>
        </w:rPr>
        <w:instrText xml:space="preserve">abolites in maternal and child urine as well as metabolites specific to malathion (MDA) and chlorpyrifos (TCPy) in maternal urine. We examined their association with children’s performance at 6 (n = 396), 12 (n = 395), and 24 (n = 372) months of age on the</w:instrText>
      </w:r>
      <w:r>
        <w:rPr>
          <w:sz w:val="22"/>
          <w:szCs w:val="22"/>
        </w:rPr>
        <w:instrText xml:space="preserve"> Bayley Scales of Infant Development [Mental Development (MDI) and Psychomotor Development (PDI) Indices] and mother’s report on the Child Behavior Checklist (CBCL) (n = 356).ResultsGenerally, pregnancy DAP levels were negatively associated with MDI, but c</w:instrText>
      </w:r>
      <w:r>
        <w:rPr>
          <w:sz w:val="22"/>
          <w:szCs w:val="22"/>
        </w:rPr>
        <w:instrText xml:space="preserve">hild measures were positively associated. At 24 months of age, these associations reached statistical significance [per 10-fold increase in prenatal DAPs: β = −3.5 points; 95% confidence interval (CI), −6.6 to −0.5; child DAPs: β = 2.4 points; 95% CI, 0.5 </w:instrText>
      </w:r>
      <w:r>
        <w:rPr>
          <w:sz w:val="22"/>
          <w:szCs w:val="22"/>
        </w:rPr>
        <w:instrText xml:space="preserve">to 4.2]. Neither prenatal nor child DAPs were associated with PDI or CBCL attention problems, but both prenatal and postnatal DAPs were associated with risk of pervasive developmental disorder [per 10-fold increase in prenatal DAPs: odds ratio (OR) = 2.3, </w:instrText>
      </w:r>
      <w:r>
        <w:rPr>
          <w:sz w:val="22"/>
          <w:szCs w:val="22"/>
        </w:rPr>
        <w:instrText xml:space="preserve">p = 0.05; child DAPs OR = 1.7, p = 0.04]. MDA and TCPy were not associated with any outcome.ConclusionsWe report adverse associations of prenatal DAPs with mental development and pervasive developmental problems at 24 months of age. Results should be inter</w:instrText>
      </w:r>
      <w:r>
        <w:rPr>
          <w:sz w:val="22"/>
          <w:szCs w:val="22"/>
        </w:rPr>
        <w:instrText xml:space="preserve">preted with caution given the observed positive relationship with postnatal DAPs.","container-title":"Environmental Health Perspectives","DOI":"10.1289/ehp.9828","issue":"5","note":"publisher: Environmental Health Perspectives","page":"792-798","source":"e</w:instrText>
      </w:r>
      <w:r>
        <w:rPr>
          <w:sz w:val="22"/>
          <w:szCs w:val="22"/>
        </w:rPr>
        <w:instrText xml:space="preserve">hp.niehs.nih.gov (Atypon)","title":"Organophosphate Pesticide Exposure and Neurodevelopment in Young Mexican-American Children","volume":"115","author":[{"family":"Eskenazi","given":"Brenda"},{"family":"Marks","given":"Amy R."},{"family":"Bradman","given":</w:instrText>
      </w:r>
      <w:r>
        <w:rPr>
          <w:sz w:val="22"/>
          <w:szCs w:val="22"/>
        </w:rPr>
        <w:instrText xml:space="preserve">"Asa"},{"family":"Harley","given":"Kim"},{"family":"Barr","given":"Dana B."},{"family":"Johnson","given":"Caroline"},{"family":"Morga","given":"Norma"},{"family":"Jewell","given":"Nicholas P."}],"issued":{"date-parts":[["2007",5]]}}},{"id":4695,"uris":["ht</w:instrText>
      </w:r>
      <w:r>
        <w:rPr>
          <w:sz w:val="22"/>
          <w:szCs w:val="22"/>
        </w:rPr>
        <w:instrText xml:space="preserve">tp://zotero.org/users/5127433/items/ENGJ8VZU"],"itemData":{"id":4695,"type":"article-journal","abstract":"Egyptian adolescents are hired as seasonal workers to apply pesticides to the cotton crop and may perform this occupation for several years. However, </w:instrText>
      </w:r>
      <w:r>
        <w:rPr>
          <w:sz w:val="22"/>
          <w:szCs w:val="22"/>
        </w:rPr>
        <w:instrText xml:space="preserve">few studies examined the effects of repeated pesticide exposure on health outcomes The goal of this study was to determine the impact of repeated pesticide exposure on neurobehavioral (NB) performance and biomarkers of exposure (urinary metabolite) and eff</w:instrText>
      </w:r>
      <w:r>
        <w:rPr>
          <w:sz w:val="22"/>
          <w:szCs w:val="22"/>
        </w:rPr>
        <w:instrText xml:space="preserve">ect (cholinesterase activity). Eighty-four adolescents from two field stations in Menoufia, Egypt, were examined four times: before and during pesticide application season in 2010 and again before and during application season in 2011. At each of the four </w:instrText>
      </w:r>
      <w:r>
        <w:rPr>
          <w:sz w:val="22"/>
          <w:szCs w:val="22"/>
        </w:rPr>
        <w:instrText xml:space="preserve">time points, participants completed a questionnaire, performed an NB test battery, and were assessed for urinary levels of the chlorpyrifos metabolite TCPy (3,5,6-trichloro-2-pyridinol) and blood cholinesterase activity. Following the study cohort over two</w:instrText>
      </w:r>
      <w:r>
        <w:rPr>
          <w:sz w:val="22"/>
          <w:szCs w:val="22"/>
        </w:rPr>
        <w:instrText xml:space="preserve"> consecutive pesticide application seasons revealed that TCPy levels significantly increased following exposure, and returned to baseline levels following the end of the application season. Blood butyryl cholinesterase activity exhibited a similar pattern.</w:instrText>
      </w:r>
      <w:r>
        <w:rPr>
          <w:sz w:val="22"/>
          <w:szCs w:val="22"/>
        </w:rPr>
        <w:instrText xml:space="preserve"> Although NB outcomes displayed learning and practice effects over time, deficits in performance were significantly associated with increased TCPy levels with reduction in the number of NB measures showing improvement over time. Biomarkers of exposure and </w:instrText>
      </w:r>
      <w:r>
        <w:rPr>
          <w:sz w:val="22"/>
          <w:szCs w:val="22"/>
        </w:rPr>
        <w:instrText xml:space="preserve">effect demonstrated changes associated with pesticide application and recovery after application ended. Deficits in NB performance were correlated with elevated pesticide exposure. Data demonstrated that repeated pesticide exposure may exert a long-term ad</w:instrText>
      </w:r>
      <w:r>
        <w:rPr>
          <w:sz w:val="22"/>
          <w:szCs w:val="22"/>
        </w:rPr>
        <w:instrText xml:space="preserve">verse impact on human health.","container-title":"Journal of Toxicology and Environmental Health, Part A","DOI":"10.1080/15287394.2017.1362612","ISSN":"1528-7394","issue":"10-12","note":"publisher: Taylor &amp; Francis\n_eprint: https://doi.org/10.1080/1528739</w:instrText>
      </w:r>
      <w:r>
        <w:rPr>
          <w:sz w:val="22"/>
          <w:szCs w:val="22"/>
        </w:rPr>
        <w:instrText xml:space="preserve">4.2017.1362612\nPMID: 28880741","page":"542–555","source":"Taylor and Francis+NEJM","title":"The impact of repeated organophosphorus pesticide exposure on biomarkers and neurobehavioral outcomes among adolescent pesticide applicators","volume":"80","author</w:instrText>
      </w:r>
      <w:r>
        <w:rPr>
          <w:sz w:val="22"/>
          <w:szCs w:val="22"/>
        </w:rPr>
        <w:instrText xml:space="preserve">":[{"family":"Ismail","given":"Ahmed A."},{"family":"Wang","given":"Kai"},{"family":"Olson","given":"James R."},{"family":"Bonner","given":"Matthew R."},{"family":"Hendy","given":"Olfat"},{"family":"Abdel Rasoul","given":"Gaafar"},{"family":"Rohlman","give</w:instrText>
      </w:r>
      <w:r>
        <w:rPr>
          <w:sz w:val="22"/>
          <w:szCs w:val="22"/>
        </w:rPr>
        <w:instrText xml:space="preserve">n":"Diane S."}],"issued":{"date-parts":[["2017",6,18]]}}},{"id":4708,"uris":["http://zotero.org/users/5127433/items/UTHMMJC5"],"itemData":{"id":4708,"type":"article-journal","abstract":"BackgroundExposure to organophosphate (OP) pesticides, well-known neur</w:instrText>
      </w:r>
      <w:r>
        <w:rPr>
          <w:sz w:val="22"/>
          <w:szCs w:val="22"/>
        </w:rPr>
        <w:instrText xml:space="preserve">otoxicants, has been associated with neurobehavioral deficits in children.ObjectivesWe investigated whether OP exposure, as measured by urinary dialkyl phosphate (DAP) metabolites in pregnant women and their children, was associated with attention-related </w:instrText>
      </w:r>
      <w:r>
        <w:rPr>
          <w:sz w:val="22"/>
          <w:szCs w:val="22"/>
        </w:rPr>
        <w:instrText xml:space="preserve">outcomes among Mexican-American children living in an agricultural region of California.MethodsChildren were assessed at ages 3.5 years (n = 331) and 5 years (n = 323). Mothers completed the Child Behavior Checklist (CBCL). We administered the NEPSY-II vis</w:instrText>
      </w:r>
      <w:r>
        <w:rPr>
          <w:sz w:val="22"/>
          <w:szCs w:val="22"/>
        </w:rPr>
        <w:instrText xml:space="preserve">ual attention subtest to children at 3.5 years and Conners’ Kiddie Continuous Performance Test (K-CPT) at 5 years. The K-CPT yielded a standardized attention deficit/hyperactivity disorder (ADHD) Confidence Index score. Psychometricians scored behavior of </w:instrText>
      </w:r>
      <w:r>
        <w:rPr>
          <w:sz w:val="22"/>
          <w:szCs w:val="22"/>
        </w:rPr>
        <w:instrText xml:space="preserve">the 5-year-olds during testing using the Hillside Behavior Rating Scale.ResultsPrenatal DAPs (nanomoles per liter) were nonsignificantly associated with maternal report of attention problems and ADHD at age 3.5 years but were significantly related at age 5</w:instrText>
      </w:r>
      <w:r>
        <w:rPr>
          <w:sz w:val="22"/>
          <w:szCs w:val="22"/>
        </w:rPr>
        <w:instrText xml:space="preserve"> years [CBCL attention problems: β = 0.7 points; 95% confidence interval (CI), 0.2–1.2; ADHD: β = 1.3; 95% CI, 0.4–2.1]. Prenatal DAPs were associated with scores on the K-CPT ADHD Confidence Index &gt; 70th percentile [odds ratio (OR) = 5.1; 95% CI, 1.7–15.7</w:instrText>
      </w:r>
      <w:r>
        <w:rPr>
          <w:sz w:val="22"/>
          <w:szCs w:val="22"/>
        </w:rPr>
        <w:instrText xml:space="preserve">] and with a composite ADHD indicator of the various measures (OR = 3.5; 95% CI, 1.1–10.7). Some outcomes exhibited evidence of effect modification by sex, with associations found only among boys. There was also limited evidence of associations between chi</w:instrText>
      </w:r>
      <w:r>
        <w:rPr>
          <w:sz w:val="22"/>
          <w:szCs w:val="22"/>
        </w:rPr>
        <w:instrText xml:space="preserve">ld DAPs and attention.ConclusionsIn utero DAPs and, to a lesser extent, postnatal DAPs were associated adversely with attention as assessed by maternal report, psychometrician observation, and direct assessment. These associations were somewhat stronger at</w:instrText>
      </w:r>
      <w:r>
        <w:rPr>
          <w:sz w:val="22"/>
          <w:szCs w:val="22"/>
        </w:rPr>
        <w:instrText xml:space="preserve"> 5 years than at 3.5 years and were stronger in boys.","container-title":"Environmental Health Perspectives","DOI":"10.1289/ehp.1002056","issue":"12","note":"publisher: Environmental Health Perspectives","page":"1768-1774","source":"ehp.niehs.nih.gov (Atyp</w:instrText>
      </w:r>
      <w:r>
        <w:rPr>
          <w:sz w:val="22"/>
          <w:szCs w:val="22"/>
        </w:rPr>
        <w:instrText xml:space="preserve">on)","title":"Organophosphate Pesticide Exposure and Attention in Young Mexican-American Children: The CHAMACOS Study","title-short":"Organophosphate Pesticide Exposure and Attention in Young Mexican-American Children","volume":"118","author":[{"family":"M</w:instrText>
      </w:r>
      <w:r>
        <w:rPr>
          <w:sz w:val="22"/>
          <w:szCs w:val="22"/>
        </w:rPr>
        <w:instrText xml:space="preserve">arks","given":"Amy R."},{"family":"Harley","given":"Kim"},{"family":"Bradman","given":"Asa"},{"family":"Kogut","given":"Katherine"},{"family":"Barr","given":"Dana Boyd"},{"family":"Johnson","given":"Caroline"},{"family":"Calderon","given":"Norma"},{"family</w:instrText>
      </w:r>
      <w:r>
        <w:rPr>
          <w:sz w:val="22"/>
          <w:szCs w:val="22"/>
        </w:rPr>
        <w:instrText xml:space="preserve">":"Eskenazi","given":"Brenda"}],"issued":{"date-parts":[["2010",12]]}}},{"id":4711,"uris":["http://zotero.org/users/5127433/items/PVIZFQPJ"],"itemData":{"id":4711,"type":"article-journal","container-title":"Neurotoxicology","DOI":"10.1016/j.neuro.2013.09.0</w:instrText>
      </w:r>
      <w:r>
        <w:rPr>
          <w:sz w:val="22"/>
          <w:szCs w:val="22"/>
        </w:rPr>
        <w:instrText xml:space="preserve">03","journalAbbreviation":"Neurotoxicology","source":"ResearchGate","title":"Neurodevelopmental effects in children associated with exposure to organophosphate pesticides: A systematic review","title-short":"Neurodevelopmental effects in children associate</w:instrText>
      </w:r>
      <w:r>
        <w:rPr>
          <w:sz w:val="22"/>
          <w:szCs w:val="22"/>
        </w:rPr>
        <w:instrText xml:space="preserve">d with exposure to organophosphate pesticides","volume":"39","author":[{"family":"Muñoz-Quezada","given":"María"},{"family":"Lucero","given":"Boris"},{"family":"Barr","given":"Dana"},{"family":"Steenland","given":"Kyle"},{"family":"Levy","given":"Karen"},{</w:instrText>
      </w:r>
      <w:r>
        <w:rPr>
          <w:sz w:val="22"/>
          <w:szCs w:val="22"/>
        </w:rPr>
        <w:instrText xml:space="preserve">"family":"Ryan","given":"P."},{"family":"Iglesias","given":"Verónica"},{"family":"Alvarado Orellana","given":"Sergio A."},{"family":"Concha","given":"Carlos"},{"family":"Rojas","given":"Evelyn"},{"family":"Vega","given":"Catalina"}],"issued":{"date-parts":</w:instrText>
      </w:r>
      <w:r>
        <w:rPr>
          <w:sz w:val="22"/>
          <w:szCs w:val="22"/>
        </w:rPr>
        <w:instrText xml:space="preserve">[["2013",10,9]]}}},{"id":4714,"uris":["http://zotero.org/users/5127433/items/KV2NDM4M"],"itemData":{"id":4714,"type":"article-journal","abstract":"Purpose of review \n          This review summarizes the recent research on pesticide exposure and child neur</w:instrText>
      </w:r>
      <w:r>
        <w:rPr>
          <w:sz w:val="22"/>
          <w:szCs w:val="22"/>
        </w:rPr>
        <w:instrText xml:space="preserve">obehavioral development with a focus on in-utero exposure to organochlorine and organophosphate pesticides.\n          Recent findings \n          Recent studies on in-utero exposure to the organochlorine pesticide dichlorodiphenyltrichloroethane and its b</w:instrText>
      </w:r>
      <w:r>
        <w:rPr>
          <w:sz w:val="22"/>
          <w:szCs w:val="22"/>
        </w:rPr>
        <w:instrText xml:space="preserve">reakdown product, dichlorodiphenyldichloroethene, indicate that exposure is associated with poorer infant (6 months and older) and child neurodevelopment. Yet, the studies differ on the domain of development that is affected. Research on organophosphate pe</w:instrText>
      </w:r>
      <w:r>
        <w:rPr>
          <w:sz w:val="22"/>
          <w:szCs w:val="22"/>
        </w:rPr>
        <w:instrText xml:space="preserve">sticide exposure and neurodevelopment is limited but suggests some negative association of exposure and neurodevelopment at certain ages. Two reports agree that increased levels of organophosphate exposure in utero result in greater numbers of abnormal ref</w:instrText>
      </w:r>
      <w:r>
        <w:rPr>
          <w:sz w:val="22"/>
          <w:szCs w:val="22"/>
        </w:rPr>
        <w:instrText xml:space="preserve">lexes in neonates and studies in older infants and young children also point to a negative association with development. In young children (2–3 years) two separate studies observed an increase in maternally reported pervasive developmental disorder with in</w:instrText>
      </w:r>
      <w:r>
        <w:rPr>
          <w:sz w:val="22"/>
          <w:szCs w:val="22"/>
        </w:rPr>
        <w:instrText xml:space="preserve">creased levels of organophosphate exposure.\n          Summary \n          Given that the literature suggests a link between organochlorine and in-utero pesticide exposure and impaired child neurodevelopment, clinicians should educate parents about prevent</w:instrText>
      </w:r>
      <w:r>
        <w:rPr>
          <w:sz w:val="22"/>
          <w:szCs w:val="22"/>
        </w:rPr>
        <w:instrText xml:space="preserve">ion of exposure, especially in populations living in agricultural areas or where household use is common.","container-title":"Current Opinion in Pediatrics","DOI":"10.1097/MOP.0b013e3282f60a7d","ISSN":"1040-8703","issue":"2","language":"en-US","page":"191"</w:instrText>
      </w:r>
      <w:r>
        <w:rPr>
          <w:sz w:val="22"/>
          <w:szCs w:val="22"/>
        </w:rPr>
        <w:instrText xml:space="preserve">,"source":"journals.lww.com","title":"Pesticides and child neurodevelopment","volume":"20","author":[{"family":"Rosas","given":"Lisa G."},{"family":"Eskenazi","given":"Brenda"}],"issued":{"date-parts":[["2008",4]]}}},{"id":4703,"uris":["http://zotero.org/u</w:instrText>
      </w:r>
      <w:r>
        <w:rPr>
          <w:sz w:val="22"/>
          <w:szCs w:val="22"/>
        </w:rPr>
        <w:instrText xml:space="preserve">sers/5127433/items/GRSAFXT6"],"itemData":{"id":4703,"type":"article-journal","abstract":"Objective This study investigates the effects of Organophosphate (OP) pesticides exposure on the cognitive and behavioral functioning of Hispanic children living in an</w:instrText>
      </w:r>
      <w:r>
        <w:rPr>
          <w:sz w:val="22"/>
          <w:szCs w:val="22"/>
        </w:rPr>
        <w:instrText xml:space="preserve"> agricultural community. Methods Forty-eight children were administered a battery of cognitive measures, and their parents and teachers completed behavior rating scales. Children provided a urine sample for analysis of OP pesticides metabolites. Results Al</w:instrText>
      </w:r>
      <w:r>
        <w:rPr>
          <w:sz w:val="22"/>
          <w:szCs w:val="22"/>
        </w:rPr>
        <w:instrText xml:space="preserve">l children had a detectable level of at least one OP pesticide metabolite. Higher OP pesticide metabolite concentration levels were significantly correlated with poorer performance on some subtests of the Wisconsin Card Sorting Test. However, the significa</w:instrText>
      </w:r>
      <w:r>
        <w:rPr>
          <w:sz w:val="22"/>
          <w:szCs w:val="22"/>
        </w:rPr>
        <w:instrText xml:space="preserve">nce of this association was dependent upon the inclusion of two samples with noticeable higher OP pesticide metabolite concentration levels. Conclusions Short-term OP pesticide exposure seems to have deleterious effects on children's speed of attention, se</w:instrText>
      </w:r>
      <w:r>
        <w:rPr>
          <w:sz w:val="22"/>
          <w:szCs w:val="22"/>
        </w:rPr>
        <w:instrText xml:space="preserve">quencing, mental flexibility, visual search, concept formation, and conceptual flexibility. This study is among a relatively small number of studies investigating an extremely complex problem. Limitations and suggestions for future studies are discussed.",</w:instrText>
      </w:r>
      <w:r>
        <w:rPr>
          <w:sz w:val="22"/>
          <w:szCs w:val="22"/>
        </w:rPr>
        <w:instrText xml:space="preserve">"container-title":"Journal of Pediatric Psychology","DOI":"10.1093/jpepsy/jsm047","ISSN":"0146-8693","issue":"1","journalAbbreviation":"Journal of Pediatric Psychology","page":"91-101","source":"Silverchair","title":"The Effects of Organophosphate Pesticid</w:instrText>
      </w:r>
      <w:r>
        <w:rPr>
          <w:sz w:val="22"/>
          <w:szCs w:val="22"/>
        </w:rPr>
        <w:instrText xml:space="preserve">e Exposure on Hispanic Children's Cognitive and Behavioral Functioning","volume":"33","author":[{"family":"Sánchez Lizardi","given":"Patricia"},{"family":"O'Rourke","given":"Mary Kay"},{"family":"Morris","given":"Richard J."}],"issued":{"date-parts":[["200</w:instrText>
      </w:r>
      <w:r>
        <w:rPr>
          <w:sz w:val="22"/>
          <w:szCs w:val="22"/>
        </w:rPr>
        <w:instrText xml:space="preserve">8",1,1]]}}},{"id":4718,"uris":["http://zotero.org/users/5127433/items/J34QF8P2"],"itemData":{"id":4718,"type":"article-journal","abstract":"Background: Gestational exposure to several common agricultural pesticides can induce developmental neurotoxicity in</w:instrText>
      </w:r>
      <w:r>
        <w:rPr>
          <w:sz w:val="22"/>
          <w:szCs w:val="22"/>
        </w:rPr>
        <w:instrText xml:space="preserve"> humans, and has been associated with developmental delay and autism.Objectives: We evaluated whether residential proximity to agricultural pesticides during pregnancy is associated with autism spectrum disorders (ASD) or developmental delay (DD) in the Ch</w:instrText>
      </w:r>
      <w:r>
        <w:rPr>
          <w:sz w:val="22"/>
          <w:szCs w:val="22"/>
        </w:rPr>
        <w:instrText xml:space="preserve">ildhood Autism Risks from Genetics and Environment (CHARGE) study.Methods: The CHARGE study is a population-based case–control study of ASD, DD, and typical development. For 970 participants, commercial pesticide application data from the California Pestic</w:instrText>
      </w:r>
      <w:r>
        <w:rPr>
          <w:sz w:val="22"/>
          <w:szCs w:val="22"/>
        </w:rPr>
        <w:instrText xml:space="preserve">ide Use Report (1997–2008) were linked to the addresses during pregnancy. Pounds of active ingredient applied for organophophates, organochlorines, pyrethroids, and carbamates were aggregated within 1.25-km, 1.5-km, and 1.75-km buffer distances from the ho</w:instrText>
      </w:r>
      <w:r>
        <w:rPr>
          <w:sz w:val="22"/>
          <w:szCs w:val="22"/>
        </w:rPr>
        <w:instrText xml:space="preserve">me. Multinomial logistic regression was used to estimate the odds ratio (OR) of exposure comparing confirmed cases of ASD (n = 486) or DD (n = 168) with typically developing referents (n = 316).Results: Approximately one-third of CHARGE study mothers lived</w:instrText>
      </w:r>
      <w:r>
        <w:rPr>
          <w:sz w:val="22"/>
          <w:szCs w:val="22"/>
        </w:rPr>
        <w:instrText xml:space="preserve">, during pregnancy, within 1.5 km (just under 1 mile) of an agricultural pesticide application. Proximity to organophosphates at some point during gestation was associated with a 60% increased risk for ASD, higher for third-trimester exposures (OR = 2.0; 9</w:instrText>
      </w:r>
      <w:r>
        <w:rPr>
          <w:sz w:val="22"/>
          <w:szCs w:val="22"/>
        </w:rPr>
        <w:instrText xml:space="preserve">5% CI: 1.1, 3.6), and second-trimester chlorpyrifos applications (OR = 3.3; 95% CI: 1.5, 7.4). Children of mothers residing near pyrethroid insecticide applications just before conception or during third trimester were at greater risk for both ASD and DD, </w:instrText>
      </w:r>
      <w:r>
        <w:rPr>
          <w:sz w:val="22"/>
          <w:szCs w:val="22"/>
        </w:rPr>
        <w:instrText xml:space="preserve">with ORs ranging from 1.7 to 2.3. Risk for DD was increased in those near carbamate applications, but no specific vulnerable period was identified.Conclusions: This study of ASD strengthens the evidence linking neurodevelopmental disorders with gestational</w:instrText>
      </w:r>
      <w:r>
        <w:rPr>
          <w:sz w:val="22"/>
          <w:szCs w:val="22"/>
        </w:rPr>
        <w:instrText xml:space="preserve"> pesticide exposures, particularly organophosphates, and provides novel results of ASD and DD associations with, respectively, pyrethroids and carbamates.Citation: Shelton JF, Geraghty EM, Tancredi DJ, Delwiche LD, Schmidt RJ, Ritz B, Hansen RL, Hertz-Picc</w:instrText>
      </w:r>
      <w:r>
        <w:rPr>
          <w:sz w:val="22"/>
          <w:szCs w:val="22"/>
        </w:rPr>
        <w:instrText xml:space="preserve">iotto I. 2014. Neurodevelopmental disorders and prenatal residential proximity to agricultural pesticides: the CHARGE study. Environ Health Perspect 122:1103–1109; https://doi.org/10.1289/ehp.1307044","container-title":"Environmental Health Perspectives","</w:instrText>
      </w:r>
      <w:r>
        <w:rPr>
          <w:sz w:val="22"/>
          <w:szCs w:val="22"/>
        </w:rPr>
        <w:instrText xml:space="preserve">DOI":"10.1289/ehp.1307044","issue":"10","note":"publisher: Environmental Health Perspectives","page":"1103-1109","source":"ehp.niehs.nih.gov (Atypon)","title":"Neurodevelopmental Disorders and Prenatal Residential Proximity to Agricultural Pesticides: The </w:instrText>
      </w:r>
      <w:r>
        <w:rPr>
          <w:sz w:val="22"/>
          <w:szCs w:val="22"/>
        </w:rPr>
        <w:instrText xml:space="preserve">CHARGE Study","title-short":"Neurodevelopmental Disorders and Prenatal Residential Proximity to Agricultural Pesticides","volume":"122","author":[{"family":"Shelton","given":"Janie F."},{"family":"Geraghty","given":"Estella M."},{"family":"Tancredi","given</w:instrText>
      </w:r>
      <w:r>
        <w:rPr>
          <w:sz w:val="22"/>
          <w:szCs w:val="22"/>
        </w:rPr>
        <w:instrText xml:space="preserve">":"Daniel J."},{"family":"Delwiche","given":"Lora D."},{"family":"Schmidt","given":"Rebecca J."},{"family":"Ritz","given":"Beate"},{"family":"Hansen","given":"Robin L."},{"family":"Hertz-Picciotto","given":"Irva"}],"issued":{"date-parts":[["2014",10]]}}},{</w:instrText>
      </w:r>
      <w:r>
        <w:rPr>
          <w:sz w:val="22"/>
          <w:szCs w:val="22"/>
        </w:rPr>
        <w:instrText xml:space="preserve">"id":4725,"uris":["http://zotero.org/users/5127433/items/IN2Y92U5"],"itemData":{"id":4725,"type":"article-journal","container-title":"Pediatrics","DOI":"https://doi.org/10.1542/peds.2013-0108","issue":"6","page":"e1649-e1658","title":"Acetylcholinesterase </w:instrText>
      </w:r>
      <w:r>
        <w:rPr>
          <w:sz w:val="22"/>
          <w:szCs w:val="22"/>
        </w:rPr>
        <w:instrText xml:space="preserve">Activity and Neurodevelopment in Boys and Girls | Pediatrics | American Academy of Pediatrics","volume":"132","author":[{"family":"Suarez-Lopez","given":"Jose R."},{"family":"Himes","given":"John H."},{"family":"Jacobs","given":"David R."},{"family":"Alexa</w:instrText>
      </w:r>
      <w:r>
        <w:rPr>
          <w:sz w:val="22"/>
          <w:szCs w:val="22"/>
        </w:rPr>
        <w:instrText xml:space="preserve">nder","given":"Bruce H."},{"family":"Gunnar","given":"Megan R."}],"issued":{"date-parts":[["2013"]]}}},{"id":4740,"uris":["http://zotero.org/users/5127433/items/QWS2DVXM"],"itemData":{"id":4740,"type":"article-journal",</w:instrText>
      </w:r>
      <w:r>
        <w:rPr>
          <w:sz w:val="22"/>
          <w:szCs w:val="22"/>
        </w:rPr>
        <w:instrText xml:space="preserve">"abstract":"Pyrethroid pesticides cause abnormalities in the dopamine system and produce an ADHD phenotype in animal models, with effects accentuated in males versus females. However, data regarding behavioral effects of pyrethroid exposure in children is </w:instrText>
      </w:r>
      <w:r>
        <w:rPr>
          <w:sz w:val="22"/>
          <w:szCs w:val="22"/>
        </w:rPr>
        <w:instrText xml:space="preserve">limited. We examined the association between pyrethroid pesticide exposure and ADHD in a nationally representative sample of US children, and tested whether this association differs by sex.","container-title":"Environmental Health","DOI":"10.1186/s12940-01</w:instrText>
      </w:r>
      <w:r>
        <w:rPr>
          <w:sz w:val="22"/>
          <w:szCs w:val="22"/>
        </w:rPr>
        <w:instrText xml:space="preserve">5-0030-y","ISSN":"1476-069X","issue":"1","journalAbbreviation":"Environmental Health","page":"44","source":"BioMed Central","title":"Association of pyrethroid pesticide exposure with attention-deficit/hyperactivity disorder in a nationally representative s</w:instrText>
      </w:r>
      <w:r>
        <w:rPr>
          <w:sz w:val="22"/>
          <w:szCs w:val="22"/>
        </w:rPr>
        <w:instrText xml:space="preserve">ample of U.S. children","volume":"14","author":[{"family":"Wagner-Schuman","given":"Melissa"},{"family":"Richardson","given":"Jason R."},{"family":"Auinger","given":"Peggy"},{"family":"Braun","given":"Joseph M."},{"family":"Lanphear","given":"Bruce P."},{"</w:instrText>
      </w:r>
      <w:r>
        <w:rPr>
          <w:sz w:val="22"/>
          <w:szCs w:val="22"/>
        </w:rPr>
        <w:instrText xml:space="preserve">family":"Epstein","given":"Jeffery N."},{"family":"Yolton","given":"Kimberly"},{"family":"Froehlich","given":"Tanya E."}],"issued":{"date-parts":[["2015",5,28]]}}}],"schema":"https://github.com/citation-style-language/schema/raw/master/csl-citation.json"} </w:instrText>
      </w:r>
      <w:r>
        <w:rPr>
          <w:sz w:val="22"/>
          <w:szCs w:val="22"/>
        </w:rPr>
        <w:fldChar w:fldCharType="separate"/>
      </w:r>
      <w:r>
        <w:rPr>
          <w:sz w:val="22"/>
        </w:rPr>
        <w:t xml:space="preserve">(Burns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xml:space="preserve">.</w:t>
      </w:r>
      <w:r>
        <w:rPr>
          <w:sz w:val="22"/>
          <w:szCs w:val="22"/>
        </w:rPr>
        <w:t xml:space="preserve"> </w:t>
      </w:r>
      <w:r>
        <w:rPr>
          <w:sz w:val="22"/>
          <w:szCs w:val="22"/>
        </w:rPr>
        <w:t xml:space="preserve">A review of studies examining the association between pyrethroid exposure and neurobehavioral, neuromotor</w:t>
      </w:r>
      <w:r>
        <w:rPr>
          <w:sz w:val="22"/>
          <w:szCs w:val="22"/>
        </w:rPr>
        <w:t xml:space="preserve">,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rPr>
          <w:color w:val="c00000"/>
          <w:sz w:val="22"/>
          <w:szCs w:val="22"/>
          <w:highlight w:val="white"/>
        </w:rPr>
        <w:fldChar w:fldCharType="begin"/>
      </w:r>
      <w:r>
        <w:rPr>
          <w:color w:val="c00000"/>
          <w:sz w:val="22"/>
          <w:szCs w:val="22"/>
          <w:highlight w:val="white"/>
        </w:rPr>
        <w:instrText xml:space="preserve"> ADDIN ZOTERO_ITEM CSL_CITATION {"citationID":"Ro6mfHlN","properties":{"formattedCitation":"(Lucero &amp; Mu\\uc0\\u241{}oz-Quezada, 2021)","plainCitation":"(Lucero &amp; Muñoz</w:instrText>
      </w:r>
      <w:r>
        <w:rPr>
          <w:color w:val="c00000"/>
          <w:sz w:val="22"/>
          <w:szCs w:val="22"/>
          <w:highlight w:val="white"/>
        </w:rPr>
        <w:instrText xml:space="preserve">-Quezada, 2021)","noteIndex":0},"citationItems":[{"id":4701,"uris":["http://zotero.org/users/5127433/items/BEN323T7"],"itemData":{"id":4701,"type":"article-journal","abstract":"In recent years, pyrethroids have emerged as the least toxic alternative to com</w:instrText>
      </w:r>
      <w:r>
        <w:rPr>
          <w:color w:val="c00000"/>
          <w:sz w:val="22"/>
          <w:szCs w:val="22"/>
          <w:highlight w:val="white"/>
        </w:rPr>
        <w:instrText xml:space="preserve">bat insect pests, however, some laboratory studies and in children show that they present degrees of toxicity and neurobehavioral effects similar to other pesticides such as organophosphates. The purpose of this review is to systematize and analyze the epi</w:instrText>
      </w:r>
      <w:r>
        <w:rPr>
          <w:color w:val="c00000"/>
          <w:sz w:val="22"/>
          <w:szCs w:val="22"/>
          <w:highlight w:val="white"/>
        </w:rPr>
        <w:instrText xml:space="preserve">demiological scientific evidence from the PubMed database on the effects of occupational exposure to pyrethroid pesticides on the neurobehavioral and neurocognitive functioning of agricultural workers. The results show that in 66% of the studies reviewed (</w:instrText>
      </w:r>
      <w:r>
        <w:rPr>
          <w:color w:val="c00000"/>
          <w:sz w:val="22"/>
          <w:szCs w:val="22"/>
          <w:highlight w:val="white"/>
        </w:rPr>
        <w:instrText xml:space="preserve">n = 9), agricultural workers or their children occupationally exposed to pyrethroid pesticides have a higher risk of presenting difficulties in their neurocognitive or neurobehavioral performance, mainly associated with attention and speed problems process</w:instrText>
      </w:r>
      <w:r>
        <w:rPr>
          <w:color w:val="c00000"/>
          <w:sz w:val="22"/>
          <w:szCs w:val="22"/>
          <w:highlight w:val="white"/>
        </w:rPr>
        <w:instrText xml:space="preserve">ing. Although the research presented in this review is few, the level of quality of the studies and the evidence collected provide antecedents that confirm risk in the neurocognitive health of agricultural workers due to occupational exposure to pyrethroid</w:instrText>
      </w:r>
      <w:r>
        <w:rPr>
          <w:color w:val="c00000"/>
          <w:sz w:val="22"/>
          <w:szCs w:val="22"/>
          <w:highlight w:val="white"/>
        </w:rPr>
        <w:instrText xml:space="preserve">s. More research is required associated with the subject, regulating the sale, training workers and monitoring possible risks to human health.","container-title":"Frontiers in Human Neuroscience","DOI":"10.3389/fnhum.2021.648171","ISSN":"1662-5161","journa</w:instrText>
      </w:r>
      <w:r>
        <w:rPr>
          <w:color w:val="c00000"/>
          <w:sz w:val="22"/>
          <w:szCs w:val="22"/>
          <w:highlight w:val="white"/>
        </w:rPr>
        <w:instrText xml:space="preserve">lAbbreviation":"Front. Hum. Neurosci.","language":"English","note":"publisher: Frontiers","source":"Frontiers","title":"Neurobehavioral, Neuromotor, and Neurocognitive Effects in Agricultural Workers and Their Children Exposed to Pyrethroid Pesticides: A R</w:instrText>
      </w:r>
      <w:r>
        <w:rPr>
          <w:color w:val="c00000"/>
          <w:sz w:val="22"/>
          <w:szCs w:val="22"/>
          <w:highlight w:val="white"/>
        </w:rPr>
        <w:instrText xml:space="preserve">eview","title-short":"Neurobehavioral, Neuromotor, and Neurocognitive Effects in Agricultural Workers and Their Children Exposed to Pyrethroid Pesticides","URL":"https://www.frontiersin.org/articles/10.3389/fnhum.2021.648171","volume":"15","author":[{"fami</w:instrText>
      </w:r>
      <w:r>
        <w:rPr>
          <w:color w:val="c00000"/>
          <w:sz w:val="22"/>
          <w:szCs w:val="22"/>
          <w:highlight w:val="white"/>
        </w:rPr>
        <w:instrText xml:space="preserve">ly":"Lucero","given":"Boris"},{"family":"Muñoz-Quezada","given":"María Teresa"}],"accessed":{"date-parts":[["2024",6,7]]},"issued":{"date-parts":[["2021",7,16]]}}}],"schema":"https://github.com/citation-style-language/schema/raw/master/csl-citation.json"} </w:instrText>
      </w:r>
      <w:r>
        <w:rPr>
          <w:color w:val="c00000"/>
          <w:sz w:val="22"/>
          <w:szCs w:val="22"/>
          <w:highlight w:val="white"/>
        </w:rPr>
        <w:fldChar w:fldCharType="separate"/>
      </w:r>
      <w:r>
        <w:rPr>
          <w:sz w:val="22"/>
        </w:rPr>
        <w:t xml:space="preserve">(Lucero &amp; Muñoz-Quezada, 2021)</w:t>
      </w:r>
      <w:r>
        <w:rPr>
          <w:color w:val="c00000"/>
          <w:sz w:val="22"/>
          <w:szCs w:val="22"/>
          <w:highlight w:val="white"/>
        </w:rPr>
        <w:fldChar w:fldCharType="end"/>
      </w:r>
      <w:r>
        <w:rPr>
          <w:sz w:val="22"/>
          <w:szCs w:val="22"/>
          <w:highlight w:val="white"/>
        </w:rPr>
        <w:t xml:space="preserve">. R</w:t>
      </w:r>
      <w:r>
        <w:rPr>
          <w:sz w:val="22"/>
          <w:szCs w:val="22"/>
          <w:highlight w:val="white"/>
        </w:rPr>
        <w:t xml:space="preserve">esults from </w:t>
      </w:r>
      <w:r>
        <w:rPr>
          <w:sz w:val="22"/>
          <w:szCs w:val="22"/>
          <w:highlight w:val="white"/>
        </w:rPr>
        <w:t xml:space="preserve">a</w:t>
      </w:r>
      <w:r>
        <w:rPr>
          <w:sz w:val="22"/>
          <w:szCs w:val="22"/>
          <w:highlight w:val="white"/>
        </w:rPr>
        <w:t xml:space="preserve"> study on </w:t>
      </w:r>
      <w:r>
        <w:rPr>
          <w:sz w:val="22"/>
          <w:szCs w:val="22"/>
          <w:highlight w:val="white"/>
        </w:rPr>
        <w:t xml:space="preserve">organophosphate (</w:t>
      </w:r>
      <w:r>
        <w:rPr>
          <w:sz w:val="22"/>
          <w:szCs w:val="22"/>
          <w:highlight w:val="white"/>
        </w:rPr>
        <w:t xml:space="preserve">OP</w:t>
      </w:r>
      <w:r>
        <w:rPr>
          <w:sz w:val="22"/>
          <w:szCs w:val="22"/>
          <w:highlight w:val="white"/>
        </w:rPr>
        <w:t xml:space="preserve">)</w:t>
      </w:r>
      <w:r>
        <w:rPr>
          <w:sz w:val="22"/>
          <w:szCs w:val="22"/>
          <w:highlight w:val="white"/>
        </w:rPr>
        <w:t xml:space="preserve"> pesticide </w:t>
      </w:r>
      <w:r>
        <w:rPr>
          <w:sz w:val="22"/>
          <w:szCs w:val="22"/>
          <w:highlight w:val="white"/>
        </w:rPr>
        <w:t xml:space="preserve">exposure </w:t>
      </w:r>
      <w:r>
        <w:rPr>
          <w:sz w:val="22"/>
          <w:szCs w:val="22"/>
          <w:highlight w:val="white"/>
        </w:rPr>
        <w:t xml:space="preserve">in Latino children living in </w:t>
      </w:r>
      <w:commentRangeStart w:id="3"/>
      <w:r>
        <w:rPr>
          <w:sz w:val="22"/>
          <w:szCs w:val="22"/>
          <w:highlight w:val="white"/>
        </w:rPr>
        <w:t xml:space="preserve">orchard communities</w:t>
      </w:r>
      <w:r>
        <w:rPr>
          <w:sz w:val="22"/>
          <w:szCs w:val="22"/>
          <w:highlight w:val="white"/>
        </w:rPr>
        <w:t xml:space="preserve"> in the Pacific Northwest of the United States</w:t>
      </w:r>
      <w:r>
        <w:rPr>
          <w:sz w:val="22"/>
          <w:szCs w:val="22"/>
          <w:highlight w:val="white"/>
        </w:rPr>
        <w:t xml:space="preserve"> </w:t>
      </w:r>
      <w:commentRangeEnd w:id="3"/>
      <w:r>
        <w:commentReference w:id="3"/>
      </w:r>
      <w:r>
        <w:rPr>
          <w:sz w:val="22"/>
          <w:szCs w:val="22"/>
          <w:highlight w:val="white"/>
        </w:rPr>
        <w:t xml:space="preserve">suggest that</w:t>
      </w:r>
      <w:r>
        <w:rPr>
          <w:sz w:val="22"/>
          <w:szCs w:val="22"/>
          <w:highlight w:val="white"/>
        </w:rPr>
        <w:t xml:space="preserve"> greater OP exposure</w:t>
      </w:r>
      <w:r>
        <w:rPr>
          <w:sz w:val="22"/>
          <w:szCs w:val="22"/>
          <w:highlight w:val="white"/>
        </w:rPr>
        <w:t xml:space="preserve"> in children</w:t>
      </w:r>
      <w:r>
        <w:rPr>
          <w:sz w:val="22"/>
          <w:szCs w:val="22"/>
          <w:highlight w:val="white"/>
        </w:rPr>
        <w:t xml:space="preserve"> who grow up with an agricultural worker </w:t>
      </w:r>
      <w:r>
        <w:rPr>
          <w:sz w:val="22"/>
          <w:szCs w:val="22"/>
          <w:highlight w:val="white"/>
        </w:rPr>
        <w:t xml:space="preserve">was associated with</w:t>
      </w:r>
      <w:r>
        <w:rPr>
          <w:sz w:val="22"/>
          <w:szCs w:val="22"/>
          <w:highlight w:val="white"/>
        </w:rPr>
        <w:t xml:space="preserve"> less improvement over time in neurobehavioral performance</w:t>
      </w:r>
      <w:r>
        <w:rPr>
          <w:sz w:val="22"/>
          <w:szCs w:val="22"/>
          <w:highlight w:val="white"/>
        </w:rPr>
        <w:t xml:space="preserve"> on</w:t>
      </w:r>
      <w:r>
        <w:rPr>
          <w:sz w:val="22"/>
          <w:szCs w:val="22"/>
          <w:highlight w:val="white"/>
        </w:rPr>
        <w:t xml:space="preserve"> </w:t>
      </w:r>
      <w:r>
        <w:rPr>
          <w:sz w:val="22"/>
          <w:szCs w:val="22"/>
          <w:highlight w:val="white"/>
        </w:rPr>
        <w:t xml:space="preserve">motor function </w:t>
      </w:r>
      <w:r>
        <w:rPr>
          <w:sz w:val="22"/>
          <w:szCs w:val="22"/>
          <w:highlight w:val="white"/>
        </w:rPr>
        <w:t xml:space="preserve">compared to non-agricultural children with lower OP exposure</w:t>
      </w:r>
      <w:r>
        <w:rPr>
          <w:sz w:val="22"/>
          <w:szCs w:val="22"/>
          <w:highlight w:val="white"/>
        </w:rPr>
        <w:t xml:space="preserve">, measured in household dust samples</w:t>
      </w:r>
      <w:r>
        <w:rPr>
          <w:sz w:val="22"/>
          <w:szCs w:val="22"/>
          <w:highlight w:val="white"/>
        </w:rPr>
        <w:t xml:space="preserve"> </w:t>
      </w:r>
      <w:r>
        <w:rPr>
          <w:sz w:val="22"/>
          <w:szCs w:val="22"/>
          <w:highlight w:val="white"/>
        </w:rPr>
        <w:fldChar w:fldCharType="begin"/>
      </w:r>
      <w:r>
        <w:rPr>
          <w:sz w:val="22"/>
          <w:szCs w:val="22"/>
          <w:highlight w:val="white"/>
        </w:rPr>
        <w:instrText xml:space="preserve"> ADDIN ZOTERO_ITEM CSL_CITATION {"citationID":"K3sEKiLP","properties":{"formattedCitation":"(Butler-Dawson et al., 2016)","plainCitation":"(Butler-Dawson et al., 2016)","noteIndex":0},"c</w:instrText>
      </w:r>
      <w:r>
        <w:rPr>
          <w:sz w:val="22"/>
          <w:szCs w:val="22"/>
          <w:highlight w:val="white"/>
        </w:rPr>
        <w:instrText xml:space="preserve">itationItems":[{"id":4672,"uris":["http://zotero.org/users/5127433/items/HQ357MHN"],"itemData":{"id":4672,"type":"article-journal","abstract":"Children living in agricultural communities have a greater risk from pesticides due to para-occupational pathways</w:instrText>
      </w:r>
      <w:r>
        <w:rPr>
          <w:sz w:val="22"/>
          <w:szCs w:val="22"/>
          <w:highlight w:val="white"/>
        </w:rPr>
        <w:instrText xml:space="preserve">. The goal of this study was to assess the impact of exposure to organophosphorus pesticides on the neurobehavioral performance of school-aged Latino children over time. Two exposure measures were used to estimate children’s pesticide exposure: parent's oc</w:instrText>
      </w:r>
      <w:r>
        <w:rPr>
          <w:sz w:val="22"/>
          <w:szCs w:val="22"/>
          <w:highlight w:val="white"/>
        </w:rPr>
        <w:instrText xml:space="preserve">cupation (agricultural or non-agricultural) and organophosphate residues in home carpet dust samples. During 2008–2011, 206 school-aged children completed a battery of neurobehavioral tests two times, approximately one year apart. The associations between </w:instrText>
      </w:r>
      <w:r>
        <w:rPr>
          <w:sz w:val="22"/>
          <w:szCs w:val="22"/>
          <w:highlight w:val="white"/>
        </w:rPr>
        <w:instrText xml:space="preserve">both exposure measures and neurobehavioral performance were examined. Pesticide residues were detected in dust samples from both agricultural and non-agricultural homes, however, pesticides were detected more frequently and in higher concentrations in agri</w:instrText>
      </w:r>
      <w:r>
        <w:rPr>
          <w:sz w:val="22"/>
          <w:szCs w:val="22"/>
          <w:highlight w:val="white"/>
        </w:rPr>
        <w:instrText xml:space="preserve">cultural homes compared to non-agricultural homes. Although few differences were found between agricultural and non-agricultural children at both visits, deficits in learning from the first visit to the second visit, or less improvement, was found in agric</w:instrText>
      </w:r>
      <w:r>
        <w:rPr>
          <w:sz w:val="22"/>
          <w:szCs w:val="22"/>
          <w:highlight w:val="white"/>
        </w:rPr>
        <w:instrText xml:space="preserve">ultural children relative to non-agricultural children. These differences were significant for the Divided Attention and Purdue Pegboard tests. These findings are consistent with previous research showing deficits in motor function. A summary measure of or</w:instrText>
      </w:r>
      <w:r>
        <w:rPr>
          <w:sz w:val="22"/>
          <w:szCs w:val="22"/>
          <w:highlight w:val="white"/>
        </w:rPr>
        <w:instrText xml:space="preserve">ganophosphate residues was not associated with neurobehavioral performance. Results from this study indicate that children in agricultural communities are at increased risk from pesticides as a result of a parent working in agricultural. Our findings sugge</w:instrText>
      </w:r>
      <w:r>
        <w:rPr>
          <w:sz w:val="22"/>
          <w:szCs w:val="22"/>
          <w:highlight w:val="white"/>
        </w:rPr>
        <w:instrText xml:space="preserve">st that organophosphate exposure may be associated with deficits in learning on neurobehavioral performance, particularly in tests of with motor function. In spite of regulatory phasing out of organophosphates in the U.S., we still see elevated levels and </w:instrText>
      </w:r>
      <w:r>
        <w:rPr>
          <w:sz w:val="22"/>
          <w:szCs w:val="22"/>
          <w:highlight w:val="white"/>
        </w:rPr>
        <w:instrText xml:space="preserve">higher detection rates of several organophosphates in agricultural households than non-agricultural households, albeit lower levels than prior studies.","container-title":"NeuroToxicology","DOI":"10.1016/j.neuro.2016.01.009","ISSN":"0161-813X","journalAbbr</w:instrText>
      </w:r>
      <w:r>
        <w:rPr>
          <w:sz w:val="22"/>
          <w:szCs w:val="22"/>
          <w:highlight w:val="white"/>
        </w:rPr>
        <w:instrText xml:space="preserve">eviation":"NeuroToxicology","page":"165-172","source":"ScienceDirect","title":"Organophosphorus pesticide exposure and neurobehavioral performance in Latino children living in an orchard community","volume":"53","author":[{"family":"Butler-Dawson","given":</w:instrText>
      </w:r>
      <w:r>
        <w:rPr>
          <w:sz w:val="22"/>
          <w:szCs w:val="22"/>
          <w:highlight w:val="white"/>
        </w:rPr>
        <w:instrText xml:space="preserve">"Jaime"},{"family":"Galvin","given":"Kit"},{"family":"Thorne","given":"Peter S."},{"family":"Rohlman","given":"Diane S."}],"issued":{"date-parts":[["2016",3,1]]}}}],"schema":"https://github.com/citation-style-language/schema/raw/master/csl-citation.json"} </w:instrText>
      </w:r>
      <w:r>
        <w:rPr>
          <w:sz w:val="22"/>
          <w:szCs w:val="22"/>
          <w:highlight w:val="white"/>
        </w:rPr>
        <w:fldChar w:fldCharType="separate"/>
      </w:r>
      <w:r>
        <w:rPr>
          <w:sz w:val="22"/>
          <w:highlight w:val="white"/>
        </w:rPr>
        <w:t xml:space="preserve">(Butler-Dawson et al., 2016)</w:t>
      </w:r>
      <w:r>
        <w:rPr>
          <w:sz w:val="22"/>
          <w:szCs w:val="22"/>
          <w:highlight w:val="white"/>
        </w:rPr>
        <w:fldChar w:fldCharType="end"/>
      </w:r>
      <w:r>
        <w:rPr>
          <w:sz w:val="22"/>
          <w:szCs w:val="22"/>
          <w:highlight w:val="white"/>
        </w:rPr>
        <w:t xml:space="preserve">.</w:t>
      </w:r>
      <w:r>
        <w:rPr>
          <w:color w:val="c00000"/>
          <w:sz w:val="22"/>
          <w:szCs w:val="22"/>
        </w:rPr>
        <w:t xml:space="preserve"> </w:t>
      </w:r>
      <w:r>
        <w:rPr>
          <w:color w:val="000000" w:themeColor="text1"/>
          <w:sz w:val="22"/>
          <w:szCs w:val="22"/>
        </w:rPr>
        <w:t xml:space="preserve">Lastly, children who had been hospitalized due to </w:t>
      </w:r>
      <w:r>
        <w:rPr>
          <w:color w:val="000000" w:themeColor="text1"/>
          <w:sz w:val="22"/>
          <w:szCs w:val="22"/>
        </w:rPr>
        <w:t xml:space="preserve">a single acute </w:t>
      </w:r>
      <w:r>
        <w:rPr>
          <w:color w:val="000000" w:themeColor="text1"/>
          <w:sz w:val="22"/>
          <w:szCs w:val="22"/>
        </w:rPr>
        <w:t xml:space="preserve">OP</w:t>
      </w:r>
      <w:r>
        <w:rPr>
          <w:color w:val="000000" w:themeColor="text1"/>
          <w:sz w:val="22"/>
          <w:szCs w:val="22"/>
        </w:rPr>
        <w:t xml:space="preserve"> pesticide </w:t>
      </w:r>
      <w:r>
        <w:rPr>
          <w:color w:val="000000" w:themeColor="text1"/>
          <w:sz w:val="22"/>
          <w:szCs w:val="22"/>
        </w:rPr>
        <w:t xml:space="preserve">poisoning</w:t>
      </w:r>
      <w:r>
        <w:rPr>
          <w:color w:val="000000" w:themeColor="text1"/>
          <w:sz w:val="22"/>
          <w:szCs w:val="22"/>
        </w:rPr>
        <w:t xml:space="preserve"> </w:t>
      </w:r>
      <w:r>
        <w:rPr>
          <w:color w:val="000000" w:themeColor="text1"/>
          <w:sz w:val="22"/>
          <w:szCs w:val="22"/>
        </w:rPr>
        <w:t xml:space="preserve">during infancy showed deficits in inhibitory control</w:t>
      </w:r>
      <w:r>
        <w:rPr>
          <w:color w:val="000000" w:themeColor="text1"/>
          <w:sz w:val="22"/>
          <w:szCs w:val="22"/>
        </w:rPr>
        <w:t xml:space="preserve"> compared to children with no OP poisoning events</w:t>
      </w:r>
      <w:r>
        <w:rPr>
          <w:color w:val="000000" w:themeColor="text1"/>
          <w:sz w:val="22"/>
          <w:szCs w:val="22"/>
        </w:rPr>
        <w:t xml:space="preserve"> (</w:t>
      </w:r>
      <w:r>
        <w:rPr>
          <w:sz w:val="22"/>
        </w:rPr>
        <w:t xml:space="preserve">Kofman</w:t>
      </w:r>
      <w:r>
        <w:rPr>
          <w:sz w:val="22"/>
        </w:rPr>
        <w:t xml:space="preserve"> et al., 2006</w:t>
      </w:r>
      <w:r>
        <w:rPr>
          <w:sz w:val="22"/>
        </w:rPr>
        <w:t xml:space="preserve">)</w:t>
      </w:r>
      <w:r>
        <w:rPr>
          <w:color w:val="000000" w:themeColor="text1"/>
          <w:sz w:val="22"/>
          <w:szCs w:val="22"/>
        </w:rPr>
        <w:t xml:space="preserve">. </w:t>
      </w:r>
      <w:commentRangeStart w:id="4"/>
      <w:commentRangeStart w:id="5"/>
      <w:r>
        <w:rPr>
          <w:color w:val="000000" w:themeColor="text1"/>
          <w:sz w:val="22"/>
          <w:szCs w:val="22"/>
        </w:rPr>
        <w:t xml:space="preserve">Inhibitory control is the ability to purposely inhibit a prepotent response</w:t>
      </w:r>
      <w:r>
        <w:rPr>
          <w:color w:val="000000" w:themeColor="text1"/>
          <w:sz w:val="22"/>
          <w:szCs w:val="22"/>
        </w:rPr>
        <w:t xml:space="preserve"> that will not have valuable results</w:t>
      </w:r>
      <w:r>
        <w:rPr>
          <w:color w:val="000000" w:themeColor="text1"/>
          <w:sz w:val="22"/>
          <w:szCs w:val="22"/>
        </w:rPr>
        <w:t xml:space="preserve"> and release another response on cue</w:t>
      </w:r>
      <w:r>
        <w:rPr>
          <w:color w:val="000000" w:themeColor="text1"/>
          <w:sz w:val="22"/>
          <w:szCs w:val="22"/>
        </w:rPr>
        <w:t xml:space="preserve"> (e.g. think before acting)</w:t>
      </w:r>
      <w:r>
        <w:rPr>
          <w:color w:val="000000" w:themeColor="text1"/>
          <w:sz w:val="22"/>
          <w:szCs w:val="22"/>
        </w:rPr>
        <w:t xml:space="preserve"> (</w:t>
      </w:r>
      <w:r>
        <w:rPr>
          <w:color w:val="000000" w:themeColor="text1"/>
          <w:sz w:val="22"/>
          <w:szCs w:val="22"/>
        </w:rPr>
        <w:t xml:space="preserve">Kang et al., 2022)</w:t>
      </w:r>
      <w:r>
        <w:rPr>
          <w:color w:val="000000" w:themeColor="text1"/>
          <w:sz w:val="22"/>
          <w:szCs w:val="22"/>
        </w:rPr>
        <w:t xml:space="preserve">. </w:t>
      </w:r>
      <w:commentRangeEnd w:id="4"/>
      <w:commentRangeEnd w:id="5"/>
      <w:r>
        <w:commentReference w:id="4"/>
        <w:commentReference w:id="5"/>
      </w:r>
      <w:r>
        <w:rPr>
          <w:color w:val="000000" w:themeColor="text1"/>
          <w:sz w:val="22"/>
          <w:szCs w:val="22"/>
        </w:rPr>
        <w:t xml:space="preserve"> </w:t>
      </w:r>
      <w:r>
        <w:rPr>
          <w:color w:val="c00000"/>
          <w:sz w:val="22"/>
          <w:szCs w:val="22"/>
        </w:rPr>
      </w:r>
    </w:p>
    <w:p>
      <w:pPr>
        <w:pBdr/>
        <w:spacing/>
        <w:ind w:firstLine="720"/>
        <w:jc w:val="both"/>
        <w:rPr>
          <w:sz w:val="22"/>
          <w:szCs w:val="22"/>
        </w:rPr>
      </w:pPr>
      <w:r>
        <w:rPr>
          <w:sz w:val="22"/>
          <w:szCs w:val="22"/>
        </w:rPr>
      </w:r>
      <w:r>
        <w:rPr>
          <w:sz w:val="22"/>
          <w:szCs w:val="22"/>
        </w:rPr>
      </w:r>
    </w:p>
    <w:p>
      <w:pPr>
        <w:pBdr/>
        <w:spacing/>
        <w:ind w:firstLine="720"/>
        <w:jc w:val="both"/>
        <w:rPr>
          <w:sz w:val="22"/>
          <w:szCs w:val="22"/>
        </w:rPr>
      </w:pPr>
      <w:r/>
      <w:commentRangeStart w:id="6"/>
      <w:r>
        <w:rPr>
          <w:color w:val="000000"/>
          <w:sz w:val="22"/>
          <w:szCs w:val="22"/>
        </w:rPr>
        <w:t xml:space="preserve">OPs</w:t>
      </w:r>
      <w:r>
        <w:rPr>
          <w:color w:val="000000"/>
          <w:sz w:val="22"/>
          <w:szCs w:val="22"/>
        </w:rPr>
        <w:t xml:space="preserve"> </w:t>
      </w:r>
      <w:r>
        <w:rPr>
          <w:color w:val="000000"/>
          <w:sz w:val="22"/>
          <w:szCs w:val="22"/>
        </w:rPr>
        <w:t xml:space="preserve">are used extensively in agriculture</w:t>
      </w:r>
      <w:r>
        <w:rPr>
          <w:color w:val="000000"/>
          <w:sz w:val="22"/>
          <w:szCs w:val="22"/>
        </w:rPr>
        <w:t xml:space="preserve">.</w:t>
      </w:r>
      <w:r>
        <w:rPr>
          <w:color w:val="000000"/>
          <w:sz w:val="22"/>
          <w:szCs w:val="22"/>
        </w:rPr>
        <w:t xml:space="preserve"> Studies of animals</w:t>
      </w:r>
      <w:r>
        <w:rPr>
          <w:color w:val="000000"/>
          <w:sz w:val="22"/>
          <w:szCs w:val="22"/>
        </w:rPr>
        <w:t xml:space="preserve"> </w:t>
      </w:r>
      <w:r>
        <w:rPr>
          <w:color w:val="000000"/>
          <w:sz w:val="22"/>
          <w:szCs w:val="22"/>
        </w:rPr>
        <w:t xml:space="preserve">and adult</w:t>
      </w:r>
      <w:r>
        <w:rPr>
          <w:color w:val="000000"/>
          <w:sz w:val="22"/>
          <w:szCs w:val="22"/>
        </w:rPr>
        <w:t xml:space="preserve"> human</w:t>
      </w:r>
      <w:r>
        <w:rPr>
          <w:color w:val="000000"/>
          <w:sz w:val="22"/>
          <w:szCs w:val="22"/>
        </w:rPr>
        <w:t xml:space="preserve">s suggest </w:t>
      </w:r>
      <w:r>
        <w:rPr>
          <w:color w:val="000000"/>
          <w:sz w:val="22"/>
          <w:szCs w:val="22"/>
        </w:rPr>
        <w:t xml:space="preserve">OPs </w:t>
      </w:r>
      <w:r>
        <w:rPr>
          <w:color w:val="000000"/>
          <w:sz w:val="22"/>
          <w:szCs w:val="22"/>
        </w:rPr>
        <w:t xml:space="preserve">are neurodevelopmental toxicants</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w:instrText>
      </w:r>
      <w:r>
        <w:rPr>
          <w:color w:val="000000"/>
          <w:sz w:val="22"/>
          <w:szCs w:val="22"/>
        </w:rPr>
        <w:instrText xml:space="preserve">3,"uris":["http://zotero.org/users/5127433/items/5YGVC84J"],"itemData":{"id":4793,"type":"article-journal","abstract":"Agricultural and residential use of organophosphate (OP) pesticides has increased in recent decades after banning some persistent pestici</w:instrText>
      </w:r>
      <w:r>
        <w:rPr>
          <w:color w:val="000000"/>
          <w:sz w:val="22"/>
          <w:szCs w:val="22"/>
        </w:rPr>
        <w:instrText xml:space="preserve">des. Although there is evidence of the effects of OPs on neurodevelopment and behaviour in adults, limited information is available about their effects in children, who might be more vulnerable to neurotoxic compounds. This paper was aimed at analysing the</w:instrText>
      </w:r>
      <w:r>
        <w:rPr>
          <w:color w:val="000000"/>
          <w:sz w:val="22"/>
          <w:szCs w:val="22"/>
        </w:rPr>
        <w:instrText xml:space="preserve"> scientific evidence published to date on potential neurodevelopmental and behavioural effects of prenatal and postnatal exposure to OPs. A systematic review was undertaken to identify original articles published up to December 2012 evaluating prenatal or </w:instrText>
      </w:r>
      <w:r>
        <w:rPr>
          <w:color w:val="000000"/>
          <w:sz w:val="22"/>
          <w:szCs w:val="22"/>
        </w:rPr>
        <w:instrText xml:space="preserve">postnatal exposure to OPs in children and effects on neurodevelopment and/or behaviour. Articles were critically compared, focusing on the methodology used to assess exposure and adverse effects, as well as potential contributing factors that may modify bo</w:instrText>
      </w:r>
      <w:r>
        <w:rPr>
          <w:color w:val="000000"/>
          <w:sz w:val="22"/>
          <w:szCs w:val="22"/>
        </w:rPr>
        <w:instrText xml:space="preserve">th exposure and outcomes, such as genetic susceptibility to certain enzymes involved in OPs metabolisation (e.g. paraoxonase-1) and gender differences. Twenty articles met the inclusion criteria, 7 of which evaluated prenatal exposure to OPs, 8 postnatal e</w:instrText>
      </w:r>
      <w:r>
        <w:rPr>
          <w:color w:val="000000"/>
          <w:sz w:val="22"/>
          <w:szCs w:val="22"/>
        </w:rPr>
        <w:instrText xml:space="preserve">xposure and 5 both pre- and postnatal exposure. Most of the studies evaluating prenatal exposure observed a negative effect on mental development and an increase in attention problems in preschool and school children. The evidence on postnatal exposure is </w:instrText>
      </w:r>
      <w:r>
        <w:rPr>
          <w:color w:val="000000"/>
          <w:sz w:val="22"/>
          <w:szCs w:val="22"/>
        </w:rPr>
        <w:instrText xml:space="preserve">less consistent, although 2 studies found an increase in reaction time in schoolchildren. Some paraoxonase-1 polymorphisms could enhance the association between OPs exposure and mental and psychomotor development. A large variability in epidemiological des</w:instrText>
      </w:r>
      <w:r>
        <w:rPr>
          <w:color w:val="000000"/>
          <w:sz w:val="22"/>
          <w:szCs w:val="22"/>
        </w:rPr>
        <w:instrText xml:space="preserve">igns and methodologies used for assessing exposure and outcome was observed across the different studies, which made comparisons difficult. Prenatal and to a lesser extent postnatal exposure to OPs may contribute to neurodevelopmental and behavioural defic</w:instrText>
      </w:r>
      <w:r>
        <w:rPr>
          <w:color w:val="000000"/>
          <w:sz w:val="22"/>
          <w:szCs w:val="22"/>
        </w:rPr>
        <w:instrText xml:space="preserve">its in preschool and school children. Standardised methodologies are needed to allow results to be better compared and to perform a quantitative meta-analysis before drawing any final conclusions.","collection-title":"Environmental contaminants and target </w:instrText>
      </w:r>
      <w:r>
        <w:rPr>
          <w:color w:val="000000"/>
          <w:sz w:val="22"/>
          <w:szCs w:val="22"/>
        </w:rPr>
        <w:instrText xml:space="preserve">organ toxicities","container-title":"Toxicology Letters","DOI":"10.1016/j.toxlet.2013.11.019","ISSN":"0378-4274","issue":"2","journalAbbreviation":"Toxicology Letters","page":"104-121","source":"ScienceDirect","title":"A systematic review of neurodevelopme</w:instrText>
      </w:r>
      <w:r>
        <w:rPr>
          <w:color w:val="000000"/>
          <w:sz w:val="22"/>
          <w:szCs w:val="22"/>
        </w:rPr>
        <w:instrText xml:space="preserve">ntal effects of prenatal and postnatal organophosphate pesticide exposure","volume":"230","author":[{"family":"González-Alzaga","given":"B."},{"family":"Lacasaña","given":"M."},{"family":"Aguilar-Garduño","given":"C."},{"family":"Rodríguez-Barranco","given</w:instrText>
      </w:r>
      <w:r>
        <w:rPr>
          <w:color w:val="000000"/>
          <w:sz w:val="22"/>
          <w:szCs w:val="22"/>
        </w:rPr>
        <w:instrText xml:space="preserve">":"M."},{"family":"Ballester","given":"F."},{"family":"Rebagliato","given":"M."},{"family":"Hernández","given":"A.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 xml:space="preserve">(González-Alzaga et al., 2014)</w:t>
      </w:r>
      <w:r>
        <w:rPr>
          <w:color w:val="000000"/>
          <w:sz w:val="22"/>
          <w:szCs w:val="22"/>
        </w:rPr>
        <w:fldChar w:fldCharType="end"/>
      </w:r>
      <w:r>
        <w:rPr>
          <w:color w:val="000000"/>
          <w:sz w:val="22"/>
          <w:szCs w:val="22"/>
        </w:rPr>
        <w:t xml:space="preserve">.</w:t>
      </w:r>
      <w:r>
        <w:rPr>
          <w:color w:val="000000"/>
          <w:sz w:val="22"/>
          <w:szCs w:val="22"/>
        </w:rPr>
        <w:t xml:space="preserve"> </w:t>
      </w:r>
      <w:r>
        <w:rPr>
          <w:color w:val="000000"/>
          <w:sz w:val="22"/>
          <w:szCs w:val="22"/>
        </w:rPr>
        <w:t xml:space="preserve">A </w:t>
      </w:r>
      <w:r>
        <w:rPr>
          <w:color w:val="000000"/>
          <w:sz w:val="22"/>
          <w:szCs w:val="22"/>
          <w:highlight w:val="white"/>
        </w:rPr>
        <w:t xml:space="preserve">cohort</w:t>
      </w:r>
      <w:r>
        <w:rPr>
          <w:color w:val="000000"/>
          <w:sz w:val="22"/>
          <w:szCs w:val="22"/>
          <w:highlight w:val="white"/>
        </w:rPr>
        <w:t xml:space="preserve"> study</w:t>
      </w:r>
      <w:r>
        <w:rPr>
          <w:color w:val="000000"/>
          <w:sz w:val="22"/>
          <w:szCs w:val="22"/>
          <w:highlight w:val="white"/>
        </w:rPr>
        <w:t xml:space="preserve"> of Latino farmworker families in </w:t>
      </w:r>
      <w:r>
        <w:rPr>
          <w:color w:val="000000"/>
          <w:sz w:val="22"/>
          <w:szCs w:val="22"/>
          <w:highlight w:val="white"/>
        </w:rPr>
        <w:t xml:space="preserve">the </w:t>
      </w:r>
      <w:r>
        <w:rPr>
          <w:color w:val="000000"/>
          <w:sz w:val="22"/>
          <w:szCs w:val="22"/>
          <w:highlight w:val="white"/>
        </w:rPr>
        <w:t xml:space="preserve">Salinas Valley of California</w:t>
      </w:r>
      <w:r>
        <w:rPr>
          <w:color w:val="000000"/>
          <w:sz w:val="22"/>
          <w:szCs w:val="22"/>
          <w:highlight w:val="white"/>
        </w:rPr>
        <w:t xml:space="preserve">, </w:t>
      </w:r>
      <w:r>
        <w:rPr>
          <w:sz w:val="22"/>
          <w:szCs w:val="22"/>
          <w:highlight w:val="white"/>
        </w:rPr>
        <w:t xml:space="preserve">found emotional and behavioral problems </w:t>
      </w:r>
      <w:r>
        <w:rPr>
          <w:sz w:val="22"/>
          <w:szCs w:val="22"/>
          <w:highlight w:val="white"/>
        </w:rPr>
        <w:t xml:space="preserve">in childhood </w:t>
      </w:r>
      <w:r>
        <w:rPr>
          <w:sz w:val="22"/>
          <w:szCs w:val="22"/>
          <w:highlight w:val="white"/>
        </w:rPr>
        <w:t xml:space="preserve">after </w:t>
      </w:r>
      <w:r>
        <w:rPr>
          <w:sz w:val="22"/>
          <w:szCs w:val="22"/>
          <w:highlight w:val="white"/>
        </w:rPr>
        <w:t xml:space="preserve">prenata</w:t>
      </w:r>
      <w:r>
        <w:rPr>
          <w:sz w:val="22"/>
          <w:szCs w:val="22"/>
          <w:highlight w:val="white"/>
        </w:rPr>
        <w:t xml:space="preserve">l expo</w:t>
      </w:r>
      <w:commentRangeEnd w:id="6"/>
      <w:r>
        <w:commentReference w:id="6"/>
      </w:r>
      <w:r>
        <w:rPr>
          <w:sz w:val="22"/>
          <w:szCs w:val="22"/>
          <w:highlight w:val="white"/>
        </w:rPr>
        <w:t xml:space="preserve">sure</w:t>
      </w:r>
      <w:r>
        <w:rPr>
          <w:sz w:val="22"/>
          <w:szCs w:val="22"/>
          <w:highlight w:val="white"/>
        </w:rPr>
        <w:t xml:space="preserve"> to OPs</w:t>
      </w:r>
      <w:r>
        <w:rPr>
          <w:sz w:val="22"/>
          <w:szCs w:val="22"/>
          <w:highlight w:val="white"/>
        </w:rPr>
        <w:t xml:space="preserve"> </w:t>
      </w:r>
      <w:r>
        <w:rPr>
          <w:sz w:val="22"/>
          <w:szCs w:val="22"/>
          <w:highlight w:val="white"/>
        </w:rPr>
        <w:fldChar w:fldCharType="begin"/>
      </w:r>
      <w:r>
        <w:rPr>
          <w:sz w:val="22"/>
          <w:szCs w:val="22"/>
          <w:highlight w:val="white"/>
        </w:rPr>
        <w:instrText xml:space="preserve"> ADDI</w:instrText>
      </w:r>
      <w:r>
        <w:rPr>
          <w:sz w:val="22"/>
          <w:szCs w:val="22"/>
          <w:highlight w:val="white"/>
        </w:rPr>
        <w:instrText xml:space="preserve">N ZOTERO_ITEM CSL_CITATION {"citationID":"h6X35a9Z","properties":{"formattedCitation":"(Hyland et al., 2021)","plainCitation":"(Hyland et al., 2021)","noteIndex":0},"citationItems":[{"id":4689,"uris":["http://zotero.org/users/5127433/items/UL98L9LG"],"item</w:instrText>
      </w:r>
      <w:r>
        <w:rPr>
          <w:sz w:val="22"/>
          <w:szCs w:val="22"/>
          <w:highlight w:val="white"/>
        </w:rPr>
        <w:instrText xml:space="preserve">Data":{"id":4689,"type":"article-journal","abstract":"Background: \n          Studies suggest that exposure to pesticides during pregnancy and early childhood is associated with adverse child neurodevelopment. Research to date has focused primarily on expo</w:instrText>
      </w:r>
      <w:r>
        <w:rPr>
          <w:sz w:val="22"/>
          <w:szCs w:val="22"/>
          <w:highlight w:val="white"/>
        </w:rPr>
        <w:instrText xml:space="preserve">sure to single pesticides or pesticide classes in isolation; there are little data on the effect of exposure to pesticide mixtures on child and adolescent neurodevelopment.\n          Methods: \n          Using California’s Pesticide Use Reporting database</w:instrText>
      </w:r>
      <w:r>
        <w:rPr>
          <w:sz w:val="22"/>
          <w:szCs w:val="22"/>
          <w:highlight w:val="white"/>
        </w:rPr>
        <w:instrText xml:space="preserve">, we estimated agricultural pesticide use within 1 km of the home during the prenatal and postnatal (ages 0–5 years) periods among participants in the Center for the Health Assessment for Mothers and Children of Salinas (CHAMACOS) birth cohort. We implemen</w:instrText>
      </w:r>
      <w:r>
        <w:rPr>
          <w:sz w:val="22"/>
          <w:szCs w:val="22"/>
          <w:highlight w:val="white"/>
        </w:rPr>
        <w:instrText xml:space="preserve">ted a Bayesian Hierarchical linear mixed-effects model to examine associations with maternal- and youth-reported behavioral and emotional problems from the Behavior Assessment System for Children, 2nd edition (BASC-2) at ages 16 and 18 years (n = 593).\n  </w:instrText>
      </w:r>
      <w:r>
        <w:rPr>
          <w:sz w:val="22"/>
          <w:szCs w:val="22"/>
          <w:highlight w:val="white"/>
        </w:rPr>
        <w:instrText xml:space="preserve">        Results: \n          We observed mostly null associations between pesticide applications and neurobehavioral outcomes. There were some trends of modestly increased internalizing behaviors and attention problems in association with organophosphate i</w:instrText>
      </w:r>
      <w:r>
        <w:rPr>
          <w:sz w:val="22"/>
          <w:szCs w:val="22"/>
          <w:highlight w:val="white"/>
        </w:rPr>
        <w:instrText xml:space="preserve">nsecticide use near the home during the prenatal period. In the postnatal period, a two-fold increase in glyphosate applications was associated with more youth-reported depression (β = 1.2, 95% credible intervals [CrI] = 0.2, 2.2), maternal-reported intern</w:instrText>
      </w:r>
      <w:r>
        <w:rPr>
          <w:sz w:val="22"/>
          <w:szCs w:val="22"/>
          <w:highlight w:val="white"/>
        </w:rPr>
        <w:instrText xml:space="preserve">alizing behaviors (β = 1.23, 95% CrI = 0.2, 2.3), and anxiety (β = 1.2, 95% CrI = 0.2, 2.3). We observed some protective associations with imidacloprid during the prenatal period, particularly in sex-specific analyses.\n          Conclusions: \n          W</w:instrText>
      </w:r>
      <w:r>
        <w:rPr>
          <w:sz w:val="22"/>
          <w:szCs w:val="22"/>
          <w:highlight w:val="white"/>
        </w:rPr>
        <w:instrText xml:space="preserve">e found only some subtle associations between some pesticides and neurobehavioral outcomes. This study extends previous work by considering potential exposure to mixtures of pesticides.","container-title":"Environmental Epidemiology","DOI":"10.1097/EE9.000</w:instrText>
      </w:r>
      <w:r>
        <w:rPr>
          <w:sz w:val="22"/>
          <w:szCs w:val="22"/>
          <w:highlight w:val="white"/>
        </w:rPr>
        <w:instrText xml:space="preserve">0000000000150","issue":"3","language":"en-US","page":"e150","source":"journals.lww.com","title":"Associations between pesticide mixtures applied near home during pregnancy and early childhood with adolescent behavioral and emotional problems in the CHAMACO</w:instrText>
      </w:r>
      <w:r>
        <w:rPr>
          <w:sz w:val="22"/>
          <w:szCs w:val="22"/>
          <w:highlight w:val="white"/>
        </w:rPr>
        <w:instrText xml:space="preserve">S study","volume":"5","author":[{"family":"Hyland","given":"Carly"},{"family":"Bradshaw","given":"Patrick T."},{"family":"Gunier","given":"Robert B."},{"family":"Mora","given":"Ana M."},{"family":"Kogut","given":"Katherine"},{"family":"Deardorff","given":"</w:instrText>
      </w:r>
      <w:r>
        <w:rPr>
          <w:sz w:val="22"/>
          <w:szCs w:val="22"/>
          <w:highlight w:val="white"/>
        </w:rPr>
        <w:instrText xml:space="preserve">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 xml:space="preserve">(Hyland et al., 2021)</w:t>
      </w:r>
      <w:r>
        <w:rPr>
          <w:sz w:val="22"/>
          <w:szCs w:val="22"/>
          <w:highlight w:val="white"/>
        </w:rPr>
        <w:fldChar w:fldCharType="end"/>
      </w:r>
      <w:r>
        <w:rPr>
          <w:sz w:val="22"/>
          <w:szCs w:val="22"/>
          <w:highlight w:val="white"/>
        </w:rPr>
        <w:t xml:space="preserve">.</w:t>
      </w:r>
      <w:r>
        <w:rPr>
          <w:color w:val="c00000"/>
          <w:sz w:val="22"/>
          <w:szCs w:val="22"/>
          <w:highlight w:val="white"/>
        </w:rPr>
        <w:t xml:space="preserve"> </w:t>
      </w:r>
      <w:r>
        <w:rPr>
          <w:sz w:val="22"/>
          <w:szCs w:val="22"/>
          <w:highlight w:val="white"/>
        </w:rPr>
        <w:t xml:space="preserve">D</w:t>
      </w:r>
      <w:r>
        <w:rPr>
          <w:sz w:val="22"/>
          <w:szCs w:val="22"/>
          <w:highlight w:val="white"/>
        </w:rPr>
        <w:t xml:space="preserve">ialkylphosphate</w:t>
      </w:r>
      <w:r>
        <w:rPr>
          <w:sz w:val="22"/>
          <w:szCs w:val="22"/>
          <w:highlight w:val="white"/>
        </w:rPr>
        <w:t xml:space="preserve"> </w:t>
      </w:r>
      <w:r>
        <w:rPr>
          <w:sz w:val="22"/>
          <w:szCs w:val="22"/>
          <w:highlight w:val="white"/>
        </w:rPr>
        <w:t xml:space="preserve">(</w:t>
      </w:r>
      <w:r>
        <w:rPr>
          <w:sz w:val="22"/>
          <w:szCs w:val="22"/>
          <w:highlight w:val="white"/>
        </w:rPr>
        <w:t xml:space="preserve">DAP</w:t>
      </w:r>
      <w:r>
        <w:rPr>
          <w:sz w:val="22"/>
          <w:szCs w:val="22"/>
          <w:highlight w:val="white"/>
        </w:rPr>
        <w:t xml:space="preserve">) metabolites</w:t>
      </w:r>
      <w:r>
        <w:rPr>
          <w:sz w:val="22"/>
          <w:szCs w:val="22"/>
          <w:highlight w:val="white"/>
        </w:rPr>
        <w:t xml:space="preserve">, a proxy </w:t>
      </w:r>
      <w:r>
        <w:rPr>
          <w:sz w:val="22"/>
          <w:szCs w:val="22"/>
          <w:highlight w:val="white"/>
        </w:rPr>
        <w:t xml:space="preserve">measure </w:t>
      </w:r>
      <w:r>
        <w:rPr>
          <w:sz w:val="22"/>
          <w:szCs w:val="22"/>
          <w:highlight w:val="white"/>
        </w:rPr>
        <w:t xml:space="preserve">for cumulative exposure to OP pesticides</w:t>
      </w:r>
      <w:r>
        <w:rPr>
          <w:sz w:val="22"/>
          <w:szCs w:val="22"/>
          <w:highlight w:val="white"/>
        </w:rPr>
        <w:t xml:space="preserve">,</w:t>
      </w:r>
      <w:r>
        <w:rPr>
          <w:sz w:val="22"/>
          <w:szCs w:val="22"/>
          <w:highlight w:val="white"/>
        </w:rPr>
        <w:t xml:space="preserve"> was </w:t>
      </w:r>
      <w:r>
        <w:rPr>
          <w:sz w:val="22"/>
          <w:szCs w:val="22"/>
          <w:highlight w:val="white"/>
        </w:rPr>
        <w:t xml:space="preserve">found to be</w:t>
      </w:r>
      <w:r>
        <w:rPr>
          <w:sz w:val="22"/>
          <w:szCs w:val="22"/>
          <w:highlight w:val="white"/>
        </w:rPr>
        <w:t xml:space="preserve"> negatively associated with mental development indices</w:t>
      </w:r>
      <w:r>
        <w:rPr>
          <w:sz w:val="22"/>
          <w:szCs w:val="22"/>
          <w:highlight w:val="white"/>
        </w:rPr>
        <w:t xml:space="preserve"> </w:t>
      </w:r>
      <w:r>
        <w:rPr>
          <w:sz w:val="22"/>
          <w:szCs w:val="22"/>
        </w:rPr>
        <w:t xml:space="preserve">(</w:t>
      </w:r>
      <w:r>
        <w:rPr>
          <w:sz w:val="22"/>
        </w:rPr>
        <w:t xml:space="preserve">Eskenazi</w:t>
      </w:r>
      <w:r>
        <w:rPr>
          <w:sz w:val="22"/>
        </w:rPr>
        <w:t xml:space="preserve"> et al.,</w:t>
      </w:r>
      <w:r>
        <w:rPr>
          <w:sz w:val="22"/>
        </w:rPr>
        <w:t xml:space="preserve">2007)</w:t>
      </w:r>
      <w:r>
        <w:rPr>
          <w:sz w:val="22"/>
          <w:szCs w:val="22"/>
          <w:highlight w:val="white"/>
        </w:rPr>
        <w:t xml:space="preserve">. P</w:t>
      </w:r>
      <w:r>
        <w:rPr>
          <w:sz w:val="22"/>
          <w:szCs w:val="22"/>
          <w:highlight w:val="white"/>
        </w:rPr>
        <w:t xml:space="preserve">re- and postnatal DAPs were associated with risk of pervasive developmental disorder at 24 months of age </w:t>
      </w:r>
      <w:r>
        <w:rPr>
          <w:sz w:val="22"/>
          <w:szCs w:val="22"/>
        </w:rPr>
        <w:fldChar w:fldCharType="begin"/>
      </w:r>
      <w:r>
        <w:rPr>
          <w:sz w:val="22"/>
          <w:szCs w:val="22"/>
        </w:rPr>
        <w:instrText xml:space="preserve"> ADDIN ZOTERO_ITEM CSL_CITATION {"citationID":"oDWN9R3H","properties":{"formattedCitation":"(Eskenazi et al., 2007)","plainCitat</w:instrText>
      </w:r>
      <w:r>
        <w:rPr>
          <w:sz w:val="22"/>
          <w:szCs w:val="22"/>
        </w:rPr>
        <w:instrText xml:space="preserve">ion":"(Eskenazi et al., 2007)","noteIndex":0},"citationItems":[{"id":4678,"uris":["http://zotero.org/users/5127433/items/Z6AEBYRE"],"itemData":{"id":4678,"type":"article-journal","abstract":"BackgroundOrganophosphate (OP) pesticides are widely used in agri</w:instrText>
      </w:r>
      <w:r>
        <w:rPr>
          <w:sz w:val="22"/>
          <w:szCs w:val="22"/>
        </w:rPr>
        <w:instrText xml:space="preserve">culture and homes. Animal studies suggest that even moderate doses are neurodevelopmental toxicants, but there are few studies in humans.ObjectivesWe investigated the relationship of prenatal and child OP urinary metabolite levels with children’s neurodeve</w:instrText>
      </w:r>
      <w:r>
        <w:rPr>
          <w:sz w:val="22"/>
          <w:szCs w:val="22"/>
        </w:rPr>
        <w:instrText xml:space="preserve">lopment.MethodsParticipating children were from a longitudinal birth cohort of primarily Latino farm-worker families in California. We measured six nonspecific dialkylphosphate (DAP) metabolites in maternal and child urine as well as metabolites specific t</w:instrText>
      </w:r>
      <w:r>
        <w:rPr>
          <w:sz w:val="22"/>
          <w:szCs w:val="22"/>
        </w:rPr>
        <w:instrText xml:space="preserve">o malathion (MDA) and chlorpyrifos (TCPy) in maternal urine. We examined their association with children’s performance at 6 (n = 396), 12 (n = 395), and 24 (n = 372) months of age on the Bayley Scales of Infant Development [Mental Development (MDI) and Psy</w:instrText>
      </w:r>
      <w:r>
        <w:rPr>
          <w:sz w:val="22"/>
          <w:szCs w:val="22"/>
        </w:rPr>
        <w:instrText xml:space="preserve">chomotor Development (PDI) Indices] and mother’s report on the Child Behavior Checklist (CBCL) (n = 356).ResultsGenerally, pregnancy DAP levels were negatively associated with MDI, but child measures were positively associated. At 24 months of age, these a</w:instrText>
      </w:r>
      <w:r>
        <w:rPr>
          <w:sz w:val="22"/>
          <w:szCs w:val="22"/>
        </w:rPr>
        <w:instrText xml:space="preserve">ssociations reached statistical significance [per 10-fold increase in prenatal DAPs: β = −3.5 points; 95% confidence interval (CI), −6.6 to −0.5; child DAPs: β = 2.4 points; 95% CI, 0.5 to 4.2]. Neither prenatal nor child DAPs were associated with PDI or C</w:instrText>
      </w:r>
      <w:r>
        <w:rPr>
          <w:sz w:val="22"/>
          <w:szCs w:val="22"/>
        </w:rPr>
        <w:instrText xml:space="preserve">BCL attention problems, but both prenatal and postnatal DAPs were associated with risk of pervasive developmental disorder [per 10-fold increase in prenatal DAPs: odds ratio (OR) = 2.3, p = 0.05; child DAPs OR = 1.7, p = 0.04]. MDA and TCPy were not associ</w:instrText>
      </w:r>
      <w:r>
        <w:rPr>
          <w:sz w:val="22"/>
          <w:szCs w:val="22"/>
        </w:rPr>
        <w:instrText xml:space="preserve">ated with any outcome.ConclusionsWe report adverse associations of prenatal DAPs with mental development and pervasive developmental problems at 24 months of age. Results should be interpreted with caution given the observed positive relationship with post</w:instrText>
      </w:r>
      <w:r>
        <w:rPr>
          <w:sz w:val="22"/>
          <w:szCs w:val="22"/>
        </w:rPr>
        <w:instrText xml:space="preserve">natal DAPs.","container-title":"Environmental Health Perspectives","DOI":"10.1289/ehp.9828","issue":"5","note":"publisher: Environmental Health Perspectives","page":"792-798","source":"ehp.niehs.nih.gov (Atypon)","title":"Organophosphate Pesticide Exposure</w:instrText>
      </w:r>
      <w:r>
        <w:rPr>
          <w:sz w:val="22"/>
          <w:szCs w:val="22"/>
        </w:rPr>
        <w:instrText xml:space="preserve"> and Neurodevelopment in Young Mexican-American Children","volume":"115","author":[{"family":"Eskenazi","given":"Brenda"},{"family":"Marks","given":"Amy R."},{"family":"Bradman","given":"Asa"},{"family":"Harley","given":"Kim"},{"family":"Barr","given":"Dan</w:instrText>
      </w:r>
      <w:r>
        <w:rPr>
          <w:sz w:val="22"/>
          <w:szCs w:val="22"/>
        </w:rPr>
        <w:instrText xml:space="preserve">a B."},{"family":"Johnson","given":"Caroline"},{"family":"Morga","given":"Norma"},{"family":"Jewell","given":"Nicholas P."}],"issued":{"date-parts":[["2007",5]]}}}],"schema":"https://github.com/citation-style-language/schema/raw/master/csl-citation.json"} </w:instrText>
      </w:r>
      <w:r>
        <w:rPr>
          <w:sz w:val="22"/>
          <w:szCs w:val="22"/>
        </w:rPr>
        <w:fldChar w:fldCharType="separate"/>
      </w:r>
      <w:r>
        <w:rPr>
          <w:sz w:val="22"/>
        </w:rPr>
        <w:t xml:space="preserve">(</w:t>
      </w:r>
      <w:r>
        <w:rPr>
          <w:sz w:val="22"/>
        </w:rPr>
        <w:t xml:space="preserve">Eskenazi</w:t>
      </w:r>
      <w:r>
        <w:rPr>
          <w:sz w:val="22"/>
        </w:rPr>
        <w:t xml:space="preserve"> et al., 2007)</w:t>
      </w:r>
      <w:r>
        <w:rPr>
          <w:sz w:val="22"/>
          <w:szCs w:val="22"/>
        </w:rPr>
        <w:fldChar w:fldCharType="end"/>
      </w:r>
      <w:r>
        <w:rPr>
          <w:sz w:val="22"/>
          <w:szCs w:val="22"/>
        </w:rPr>
        <w:t xml:space="preserve">.</w:t>
      </w:r>
      <w:r>
        <w:rPr>
          <w:sz w:val="22"/>
          <w:szCs w:val="22"/>
        </w:rPr>
        <w:t xml:space="preserve"> </w:t>
      </w:r>
      <w:r>
        <w:rPr>
          <w:sz w:val="22"/>
          <w:szCs w:val="22"/>
        </w:rPr>
        <w:t xml:space="preserve">Geospatial analyses in the same population found that children’s</w:t>
      </w:r>
      <w:r>
        <w:rPr>
          <w:sz w:val="22"/>
          <w:szCs w:val="22"/>
        </w:rPr>
        <w:t xml:space="preserve"> </w:t>
      </w:r>
      <w:r>
        <w:rPr>
          <w:color w:val="000000"/>
          <w:sz w:val="22"/>
          <w:szCs w:val="22"/>
          <w:shd w:val="clear" w:color="auto" w:fill="ffffff"/>
        </w:rPr>
        <w:t xml:space="preserve">IQ scores decreased with increasing use of OP within 1</w:t>
      </w:r>
      <w:r>
        <w:rPr>
          <w:color w:val="000000"/>
          <w:sz w:val="22"/>
          <w:szCs w:val="22"/>
          <w:shd w:val="clear" w:color="auto" w:fill="ffffff"/>
        </w:rPr>
        <w:t xml:space="preserve"> </w:t>
      </w:r>
      <w:r>
        <w:rPr>
          <w:color w:val="000000"/>
          <w:sz w:val="22"/>
          <w:szCs w:val="22"/>
          <w:shd w:val="clear" w:color="auto" w:fill="ffffff"/>
        </w:rPr>
        <w:t xml:space="preserve">km of </w:t>
      </w:r>
      <w:commentRangeStart w:id="7"/>
      <w:r>
        <w:rPr>
          <w:color w:val="000000"/>
          <w:sz w:val="22"/>
          <w:szCs w:val="22"/>
          <w:shd w:val="clear" w:color="auto" w:fill="ffffff"/>
        </w:rPr>
        <w:t xml:space="preserve">maternal </w:t>
      </w:r>
      <w:commentRangeEnd w:id="7"/>
      <w:r>
        <w:commentReference w:id="7"/>
      </w:r>
      <w:r>
        <w:rPr>
          <w:color w:val="000000"/>
          <w:sz w:val="22"/>
          <w:szCs w:val="22"/>
          <w:shd w:val="clear" w:color="auto" w:fill="ffffff"/>
        </w:rPr>
        <w:t xml:space="preserve">residence during pregnancy</w:t>
      </w:r>
      <w:r>
        <w:rPr>
          <w:color w:val="000000"/>
          <w:sz w:val="22"/>
          <w:szCs w:val="22"/>
          <w:shd w:val="clear" w:color="auto" w:fill="ffffff"/>
        </w:rPr>
        <w:t xml:space="preserve"> </w:t>
      </w:r>
      <w:r>
        <w:rPr>
          <w:color w:val="000000"/>
          <w:sz w:val="22"/>
          <w:szCs w:val="22"/>
          <w:shd w:val="clear" w:color="auto" w:fill="ffffff"/>
        </w:rPr>
        <w:fldChar w:fldCharType="begin"/>
      </w:r>
      <w:r>
        <w:rPr>
          <w:color w:val="000000"/>
          <w:sz w:val="22"/>
          <w:szCs w:val="22"/>
          <w:shd w:val="clear" w:color="auto" w:fill="ffffff"/>
        </w:rPr>
        <w:instrText xml:space="preserve"> ADDIN ZOTERO_I</w:instrText>
      </w:r>
      <w:r>
        <w:rPr>
          <w:color w:val="000000"/>
          <w:sz w:val="22"/>
          <w:szCs w:val="22"/>
          <w:shd w:val="clear" w:color="auto" w:fill="ffffff"/>
        </w:rPr>
        <w:instrText xml:space="preserve">TEM CSL_CITATION {"citationID":"zQQMkzID","properties":{"formattedCitation":"(Gunier, Bradman, Harley, Kogut, et al., 2017)","plainCitation":"(Gunier, Bradman, Harley, Kogut, et al., 2017)","noteIndex":0},"citationItems":[{"id":4683,"uris":["http://zotero.</w:instrText>
      </w:r>
      <w:r>
        <w:rPr>
          <w:color w:val="000000"/>
          <w:sz w:val="22"/>
          <w:szCs w:val="22"/>
          <w:shd w:val="clear" w:color="auto" w:fill="ffffff"/>
        </w:rPr>
        <w:instrText xml:space="preserve">org/users/5127433/items/ALAF35J8"],"itemData":{"id":4683,"type":"article-journal","abstract":"Background:Residential proximity to agricultural pesticide use has been associated with neural tube defects and autism, but more subtle outcomes such as cognition</w:instrText>
      </w:r>
      <w:r>
        <w:rPr>
          <w:color w:val="000000"/>
          <w:sz w:val="22"/>
          <w:szCs w:val="22"/>
          <w:shd w:val="clear" w:color="auto" w:fill="ffffff"/>
        </w:rPr>
        <w:instrText xml:space="preserve">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shd w:val="clear" w:color="auto" w:fill="ffffff"/>
        </w:rPr>
        <w:instrText xml:space="preserve">𝑛</w:instrText>
      </w:r>
      <w:r>
        <w:rPr>
          <w:color w:val="000000"/>
          <w:sz w:val="22"/>
          <w:szCs w:val="22"/>
          <w:shd w:val="clear" w:color="auto" w:fill="ffffff"/>
        </w:rPr>
        <w:instrText xml:space="preserve">=283) living in the agricultural Salinas Valley of California enrolled in the Center for the Health Assessment of Mothers and Children of Salinas (CHAMACOS) study. We estimat</w:instrText>
      </w:r>
      <w:r>
        <w:rPr>
          <w:color w:val="000000"/>
          <w:sz w:val="22"/>
          <w:szCs w:val="22"/>
          <w:shd w:val="clear" w:color="auto" w:fill="ffffff"/>
        </w:rPr>
        <w:instrText xml:space="preserve">ed agricultural pesticide use within 1 km of maternal residences during pregnancy using a geographic information system, residential location, and California’s comprehensive agricultural Pesticide Use Report data. We used regression models to evaluate pren</w:instrText>
      </w:r>
      <w:r>
        <w:rPr>
          <w:color w:val="000000"/>
          <w:sz w:val="22"/>
          <w:szCs w:val="22"/>
          <w:shd w:val="clear" w:color="auto" w:fill="ffffff"/>
        </w:rPr>
        <w:instrText xml:space="preserve">atal residential proximity to agricultural use of five potentially neurotoxic pesticide groups (organophosphates, carbamates, pyrethroids, neonicotinoids, and manganese fungicides) and five individual organophosphates (acephate, chlorpyrifos, diazinon, mal</w:instrText>
      </w:r>
      <w:r>
        <w:rPr>
          <w:color w:val="000000"/>
          <w:sz w:val="22"/>
          <w:szCs w:val="22"/>
          <w:shd w:val="clear" w:color="auto" w:fill="ffffff"/>
        </w:rPr>
        <w:instrText xml:space="preserve">athion, and oxydemeton-methyl) and cognition in 7-year-old children. All models included prenatal urinary dialkyl phosphate metabolite concentrations.Results:We observed a decrease of 2.2 points [95% confidence interval (CI): −3.9, −0.5] in Full-Scale IQ a</w:instrText>
      </w:r>
      <w:r>
        <w:rPr>
          <w:color w:val="000000"/>
          <w:sz w:val="22"/>
          <w:szCs w:val="22"/>
          <w:shd w:val="clear" w:color="auto" w:fill="ffffff"/>
        </w:rPr>
        <w:instrText xml:space="preserve">nd 2.9 points (95% CI: −4.4, −1.3) in Verbal Comprehension for each standard deviation increase in toxicity-weighted use of organophosphate pesticides. In separate models, we observed similar decrements in Full-Scale IQ with each standard deviation increas</w:instrText>
      </w:r>
      <w:r>
        <w:rPr>
          <w:color w:val="000000"/>
          <w:sz w:val="22"/>
          <w:szCs w:val="22"/>
          <w:shd w:val="clear" w:color="auto" w:fill="ffffff"/>
        </w:rPr>
        <w:instrText xml:space="preserve">e of use for two organophosphates (acephate and oxydemeton-methyl) and three neurotoxic pesticide groups (pyrethroids, neonicotinoids, and manganese fungicides).Conclusions:This study identified potential relationships between maternal residential proximit</w:instrText>
      </w:r>
      <w:r>
        <w:rPr>
          <w:color w:val="000000"/>
          <w:sz w:val="22"/>
          <w:szCs w:val="22"/>
          <w:shd w:val="clear" w:color="auto" w:fill="ffffff"/>
        </w:rPr>
        <w:instrText xml:space="preserve">y to agricultural use of neurotoxic pesticides and poorer neurodevelopment in children. https://doi.org/10.1289/EHP504","container-title":"Environmental Health Perspectives","DOI":"10.1289/EHP504","issue":"5","note":"publisher: Environmental Health Perspec</w:instrText>
      </w:r>
      <w:r>
        <w:rPr>
          <w:color w:val="000000"/>
          <w:sz w:val="22"/>
          <w:szCs w:val="22"/>
          <w:shd w:val="clear" w:color="auto" w:fill="ffffff"/>
        </w:rPr>
        <w:instrText xml:space="preserve">tives","page":"057002","source":"ehp.niehs.nih.gov (Atypon)","title":"Prenatal Residential Proximity to Agricultural Pesticide Use and IQ in 7-Year-Old Children","volume":"125","author":[{"family":"Gunier","given":"Robert B."},{"family":"Bradman","given":"</w:instrText>
      </w:r>
      <w:r>
        <w:rPr>
          <w:color w:val="000000"/>
          <w:sz w:val="22"/>
          <w:szCs w:val="22"/>
          <w:shd w:val="clear" w:color="auto" w:fill="ffffff"/>
        </w:rPr>
        <w:instrText xml:space="preserve">Asa"},{"family":"Harley","given":"Kim G."},{"family":"Kogut","given":"Katherine"},{"family":"Eskenazi","given":"Brenda"}],"issued":{"date-parts":[["2017",5,24]]}}}],"schema":"https://github.com/citation-style-language/schema/raw/master/csl-citation.json"} </w:instrText>
      </w:r>
      <w:r>
        <w:rPr>
          <w:color w:val="000000"/>
          <w:sz w:val="22"/>
          <w:szCs w:val="22"/>
          <w:shd w:val="clear" w:color="auto" w:fill="ffffff"/>
        </w:rPr>
        <w:fldChar w:fldCharType="separate"/>
      </w:r>
      <w:r>
        <w:rPr>
          <w:sz w:val="22"/>
        </w:rPr>
        <w:t xml:space="preserve">(Gunier, Bradman, Harley, Kogut, et al., 2017)</w:t>
      </w:r>
      <w:r>
        <w:rPr>
          <w:color w:val="000000"/>
          <w:sz w:val="22"/>
          <w:szCs w:val="22"/>
          <w:shd w:val="clear" w:color="auto" w:fill="ffffff"/>
        </w:rPr>
        <w:fldChar w:fldCharType="end"/>
      </w:r>
      <w:r>
        <w:rPr>
          <w:color w:val="000000"/>
          <w:sz w:val="22"/>
          <w:szCs w:val="22"/>
          <w:shd w:val="clear" w:color="auto" w:fill="ffffff"/>
        </w:rPr>
        <w:t xml:space="preserve">. </w:t>
      </w:r>
      <w:r>
        <w:rPr>
          <w:sz w:val="22"/>
          <w:szCs w:val="22"/>
        </w:rPr>
      </w:r>
    </w:p>
    <w:p>
      <w:pPr>
        <w:pBdr/>
        <w:spacing/>
        <w:ind/>
        <w:rPr>
          <w:color w:val="000000"/>
          <w:sz w:val="22"/>
          <w:szCs w:val="22"/>
        </w:rPr>
      </w:pPr>
      <w:r>
        <w:rPr>
          <w:color w:val="000000"/>
          <w:sz w:val="22"/>
          <w:szCs w:val="22"/>
        </w:rPr>
      </w:r>
      <w:r>
        <w:rPr>
          <w:color w:val="000000"/>
          <w:sz w:val="22"/>
          <w:szCs w:val="22"/>
        </w:rPr>
      </w:r>
    </w:p>
    <w:p>
      <w:pPr>
        <w:pBdr/>
        <w:spacing/>
        <w:ind w:firstLine="720"/>
        <w:jc w:val="both"/>
        <w:rPr>
          <w:sz w:val="22"/>
          <w:szCs w:val="22"/>
        </w:rPr>
      </w:pPr>
      <w:r>
        <w:rPr>
          <w:color w:val="000000"/>
          <w:sz w:val="22"/>
          <w:szCs w:val="22"/>
        </w:rPr>
        <w:t xml:space="preserve">Pedro </w:t>
      </w:r>
      <w:r>
        <w:rPr>
          <w:color w:val="000000"/>
          <w:sz w:val="22"/>
          <w:szCs w:val="22"/>
        </w:rPr>
        <w:t xml:space="preserve">Moncayo</w:t>
      </w:r>
      <w:r>
        <w:rPr>
          <w:color w:val="000000"/>
          <w:sz w:val="22"/>
          <w:szCs w:val="22"/>
        </w:rPr>
        <w:t xml:space="preserve"> Co</w:t>
      </w:r>
      <w:r>
        <w:rPr>
          <w:color w:val="000000"/>
          <w:sz w:val="22"/>
          <w:szCs w:val="22"/>
        </w:rPr>
        <w:t xml:space="preserve">unty, Ecuador is an agricultural region characterized by intensive floriculture and high densities of rose plantations. Regular use of insecticides (organophosphates, neonicotinoids, and pyrethroids) and fungicides (quinone outside inhibitors, azoles, and </w:t>
      </w:r>
      <w:r>
        <w:rPr>
          <w:color w:val="000000"/>
          <w:sz w:val="22"/>
          <w:szCs w:val="22"/>
        </w:rPr>
        <w:t xml:space="preserve">dithiocarbamates</w:t>
      </w:r>
      <w:r>
        <w:rPr>
          <w:color w:val="000000"/>
          <w:sz w:val="22"/>
          <w:szCs w:val="22"/>
        </w:rPr>
        <w:t xml:space="preserve">) has been documented, making children from agricultural families and those residing near floricultural operations highly susceptible to pesticide exposure</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{"citationID":"GC3eU1J1","properties":{</w:instrText>
      </w:r>
      <w:r>
        <w:rPr>
          <w:color w:val="000000"/>
          <w:sz w:val="22"/>
          <w:szCs w:val="22"/>
        </w:rPr>
        <w:instrText xml:space="preserve">"formattedCitation":"(Grandjean et al., 2006; Handal et al., 2016; Harari Compilador, 2004; Suarez-Lopez et al., 2017, 2018)","plainCitation":"(Grandjean et al., 2006; Handal et al., 2016; Harari Compilador, 2004; Suarez-Lopez et al., 2017, 2018)","noteInd</w:instrText>
      </w:r>
      <w:r>
        <w:rPr>
          <w:color w:val="000000"/>
          <w:sz w:val="22"/>
          <w:szCs w:val="22"/>
        </w:rPr>
        <w:instrText xml:space="preserve">ex":0},"citationItems":[{"id":4743,"uris":["http://zotero.org/users/5127433/items/2RJYIHN5"],"itemData":{"id":4743,"type":"article-journal","container-title":"Pediatrics","DOI":"https://doi.org/10.1542/peds.2005-1781","issue":"3","page":"e546-e556","title"</w:instrText>
      </w:r>
      <w:r>
        <w:rPr>
          <w:color w:val="000000"/>
          <w:sz w:val="22"/>
          <w:szCs w:val="22"/>
        </w:rPr>
        <w:instrText xml:space="preserve">:"Pesticide Exposure and Stunting as Independent Predictors of Neurobehavioral Deficits in Ecuadorian School Children | Pediatrics | American Academy of Pediatrics","volume":"117","author":[{"family":"Grandjean","given":"Philippe"},{"family":"Harari","give</w:instrText>
      </w:r>
      <w:r>
        <w:rPr>
          <w:color w:val="000000"/>
          <w:sz w:val="22"/>
          <w:szCs w:val="22"/>
        </w:rPr>
        <w:instrText xml:space="preserve">n":"Raul"},{"family":"Barr","given":"Dana B."},{"family":"Debes","given":"Frodi"}],"issued":{"date-parts":[["2006"]]}}},{"id":4685,"uris":["http://zotero.org/users/5127433/items/2XI4MAFP"],"itemData":{"id":4685,"type":"article-journal","abstract":"Few stud</w:instrText>
      </w:r>
      <w:r>
        <w:rPr>
          <w:color w:val="000000"/>
          <w:sz w:val="22"/>
          <w:szCs w:val="22"/>
        </w:rPr>
        <w:instrText xml:space="preserve">ies have detailed the prenatal pesticide exposure levels of women employed in or residing near large-scale agricultural industries. This study reports pesticide metabolite levels during and shortly after pregnancy in a pilot study of workers in Ecuador. Ur</w:instrText>
      </w:r>
      <w:r>
        <w:rPr>
          <w:color w:val="000000"/>
          <w:sz w:val="22"/>
          <w:szCs w:val="22"/>
        </w:rPr>
        <w:instrText xml:space="preserve">ine samples were collected for 16 rose workers and 10 nonagricultural workers enrolled into the study in early pregnancy. We measured six nonspecific organophosphatedialkylphosphate (DAP) pesticide metabolites, two alkylenebis-dithiocarbamate pesticide met</w:instrText>
      </w:r>
      <w:r>
        <w:rPr>
          <w:color w:val="000000"/>
          <w:sz w:val="22"/>
          <w:szCs w:val="22"/>
        </w:rPr>
        <w:instrText xml:space="preserve">abolites [ethylene thiourea (ETU) and propylene thiourea (PTU)], 3,5,6-trichloro-2-pyridinol (TCPy), malathion dicarboxylic acid, and two pyrethroid metabolites (2,2-dimethylcyclo propanecarboxylic acid and 3-phenooxybenzoic acid). We collected 141 urine s</w:instrText>
      </w:r>
      <w:r>
        <w:rPr>
          <w:color w:val="000000"/>
          <w:sz w:val="22"/>
          <w:szCs w:val="22"/>
        </w:rPr>
        <w:instrText xml:space="preserve">amples (mean: 5.4 per woman). We observed high detection frequencies for five DAP metabolites and ETU, PTU, and TCPy. We report elevated levels of ETU in the entire sample (median 4.24 ng/mL, IQR 2.23, 7.18), suggesting other possible non-occupational path</w:instrText>
      </w:r>
      <w:r>
        <w:rPr>
          <w:color w:val="000000"/>
          <w:sz w:val="22"/>
          <w:szCs w:val="22"/>
        </w:rPr>
        <w:instrText xml:space="preserve">ways of exposure. We found no statistical differences in pesticide levels by current employment status, although the highest pesticide levels were among rose workers. We observed within-woman correlation in TCPy and PTU levels, but not in ETU or DAP levels</w:instrText>
      </w:r>
      <w:r>
        <w:rPr>
          <w:color w:val="000000"/>
          <w:sz w:val="22"/>
          <w:szCs w:val="22"/>
        </w:rPr>
        <w:instrText xml:space="preserve">. The present study is the first to characterize prenatal pesticide exposure levels among working women in Ecuador. Limitations include a small sample size and use of a convenience sample. Strengths include a longitudinal design and multiple urine samples </w:instrText>
      </w:r>
      <w:r>
        <w:rPr>
          <w:color w:val="000000"/>
          <w:sz w:val="22"/>
          <w:szCs w:val="22"/>
        </w:rPr>
        <w:instrText xml:space="preserve">per woman. Results provide an initial characterization of prenatal pesticide exposure levels and how these levels vary over pregnancy in a community impacted by agricultural industry and will inform further studies in the region.","container-title":"Archiv</w:instrText>
      </w:r>
      <w:r>
        <w:rPr>
          <w:color w:val="000000"/>
          <w:sz w:val="22"/>
          <w:szCs w:val="22"/>
        </w:rPr>
        <w:instrText xml:space="preserve">es of Environmental Contamination and Toxicology","DOI":"10.1007/s00244-015-0217-9","ISSN":"1432-0703","issue":"4","journalAbbreviation":"Arch Environ Contam Toxicol","language":"en","page":"627-639","source":"Springer Link","title":"Characterization of Pe</w:instrText>
      </w:r>
      <w:r>
        <w:rPr>
          <w:color w:val="000000"/>
          <w:sz w:val="22"/>
          <w:szCs w:val="22"/>
        </w:rPr>
        <w:instrText xml:space="preserve">sticide Exposure in a Sample of Pregnant Women in Ecuador","volume":"70","author":[{"family":"Handal","given":"Alexis J."},{"family":"Hund","given":"Lauren"},{"family":"Páez","given":"Maritza"},{"family":"Bear","given":"Samantha"},{"family":"Greenberg","gi</w:instrText>
      </w:r>
      <w:r>
        <w:rPr>
          <w:color w:val="000000"/>
          <w:sz w:val="22"/>
          <w:szCs w:val="22"/>
        </w:rPr>
        <w:instrText xml:space="preserve">ven":"Carolyn"},{"family":"Fenske","given":"Richard A."},{"family":"Barr","given":"Dana Boyd"}],"issued":{"date-parts":[["2016",5,1]]}}},{"id":4688,"uris":["http://zotero.org/users/5127433/items/SSJ4GZRP"],"itemData":{"id":4688,"type":"document","publisher</w:instrText>
      </w:r>
      <w:r>
        <w:rPr>
          <w:color w:val="000000"/>
          <w:sz w:val="22"/>
          <w:szCs w:val="22"/>
        </w:rPr>
        <w:instrText xml:space="preserve">":"IFA, PROMSA","title":"Seguridad, salud y ambiente en la floricultura","URL":"https://www.ifa.org.ec/docs/floricultura.pdf","author":[{"family":"Harari Compilador","given":"Raul"}],"accessed":{"date-parts":[["2024",6,7]]},"issued":{"date-parts":[["2004"]</w:instrText>
      </w:r>
      <w:r>
        <w:rPr>
          <w:color w:val="000000"/>
          <w:sz w:val="22"/>
          <w:szCs w:val="22"/>
        </w:rPr>
        <w:instrText xml:space="preserve">]}}},{"id":"O8yTnQIp/YGP0ry9X","uris":["http://zotero.org/users/5127433/items/L652X4LT"],"itemData":{"id":4722,"type":"article-journal","abstract":"Background\nExposures to cholinesterase inhibitor pesticides (e.g. organophosphates) have been associated wi</w:instrText>
      </w:r>
      <w:r>
        <w:rPr>
          <w:color w:val="000000"/>
          <w:sz w:val="22"/>
          <w:szCs w:val="22"/>
        </w:rPr>
        <w:instrText xml:space="preserve">th children's neurobehavioral alterations, including attention deficit and impulsivity. Animal studies have observed transient alterations in neurobehavioral performance in relation to cholinesterase inhibitor pesticide exposures; however, limited evidence</w:instrText>
      </w:r>
      <w:r>
        <w:rPr>
          <w:color w:val="000000"/>
          <w:sz w:val="22"/>
          <w:szCs w:val="22"/>
        </w:rPr>
        <w:instrText xml:space="preserve"> exists regarding transient effects in humans.\n\nMethods\nWe estimated the associations between neurobehavioral performance and time after Mother's Day flower harvest (the end of a heightened pesticide usage period) among 308 4-to 9-year-old children livi</w:instrText>
      </w:r>
      <w:r>
        <w:rPr>
          <w:color w:val="000000"/>
          <w:sz w:val="22"/>
          <w:szCs w:val="22"/>
        </w:rPr>
        <w:instrText xml:space="preserve">ng in floricultural communities in Ecuador in 2008 who participated in the ESPINA study. Children's neurobehavior was examined once (NEPSY-II: 11 subtests covering 5 domains), between 63-100 days (SD: 10.8 days) after Mother's Day harvest (blood acetylchol</w:instrText>
      </w:r>
      <w:r>
        <w:rPr>
          <w:color w:val="000000"/>
          <w:sz w:val="22"/>
          <w:szCs w:val="22"/>
        </w:rPr>
        <w:instrText xml:space="preserve">inesterase activity levels can take 82 days to normalize after irreversible inhibition with organophosphates).\n\nResults\nThe mean (SD) neurobehavioral scaled scores across domains ranged from 6.6 (2.4) to 9.9 (3.3); higher values reflect greater performa</w:instrText>
      </w:r>
      <w:r>
        <w:rPr>
          <w:color w:val="000000"/>
          <w:sz w:val="22"/>
          <w:szCs w:val="22"/>
        </w:rPr>
        <w:instrText xml:space="preserve">nce. Children examined sooner after Mother's Day had lower neurobehavioral scores than children examined later, in the domains of (score difference per 10.8 days, 95%CI): Attention/Inhibitory Control (0.38, 0.10-0.65), Visuospatial Processing (0.60, 0.25-0</w:instrText>
      </w:r>
      <w:r>
        <w:rPr>
          <w:color w:val="000000"/>
          <w:sz w:val="22"/>
          <w:szCs w:val="22"/>
        </w:rPr>
        <w:instrText xml:space="preserve">.95) and Sensorimotor (0.43, 0.10-0.77). Scores were higher with longer time post-harvest among girls (vs. boys) in Attention/Inhibitory Control.\n\nConclusions\nOur findings, although cross-sectional, are among the first in non-worker children to suggest </w:instrText>
      </w:r>
      <w:r>
        <w:rPr>
          <w:color w:val="000000"/>
          <w:sz w:val="22"/>
          <w:szCs w:val="22"/>
        </w:rPr>
        <w:instrText xml:space="preserve">that a peak pesticide use period may transiently affect neurobehavioral performance, as children examined sooner after the flower harvest had lower neurobehavioral performance than children examined later. Studies assessing pre- and post-exposure measures </w:instrText>
      </w:r>
      <w:r>
        <w:rPr>
          <w:color w:val="000000"/>
          <w:sz w:val="22"/>
          <w:szCs w:val="22"/>
        </w:rPr>
        <w:instrText xml:space="preserve">are needed.","container-title":"Neurotoxicology","DOI":"10.1016/j.neuro.2017.02.002","ISSN":"0161-813X","journalAbbreviation":"Neurotoxicology","note":"PMID: 28188819\nPMCID: PMC5447476","page":"125-133","source":"PubMed Central","title":"Potential short-t</w:instrText>
      </w:r>
      <w:r>
        <w:rPr>
          <w:color w:val="000000"/>
          <w:sz w:val="22"/>
          <w:szCs w:val="22"/>
        </w:rPr>
        <w:instrText xml:space="preserve">erm neurobehavioral alterations in children associated with a peak pesticide spray season: The Mother's Day flower harvest in Ecuador","title-short":"Potential short-term neurobehavioral alterations in children associated with a peak pesticide spray season</w:instrText>
      </w:r>
      <w:r>
        <w:rPr>
          <w:color w:val="000000"/>
          <w:sz w:val="22"/>
          <w:szCs w:val="22"/>
        </w:rPr>
        <w:instrText xml:space="preserve">","volume":"60","author":[{"family":"Suarez-Lopez","given":"Jose R."},{"family":"Checkoway","given":"Harvey"},{"family":"Jacobs","given":"David R."},{"family":"Al-Delaimy","given":"Wael K."},{"family":"Gahagan","given":"Sheila"}],"issued":{"date-parts":[["</w:instrText>
      </w:r>
      <w:r>
        <w:rPr>
          <w:color w:val="000000"/>
          <w:sz w:val="22"/>
          <w:szCs w:val="22"/>
          <w:lang w:val="es-MX"/>
        </w:rPr>
        <w:instrText xml:space="preserve">2017",5]]}}},{"id":4720,"uris":["http://zotero.org/users/5127433/items/4LG4HNID"],"itemData":{"id":4720,"type":"article-journal","abstract":"Mother’s Day (May) is a holiday with substantial demand for flowers, associate</w:instrText>
      </w:r>
      <w:r>
        <w:rPr>
          <w:color w:val="000000"/>
          <w:sz w:val="22"/>
          <w:szCs w:val="22"/>
          <w:lang w:val="es-MX"/>
        </w:rPr>
        <w:instrText xml:space="preserve">d with heightened flower production and escalated pesticide use. The effect of spray seasons on pesticide exposures of children living in agricultural communities but who do not work in agriculture is poorly understood. In this study, we estimated the asso</w:instrText>
      </w:r>
      <w:r>
        <w:rPr>
          <w:color w:val="000000"/>
          <w:sz w:val="22"/>
          <w:szCs w:val="22"/>
          <w:lang w:val="es-MX"/>
        </w:rPr>
        <w:instrText xml:space="preserve">ciation of time after Mother’s Day harvest with children’s acetylcholinesterase (AChE) activity. AChE is a physiological marker of organophosphate/carbamate pesticide exposures that may take up to 3 months to normalize after its inhibition.","container-tit</w:instrText>
      </w:r>
      <w:r>
        <w:rPr>
          <w:color w:val="000000"/>
          <w:sz w:val="22"/>
          <w:szCs w:val="22"/>
          <w:lang w:val="es-MX"/>
        </w:rPr>
        <w:instrText xml:space="preserve">le":"International Archives of Occupational and Environmental Health","DOI":"10.1007/s00420-017-1265-4","ISSN":"1432-1246","issue":"2","journalAbbreviation":"Int Arch Occup Environ Health","language":"en","page":"175-184","source":"Springer Link","title":"</w:instrText>
      </w:r>
      <w:r>
        <w:rPr>
          <w:color w:val="000000"/>
          <w:sz w:val="22"/>
          <w:szCs w:val="22"/>
          <w:lang w:val="es-MX"/>
        </w:rPr>
        <w:instrText xml:space="preserve">Acetylcholinesterase activity and time after a peak pesticide-use period among Ecuadorian children","volume":"91","author":[{"family":"Suarez-Lopez","given":"Jose Ricardo"},{"family":"Butcher","given":"Cheyenne R."},{"family":"Gahagan","given":"Sheila"},{"</w:instrText>
      </w:r>
      <w:r>
        <w:rPr>
          <w:color w:val="000000"/>
          <w:sz w:val="22"/>
          <w:szCs w:val="22"/>
          <w:lang w:val="es-MX"/>
        </w:rPr>
        <w:instrText xml:space="preserve">family":"Checkoway","given":"Harvey"},{"family":"Alexander","given":"Bruce H."},{"family":"Al-Delaimy","given":"Wael K."}],"issued":{"date-parts":[["2018",2,1]]}}}],"schema":"https://github.com/citation-style-language/schema/raw/master/csl-citation.json"} </w:instrText>
      </w:r>
      <w:r>
        <w:rPr>
          <w:color w:val="000000"/>
          <w:sz w:val="22"/>
          <w:szCs w:val="22"/>
        </w:rPr>
        <w:fldChar w:fldCharType="separate"/>
      </w:r>
      <w:r>
        <w:rPr>
          <w:sz w:val="22"/>
          <w:lang w:val="es-MX"/>
        </w:rPr>
        <w:t xml:space="preserve">(Grandjean et al., 2006; Handal et al., 2016; Harari</w:t>
      </w:r>
      <w:r>
        <w:rPr>
          <w:sz w:val="22"/>
          <w:lang w:val="es-MX"/>
        </w:rPr>
        <w:t xml:space="preserve">, 2004; Suarez-</w:t>
      </w:r>
      <w:r>
        <w:rPr>
          <w:sz w:val="22"/>
          <w:lang w:val="es-MX"/>
        </w:rPr>
        <w:t xml:space="preserve">Lopez et al., 2017, 2018)</w:t>
      </w:r>
      <w:r>
        <w:rPr>
          <w:color w:val="000000"/>
          <w:sz w:val="22"/>
          <w:szCs w:val="22"/>
        </w:rPr>
        <w:fldChar w:fldCharType="end"/>
      </w:r>
      <w:r>
        <w:rPr>
          <w:color w:val="000000"/>
          <w:sz w:val="22"/>
          <w:szCs w:val="22"/>
          <w:lang w:val="es-MX"/>
        </w:rPr>
        <w:t xml:space="preserve">.</w:t>
      </w:r>
      <w:r>
        <w:rPr>
          <w:color w:val="c00000"/>
          <w:sz w:val="22"/>
          <w:szCs w:val="22"/>
          <w:lang w:val="es-MX"/>
        </w:rPr>
        <w:t xml:space="preserve"> </w:t>
      </w:r>
      <w:r>
        <w:rPr>
          <w:sz w:val="22"/>
          <w:szCs w:val="22"/>
        </w:rPr>
        <w:t xml:space="preserve">In the study of Secondary Exposures to Pesticides among Children and Adolescents (ESPINA: </w:t>
      </w:r>
      <w:r>
        <w:rPr>
          <w:sz w:val="22"/>
          <w:szCs w:val="22"/>
        </w:rPr>
        <w:t xml:space="preserve">Estudio</w:t>
      </w:r>
      <w:r>
        <w:rPr>
          <w:sz w:val="22"/>
          <w:szCs w:val="22"/>
        </w:rPr>
        <w:t xml:space="preserve"> de la </w:t>
      </w:r>
      <w:r>
        <w:rPr>
          <w:sz w:val="22"/>
          <w:szCs w:val="22"/>
        </w:rPr>
        <w:t xml:space="preserve">Exposición</w:t>
      </w:r>
      <w:r>
        <w:rPr>
          <w:sz w:val="22"/>
          <w:szCs w:val="22"/>
        </w:rPr>
        <w:t xml:space="preserve"> </w:t>
      </w:r>
      <w:r>
        <w:rPr>
          <w:sz w:val="22"/>
          <w:szCs w:val="22"/>
        </w:rPr>
        <w:t xml:space="preserve">Secundaria</w:t>
      </w:r>
      <w:r>
        <w:rPr>
          <w:sz w:val="22"/>
          <w:szCs w:val="22"/>
        </w:rPr>
        <w:t xml:space="preserve"> a </w:t>
      </w:r>
      <w:r>
        <w:rPr>
          <w:sz w:val="22"/>
          <w:szCs w:val="22"/>
        </w:rPr>
        <w:t xml:space="preserve">Plaguicidas</w:t>
      </w:r>
      <w:r>
        <w:rPr>
          <w:sz w:val="22"/>
          <w:szCs w:val="22"/>
        </w:rPr>
        <w:t xml:space="preserve"> </w:t>
      </w:r>
      <w:r>
        <w:rPr>
          <w:sz w:val="22"/>
          <w:szCs w:val="22"/>
        </w:rPr>
        <w:t xml:space="preserve">en</w:t>
      </w:r>
      <w:r>
        <w:rPr>
          <w:sz w:val="22"/>
          <w:szCs w:val="22"/>
        </w:rPr>
        <w:t xml:space="preserve"> </w:t>
      </w:r>
      <w:r>
        <w:rPr>
          <w:sz w:val="22"/>
          <w:szCs w:val="22"/>
        </w:rPr>
        <w:t xml:space="preserve">Niños</w:t>
      </w:r>
      <w:r>
        <w:rPr>
          <w:sz w:val="22"/>
          <w:szCs w:val="22"/>
        </w:rPr>
        <w:t xml:space="preserve"> y </w:t>
      </w:r>
      <w:r>
        <w:rPr>
          <w:sz w:val="22"/>
          <w:szCs w:val="22"/>
        </w:rPr>
        <w:t xml:space="preserve">Adolescentes</w:t>
      </w:r>
      <w:r>
        <w:rPr>
          <w:sz w:val="22"/>
          <w:szCs w:val="22"/>
        </w:rPr>
        <w:t xml:space="preserve">) </w:t>
      </w:r>
      <w:r>
        <w:rPr>
          <w:sz w:val="22"/>
          <w:szCs w:val="22"/>
        </w:rPr>
        <w:t xml:space="preserve">conducted </w:t>
      </w:r>
      <w:r>
        <w:rPr>
          <w:sz w:val="22"/>
          <w:szCs w:val="22"/>
        </w:rPr>
        <w:t xml:space="preserve">in Pedro </w:t>
      </w:r>
      <w:r>
        <w:rPr>
          <w:sz w:val="22"/>
          <w:szCs w:val="22"/>
        </w:rPr>
        <w:t xml:space="preserve">Moncayo</w:t>
      </w:r>
      <w:r>
        <w:rPr>
          <w:sz w:val="22"/>
          <w:szCs w:val="22"/>
        </w:rPr>
        <w:t xml:space="preserve">, children living </w:t>
      </w:r>
      <w:r>
        <w:rPr>
          <w:sz w:val="22"/>
          <w:szCs w:val="22"/>
        </w:rPr>
        <w:t xml:space="preserve">within 275m from</w:t>
      </w:r>
      <w:r>
        <w:rPr>
          <w:sz w:val="22"/>
          <w:szCs w:val="22"/>
        </w:rPr>
        <w:t xml:space="preserve"> floricultural crops had lower </w:t>
      </w:r>
      <w:r>
        <w:rPr>
          <w:sz w:val="22"/>
          <w:szCs w:val="22"/>
        </w:rPr>
        <w:t xml:space="preserve">AChE</w:t>
      </w:r>
      <w:r>
        <w:rPr>
          <w:sz w:val="22"/>
          <w:szCs w:val="22"/>
        </w:rPr>
        <w:t xml:space="preserve"> </w:t>
      </w:r>
      <w:r>
        <w:rPr>
          <w:sz w:val="22"/>
          <w:szCs w:val="22"/>
        </w:rPr>
        <w:t xml:space="preserve">activity</w:t>
      </w:r>
      <w:r>
        <w:rPr>
          <w:sz w:val="22"/>
          <w:szCs w:val="22"/>
        </w:rPr>
        <w:t xml:space="preserve"> </w:t>
      </w:r>
      <w:r>
        <w:rPr>
          <w:sz w:val="22"/>
          <w:szCs w:val="22"/>
        </w:rPr>
        <w:t xml:space="preserve">compared to those living farther away</w:t>
      </w:r>
      <w:r>
        <w:rPr>
          <w:sz w:val="22"/>
          <w:szCs w:val="22"/>
        </w:rPr>
        <w:t xml:space="preserve"> </w:t>
      </w:r>
      <w:r>
        <w:rPr>
          <w:sz w:val="22"/>
          <w:szCs w:val="22"/>
        </w:rPr>
        <w:fldChar w:fldCharType="begin"/>
      </w:r>
      <w:r>
        <w:rPr>
          <w:sz w:val="22"/>
          <w:szCs w:val="22"/>
        </w:rPr>
        <w:instrText xml:space="preserve"> ADDIN ZOTERO_ITEM CSL_CITATION {"citationID":"CYdE2iZQ","properties":{"formattedCitation":"(Suarez-Lopez et al., 2018)","plainCitation":"(Suarez-Lop</w:instrText>
      </w:r>
      <w:r>
        <w:rPr>
          <w:sz w:val="22"/>
          <w:szCs w:val="22"/>
        </w:rPr>
        <w:instrText xml:space="preserve">ez et al., 2018)","noteIndex":0},"citationItems":[{"id":4720,"uris":["http://zotero.org/users/5127433/items/4LG4HNID"],"itemData":{"id":4720,"type":"article-journal","abstract":"Mother’s Day (May) is a holiday with substantial demand for flowers, associate</w:instrText>
      </w:r>
      <w:r>
        <w:rPr>
          <w:sz w:val="22"/>
          <w:szCs w:val="22"/>
        </w:rPr>
        <w:instrText xml:space="preserve">d with heightened flower production and escalated pesticide use. The effect of spray seasons on pesticide exposures of children living in agricultural communities but who do not work in agriculture is poorly understood. In this study, we estimated the asso</w:instrText>
      </w:r>
      <w:r>
        <w:rPr>
          <w:sz w:val="22"/>
          <w:szCs w:val="22"/>
        </w:rPr>
        <w:instrText xml:space="preserve">ciation of time after Mother’s Day harvest with children’s acetylcholinesterase (AChE) activity. AChE is a physiological marker of organophosphate/carbamate pesticide exposures that may take up to 3 months to normalize after its inhibition.","container-tit</w:instrText>
      </w:r>
      <w:r>
        <w:rPr>
          <w:sz w:val="22"/>
          <w:szCs w:val="22"/>
        </w:rPr>
        <w:instrText xml:space="preserve">le":"International Archives of Occupational and Environmental Health","DOI":"10.1007/s00420-017-1265-4","ISSN":"1432-1246","issue":"2","journalAbbreviation":"Int Arch Occup Environ Health","language":"en","page":"175-184","source":"Springer Link","title":"</w:instrText>
      </w:r>
      <w:r>
        <w:rPr>
          <w:sz w:val="22"/>
          <w:szCs w:val="22"/>
        </w:rPr>
        <w:instrText xml:space="preserve">Acetylcholinesterase activity and time after a peak pesticide-use period among Ecuadorian children","volume":"91","author":[{"family":"Suarez-Lopez","given":"Jose Ricardo"},{"family":"Butcher","given":"Cheyenne R."},{"family":"Gahagan","given":"Sheila"},{"</w:instrText>
      </w:r>
      <w:r>
        <w:rPr>
          <w:sz w:val="22"/>
          <w:szCs w:val="22"/>
        </w:rPr>
        <w:instrText xml:space="preserve">family":"Checkoway","given":"Harvey"},{"family":"Alexander","given":"Bruce H."},{"family":"Al-Delaimy","given":"Wael K."}],"issued":{"date-parts":[["2018",2,1]]}}}],"schema":"https://github.com/citation-style-language/schema/raw/master/csl-citation.json"} </w:instrText>
      </w:r>
      <w:r>
        <w:rPr>
          <w:sz w:val="22"/>
          <w:szCs w:val="22"/>
        </w:rPr>
        <w:fldChar w:fldCharType="separate"/>
      </w:r>
      <w:r>
        <w:rPr>
          <w:sz w:val="22"/>
        </w:rPr>
        <w:t xml:space="preserve">(Suarez-Lopez et al., 2018)</w:t>
      </w:r>
      <w:r>
        <w:rPr>
          <w:sz w:val="22"/>
          <w:szCs w:val="22"/>
        </w:rPr>
        <w:fldChar w:fldCharType="end"/>
      </w:r>
      <w:r>
        <w:rPr>
          <w:sz w:val="22"/>
          <w:szCs w:val="22"/>
        </w:rPr>
        <w:t xml:space="preserve">.</w:t>
      </w:r>
      <w:r>
        <w:t xml:space="preserve"> </w:t>
      </w:r>
      <w:r>
        <w:rPr>
          <w:sz w:val="22"/>
          <w:szCs w:val="22"/>
        </w:rPr>
        <w:t xml:space="preserve">This finding suggest</w:t>
      </w:r>
      <w:r>
        <w:rPr>
          <w:sz w:val="22"/>
          <w:szCs w:val="22"/>
        </w:rPr>
        <w:t xml:space="preserve">ed</w:t>
      </w:r>
      <w:r>
        <w:rPr>
          <w:sz w:val="22"/>
          <w:szCs w:val="22"/>
        </w:rPr>
        <w:t xml:space="preserve"> that off-target drift of organophosphate and carbamate insecticides from floricultural fields to nearby homes was sufficient to suppress </w:t>
      </w:r>
      <w:r>
        <w:rPr>
          <w:sz w:val="22"/>
          <w:szCs w:val="22"/>
        </w:rPr>
        <w:t xml:space="preserve">AChE</w:t>
      </w:r>
      <w:r>
        <w:rPr>
          <w:sz w:val="22"/>
          <w:szCs w:val="22"/>
        </w:rPr>
        <w:t xml:space="preserve"> activity</w:t>
      </w:r>
      <w:r>
        <w:rPr>
          <w:sz w:val="22"/>
          <w:szCs w:val="22"/>
        </w:rPr>
        <w:t xml:space="preserve">.</w:t>
      </w:r>
      <w:r>
        <w:rPr>
          <w:sz w:val="22"/>
          <w:szCs w:val="22"/>
        </w:rPr>
        <w:t xml:space="preserve"> </w:t>
      </w:r>
      <w:r>
        <w:rPr>
          <w:sz w:val="22"/>
          <w:szCs w:val="22"/>
        </w:rPr>
        <w:t xml:space="preserve">Reduced </w:t>
      </w:r>
      <w:r>
        <w:rPr>
          <w:sz w:val="22"/>
          <w:szCs w:val="22"/>
        </w:rPr>
        <w:t xml:space="preserve">AChE</w:t>
      </w:r>
      <w:r>
        <w:rPr>
          <w:sz w:val="22"/>
          <w:szCs w:val="22"/>
        </w:rPr>
        <w:t xml:space="preserve"> activity is indicative of greater exposure to cholinesterase-inhibiting pesticides, such as organophosphates and </w:t>
      </w:r>
      <w:r>
        <w:rPr>
          <w:sz w:val="22"/>
          <w:szCs w:val="22"/>
        </w:rPr>
        <w:t xml:space="preserve">carbamates.</w:t>
      </w:r>
      <w:r>
        <w:rPr>
          <w:sz w:val="22"/>
          <w:szCs w:val="22"/>
        </w:rPr>
        <w:t xml:space="preserve"> Prior studies have also found</w:t>
      </w:r>
      <w:r>
        <w:rPr>
          <w:sz w:val="22"/>
          <w:szCs w:val="22"/>
        </w:rPr>
        <w:t xml:space="preserve"> an</w:t>
      </w:r>
      <w:r>
        <w:rPr>
          <w:sz w:val="22"/>
          <w:szCs w:val="22"/>
        </w:rPr>
        <w:t xml:space="preserve"> association between </w:t>
      </w:r>
      <w:r>
        <w:rPr>
          <w:sz w:val="22"/>
          <w:szCs w:val="22"/>
        </w:rPr>
        <w:t xml:space="preserve">AChE</w:t>
      </w:r>
      <w:r>
        <w:rPr>
          <w:sz w:val="22"/>
          <w:szCs w:val="22"/>
        </w:rPr>
        <w:t xml:space="preserve"> acti</w:t>
      </w:r>
      <w:r>
        <w:rPr>
          <w:sz w:val="22"/>
          <w:szCs w:val="22"/>
        </w:rPr>
        <w:t xml:space="preserve">vity and </w:t>
      </w:r>
      <w:r>
        <w:rPr>
          <w:sz w:val="22"/>
          <w:szCs w:val="22"/>
        </w:rPr>
        <w:t xml:space="preserve">mental health processes</w:t>
      </w:r>
      <w:r>
        <w:rPr>
          <w:sz w:val="22"/>
          <w:szCs w:val="22"/>
        </w:rPr>
        <w:t xml:space="preserve">, where </w:t>
      </w:r>
      <w:r>
        <w:rPr>
          <w:sz w:val="22"/>
          <w:szCs w:val="22"/>
        </w:rPr>
        <w:t xml:space="preserve">lower </w:t>
      </w:r>
      <w:r>
        <w:rPr>
          <w:sz w:val="22"/>
          <w:szCs w:val="22"/>
        </w:rPr>
        <w:t xml:space="preserve">AChE</w:t>
      </w:r>
      <w:r>
        <w:rPr>
          <w:sz w:val="22"/>
          <w:szCs w:val="22"/>
        </w:rPr>
        <w:t xml:space="preserve"> activity was associated with neurodevelopmental deficits in attention, inhibition and memory in boys </w:t>
      </w:r>
      <w:r>
        <w:rPr>
          <w:sz w:val="22"/>
          <w:szCs w:val="22"/>
        </w:rPr>
        <w:fldChar w:fldCharType="begin"/>
      </w:r>
      <w:r>
        <w:rPr>
          <w:sz w:val="22"/>
          <w:szCs w:val="22"/>
        </w:rPr>
        <w:instrText xml:space="preserve"> ADDIN ZOTERO_ITEM CSL_CITATION {"citationID":"i9KAwlsY","properties":{"formattedCitation":"(Suarez-Lopez et al., 2013)","plainCitation":"(</w:instrText>
      </w:r>
      <w:r>
        <w:rPr>
          <w:sz w:val="22"/>
          <w:szCs w:val="22"/>
        </w:rPr>
        <w:instrText xml:space="preserve">Suarez-Lopez et al., 2013)","noteIndex":0},"citationItems":[{"id":4725,"uris":["http://zotero.org/users/5127433/items/IN2Y92U5"],"itemData":{"id":4725,"type":"article-journal","container-title":"Pediatrics","DOI":"https://doi.org/10.1542/peds.2013-0108","i</w:instrText>
      </w:r>
      <w:r>
        <w:rPr>
          <w:sz w:val="22"/>
          <w:szCs w:val="22"/>
        </w:rPr>
        <w:instrText xml:space="preserve">ssue":"6","page":"e1649-e1658","title":"Acetylcholinesterase Activity and Neurodevelopment in Boys and Girls | Pediatrics | American Academy of Pediatrics","volume":"132","author":[{"family":"Suarez-Lopez","given":"Jose R."},{"family":"Himes","given":"John</w:instrText>
      </w:r>
      <w:r>
        <w:rPr>
          <w:sz w:val="22"/>
          <w:szCs w:val="22"/>
        </w:rPr>
        <w:instrText xml:space="preserve"> H."},{"family":"Jacobs","given":"David R."},{"family":"Alexander","given":"Bruce H."},{"family":"Gunnar","given":"Megan R."}],"issued":{"date-parts":[["2013"]]}}}],"schema":"https://github.com/citation-style-language/schema/raw/master/csl-citation.json"} </w:instrText>
      </w:r>
      <w:r>
        <w:rPr>
          <w:sz w:val="22"/>
          <w:szCs w:val="22"/>
        </w:rPr>
        <w:fldChar w:fldCharType="separate"/>
      </w:r>
      <w:r>
        <w:rPr>
          <w:sz w:val="22"/>
        </w:rPr>
        <w:t xml:space="preserve">(Suarez-Lopez et al., 2013)</w:t>
      </w:r>
      <w:r>
        <w:rPr>
          <w:sz w:val="22"/>
          <w:szCs w:val="22"/>
        </w:rPr>
        <w:fldChar w:fldCharType="end"/>
      </w:r>
      <w:r>
        <w:rPr>
          <w:sz w:val="22"/>
          <w:szCs w:val="22"/>
        </w:rPr>
        <w:t xml:space="preserve">, and greater depression symptoms in </w:t>
      </w:r>
      <w:commentRangeStart w:id="8"/>
      <w:r>
        <w:rPr>
          <w:sz w:val="22"/>
          <w:szCs w:val="22"/>
        </w:rPr>
        <w:t xml:space="preserve">girls</w:t>
      </w:r>
      <w:commentRangeEnd w:id="8"/>
      <w:r>
        <w:commentReference w:id="8"/>
      </w:r>
      <w:r>
        <w:rPr>
          <w:sz w:val="22"/>
          <w:szCs w:val="22"/>
        </w:rPr>
        <w:t xml:space="preserve"> (Suarez-Lopez et al., 2019)</w:t>
      </w:r>
      <w:r>
        <w:rPr>
          <w:sz w:val="22"/>
          <w:szCs w:val="22"/>
        </w:rPr>
        <w:t xml:space="preserve">.</w:t>
      </w:r>
      <w:r>
        <w:rPr>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w:t>
      </w:r>
      <w:r>
        <w:rPr>
          <w:color w:val="000000"/>
          <w:sz w:val="22"/>
          <w:szCs w:val="22"/>
        </w:rPr>
        <w:t xml:space="preserve">residential proximity to floricultural crops within 50 or 100 meters was associated with poorer neurobehavioral performance in the domains of Attention/Inhibitory Control, Language, and Memory/Learning, compared to children living more than 500 meters away</w:t>
      </w:r>
      <w:r>
        <w:rPr>
          <w:color w:val="000000"/>
          <w:sz w:val="22"/>
          <w:szCs w:val="22"/>
        </w:rPr>
        <w:t xml:space="preserve"> </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{"citationID":"ZVcIUSBL","properties":{"formattedCitation":"(Friedman et al., 2020)","plainCita</w:instrText>
      </w:r>
      <w:r>
        <w:rPr>
          <w:color w:val="000000"/>
          <w:sz w:val="22"/>
          <w:szCs w:val="22"/>
        </w:rPr>
        <w:instrText xml:space="preserve">tion":"(Friedman et al., 2020)","noteIndex":0},"citationItems":[{"id":4608,"uris":["http://zotero.org/users/5127433/items/4Q486GVR"],"itemData":{"id":4608,"type":"article-journal","abstract":"Background\nChildren living near greenhouse agriculture may have</w:instrText>
      </w:r>
      <w:r>
        <w:rPr>
          <w:color w:val="000000"/>
          <w:sz w:val="22"/>
          <w:szCs w:val="22"/>
        </w:rPr>
        <w:instrText xml:space="preserve"> an increased risk of pesticide exposure due to drift or direct contact with pesticide-treated areas. However, little is known about whether this increased potential for chronic exposure may impair their neurodevelopment.\nMethods\nWe examined 307 children</w:instrText>
      </w:r>
      <w:r>
        <w:rPr>
          <w:color w:val="000000"/>
          <w:sz w:val="22"/>
          <w:szCs w:val="22"/>
        </w:rPr>
        <w:instrText xml:space="preserve"> aged 4–9 years, living in agricultural communities in Ecuador (ESPINA study). The two exposures calculated were residential distance from the nearest flower plantation perimeter and flower plantation surface area within 100 m of homes. Five neurobehaviora</w:instrText>
      </w:r>
      <w:r>
        <w:rPr>
          <w:color w:val="000000"/>
          <w:sz w:val="22"/>
          <w:szCs w:val="22"/>
        </w:rPr>
        <w:instrText xml:space="preserve">l domains were assessed: Attention/Inhibitory Control, Memory/Learning, Visuospatial processing and Sensorimotor (higher values reflect better performance). Low scores were defined according to the test's cut-offs. Models were adjusted for demographic, soc</w:instrText>
      </w:r>
      <w:r>
        <w:rPr>
          <w:color w:val="000000"/>
          <w:sz w:val="22"/>
          <w:szCs w:val="22"/>
        </w:rPr>
        <w:instrText xml:space="preserve">io-economic and growth variables.\nResults\nThe mean (SD) residential distance to the nearest flower plantation was 446 m (344). Living 100 m closer to crops was associated with increased odds (OR [95% CI]) of low scores in the domains of Memory/Learning (</w:instrText>
      </w:r>
      <w:r>
        <w:rPr>
          <w:color w:val="000000"/>
          <w:sz w:val="22"/>
          <w:szCs w:val="22"/>
        </w:rPr>
        <w:instrText xml:space="preserve">1.24 [1.05, 1.46]) and Language (1.09 [1.00, 1.19]). Associations were strongest among children living within 50 m, having significantly lower scores in Language (−1.28 which is ~50% of a SD [-2.50, −0.06]), Attention/Inhibitory Control (−1.24 units, [-2.4</w:instrText>
      </w:r>
      <w:r>
        <w:rPr>
          <w:color w:val="000000"/>
          <w:sz w:val="22"/>
          <w:szCs w:val="22"/>
        </w:rPr>
        <w:instrText xml:space="preserve">5, −0.04]), and Memory/Learning (−0.91, [-1.99, 0.17]), compared to children living farther than 500 m. Analyses of areas of flower crops near homes concurred with these findings.\nConclusions\nClose residential proximity to greenhouse floricultural crops </w:instrText>
      </w:r>
      <w:r>
        <w:rPr>
          <w:color w:val="000000"/>
          <w:sz w:val="22"/>
          <w:szCs w:val="22"/>
        </w:rPr>
        <w:instrText xml:space="preserve">was associated with adverse neurobehavioral performance in Attention/Inhibitory Control, Language and Memory/Learning among children. This highlights the importance of reducing pesticide drift from plantations to nearby homes.","container-title":"Internati</w:instrText>
      </w:r>
      <w:r>
        <w:rPr>
          <w:color w:val="000000"/>
          <w:sz w:val="22"/>
          <w:szCs w:val="22"/>
        </w:rPr>
        <w:instrText xml:space="preserve">onal Journal of Hygiene and Environmental Health","DOI":"10.1016/j.ijheh.2019.08.009","ISSN":"1438-4639","issue":"1","journalAbbreviation":"International Journal of Hygiene and Environmental Health","page":"220-227","source":"ScienceDirect","title":"Reside</w:instrText>
      </w:r>
      <w:r>
        <w:rPr>
          <w:color w:val="000000"/>
          <w:sz w:val="22"/>
          <w:szCs w:val="22"/>
        </w:rPr>
        <w:instrText xml:space="preserve">ntial proximity to greenhouse agriculture and neurobehavioral performance in Ecuadorian children","volume":"223","author":[{"family":"Friedman","given":"Elizabeth"},{"family":"Hazlehurst","given":"Marnie F."},{"family":"Loftus","given":"Christine"},{"famil</w:instrText>
      </w:r>
      <w:r>
        <w:rPr>
          <w:color w:val="000000"/>
          <w:sz w:val="22"/>
          <w:szCs w:val="22"/>
        </w:rPr>
        <w:instrText xml:space="preserve">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 xml:space="preserve">(Friedman et al., 2020)</w:t>
      </w:r>
      <w:r>
        <w:rPr>
          <w:color w:val="000000"/>
          <w:sz w:val="22"/>
          <w:szCs w:val="22"/>
        </w:rPr>
        <w:fldChar w:fldCharType="end"/>
      </w:r>
      <w:r>
        <w:rPr>
          <w:color w:val="000000"/>
          <w:sz w:val="22"/>
          <w:szCs w:val="22"/>
        </w:rPr>
        <w:t xml:space="preserve">. For every 100m closer</w:t>
      </w:r>
      <w:r>
        <w:rPr>
          <w:color w:val="000000"/>
          <w:sz w:val="22"/>
          <w:szCs w:val="22"/>
        </w:rPr>
        <w:t xml:space="preserve"> to</w:t>
      </w:r>
      <w:r>
        <w:rPr>
          <w:color w:val="000000"/>
          <w:sz w:val="22"/>
          <w:szCs w:val="22"/>
        </w:rPr>
        <w:t xml:space="preserve"> residential proximity to floriculture, the odds of a lower overall neurobehavioral score increased by 10%, odds of a lower </w:t>
      </w:r>
      <w:r>
        <w:rPr>
          <w:color w:val="000000"/>
          <w:sz w:val="22"/>
          <w:szCs w:val="22"/>
        </w:rPr>
        <w:t xml:space="preserve">L</w:t>
      </w:r>
      <w:r>
        <w:rPr>
          <w:color w:val="000000"/>
          <w:sz w:val="22"/>
          <w:szCs w:val="22"/>
        </w:rPr>
        <w:t xml:space="preserve">anguage score increased by 9% and odds of lower Memory</w:t>
      </w:r>
      <w:r>
        <w:rPr>
          <w:color w:val="000000"/>
          <w:sz w:val="22"/>
          <w:szCs w:val="22"/>
        </w:rPr>
        <w:t xml:space="preserve">/</w:t>
      </w:r>
      <w:r>
        <w:rPr>
          <w:color w:val="000000"/>
          <w:sz w:val="22"/>
          <w:szCs w:val="22"/>
        </w:rPr>
        <w:t xml:space="preserve">Learning score increased by 24%</w:t>
      </w:r>
      <w:r>
        <w:rPr>
          <w:color w:val="000000"/>
          <w:sz w:val="22"/>
          <w:szCs w:val="22"/>
        </w:rPr>
        <w:t xml:space="preserve">.</w:t>
      </w:r>
      <w:r>
        <w:rPr>
          <w:color w:val="000000"/>
          <w:sz w:val="22"/>
          <w:szCs w:val="22"/>
        </w:rPr>
        <w:t xml:space="preserve"> </w:t>
      </w:r>
      <w:r>
        <w:rPr>
          <w:color w:val="000000"/>
          <w:sz w:val="22"/>
          <w:szCs w:val="22"/>
        </w:rPr>
        <w:t xml:space="preserve">However, it remains unclear whether these associations are sustained over time, particularly as children transition from childhood into adolescence</w:t>
      </w:r>
      <w:r>
        <w:rPr>
          <w:color w:val="000000"/>
          <w:sz w:val="22"/>
          <w:szCs w:val="22"/>
        </w:rPr>
      </w:r>
    </w:p>
    <w:p>
      <w:pPr>
        <w:pBdr/>
        <w:spacing/>
        <w:ind w:firstLine="720"/>
        <w:jc w:val="both"/>
        <w:rPr>
          <w:color w:val="000000"/>
          <w:sz w:val="22"/>
          <w:szCs w:val="22"/>
        </w:rPr>
      </w:pPr>
      <w:r>
        <w:rPr>
          <w:color w:val="000000"/>
          <w:sz w:val="22"/>
          <w:szCs w:val="22"/>
        </w:rPr>
        <w:t xml:space="preserve">Based on our prior work, we hypothesized that </w:t>
      </w:r>
      <w:r>
        <w:rPr>
          <w:color w:val="000000"/>
          <w:sz w:val="22"/>
          <w:szCs w:val="22"/>
        </w:rPr>
        <w:t xml:space="preserve">inverse associations between residential proximity to floricultural farmland is associated with lower neurobehavioral performance</w:t>
      </w:r>
      <w:r>
        <w:rPr>
          <w:color w:val="000000"/>
          <w:sz w:val="22"/>
          <w:szCs w:val="22"/>
        </w:rPr>
        <w:t xml:space="preserve"> in both childhood and adolescence. </w:t>
      </w:r>
      <w:r>
        <w:rPr>
          <w:color w:val="000000"/>
          <w:sz w:val="22"/>
          <w:szCs w:val="22"/>
        </w:rPr>
        <w:t xml:space="preserve">Longitudinal studies assessing residential proximity to flower plantation and crops on children’s neurobehavioral performance is needed </w:t>
      </w:r>
      <w:r>
        <w:rPr>
          <w:color w:val="000000"/>
          <w:sz w:val="22"/>
          <w:szCs w:val="22"/>
        </w:rPr>
        <w:t xml:space="preserve">to</w:t>
      </w:r>
      <w:r>
        <w:rPr>
          <w:color w:val="000000"/>
          <w:sz w:val="22"/>
          <w:szCs w:val="22"/>
        </w:rPr>
        <w:t xml:space="preserve"> understand chronic effects of pesticide exposure </w:t>
      </w:r>
      <w:r>
        <w:rPr>
          <w:color w:val="000000"/>
          <w:sz w:val="22"/>
          <w:szCs w:val="22"/>
        </w:rPr>
        <w:t xml:space="preserve">and to inform policy on</w:t>
      </w:r>
      <w:r>
        <w:rPr>
          <w:color w:val="000000"/>
          <w:sz w:val="22"/>
          <w:szCs w:val="22"/>
        </w:rPr>
        <w:t xml:space="preserve"> </w:t>
      </w:r>
      <w:r>
        <w:rPr>
          <w:color w:val="000000"/>
          <w:sz w:val="22"/>
          <w:szCs w:val="22"/>
        </w:rPr>
        <w:t xml:space="preserve">how far away </w:t>
      </w:r>
      <w:r>
        <w:rPr>
          <w:color w:val="000000"/>
          <w:sz w:val="22"/>
          <w:szCs w:val="22"/>
        </w:rPr>
        <w:t xml:space="preserve">agricultural pesticide spray sites </w:t>
      </w:r>
      <w:r>
        <w:rPr>
          <w:color w:val="000000"/>
          <w:sz w:val="22"/>
          <w:szCs w:val="22"/>
        </w:rPr>
        <w:t xml:space="preserve">should be stationed from</w:t>
      </w:r>
      <w:r>
        <w:rPr>
          <w:color w:val="000000"/>
          <w:sz w:val="22"/>
          <w:szCs w:val="22"/>
        </w:rPr>
        <w:t xml:space="preserve"> </w:t>
      </w:r>
      <w:r>
        <w:rPr>
          <w:color w:val="000000"/>
          <w:sz w:val="22"/>
          <w:szCs w:val="22"/>
        </w:rPr>
        <w:t xml:space="preserve">residential homes and schools</w:t>
      </w:r>
      <w:r>
        <w:rPr>
          <w:color w:val="000000"/>
          <w:sz w:val="22"/>
          <w:szCs w:val="22"/>
        </w:rPr>
        <w:t xml:space="preserve">.</w:t>
      </w:r>
      <w:r>
        <w:rPr>
          <w:color w:val="000000"/>
          <w:sz w:val="22"/>
          <w:szCs w:val="22"/>
        </w:rPr>
      </w:r>
    </w:p>
    <w:p>
      <w:pPr>
        <w:pBdr/>
        <w:spacing/>
        <w:ind/>
        <w:rPr>
          <w:sz w:val="22"/>
          <w:szCs w:val="22"/>
        </w:rPr>
      </w:pPr>
      <w:r>
        <w:rPr>
          <w:sz w:val="22"/>
          <w:szCs w:val="22"/>
        </w:rPr>
      </w:r>
      <w:r>
        <w:rPr>
          <w:sz w:val="22"/>
          <w:szCs w:val="22"/>
        </w:rPr>
      </w:r>
    </w:p>
    <w:p>
      <w:pPr>
        <w:pStyle w:val="782"/>
        <w:numPr>
          <w:ilvl w:val="0"/>
          <w:numId w:val="1"/>
        </w:numPr>
        <w:pBdr/>
        <w:spacing/>
        <w:ind/>
        <w:rPr>
          <w:b/>
          <w:bCs/>
          <w:color w:val="000000"/>
          <w:sz w:val="22"/>
          <w:szCs w:val="22"/>
        </w:rPr>
      </w:pPr>
      <w:r>
        <w:rPr>
          <w:b/>
          <w:bCs/>
          <w:color w:val="000000"/>
          <w:sz w:val="22"/>
          <w:szCs w:val="22"/>
        </w:rPr>
        <w:t xml:space="preserve">Methods</w:t>
      </w:r>
      <w:r>
        <w:rPr>
          <w:b/>
          <w:bCs/>
          <w:color w:val="000000"/>
          <w:sz w:val="22"/>
          <w:szCs w:val="22"/>
        </w:rPr>
      </w:r>
    </w:p>
    <w:p>
      <w:pPr>
        <w:pStyle w:val="782"/>
        <w:pBdr/>
        <w:spacing/>
        <w:ind w:left="360"/>
        <w:rPr>
          <w:color w:val="000000"/>
          <w:sz w:val="22"/>
          <w:szCs w:val="22"/>
        </w:rPr>
      </w:pPr>
      <w:r>
        <w:rPr>
          <w:color w:val="000000"/>
          <w:sz w:val="22"/>
          <w:szCs w:val="22"/>
        </w:rPr>
      </w:r>
      <w:r>
        <w:rPr>
          <w:color w:val="000000"/>
          <w:sz w:val="22"/>
          <w:szCs w:val="22"/>
        </w:rPr>
      </w:r>
    </w:p>
    <w:p>
      <w:pPr>
        <w:pBdr/>
        <w:spacing/>
        <w:ind/>
        <w:rPr>
          <w:color w:val="000000"/>
          <w:sz w:val="22"/>
          <w:szCs w:val="22"/>
        </w:rPr>
      </w:pPr>
      <w:r>
        <w:rPr>
          <w:color w:val="000000"/>
          <w:sz w:val="22"/>
          <w:szCs w:val="22"/>
        </w:rPr>
        <w:t xml:space="preserve">2.1 Study design</w:t>
      </w:r>
      <w:r>
        <w:rPr>
          <w:color w:val="000000"/>
          <w:sz w:val="22"/>
          <w:szCs w:val="22"/>
        </w:rPr>
      </w:r>
    </w:p>
    <w:p>
      <w:pPr>
        <w:pBdr/>
        <w:spacing/>
        <w:ind w:firstLine="720"/>
        <w:jc w:val="both"/>
        <w:rPr>
          <w:rFonts w:eastAsia="Times New Roman"/>
          <w:sz w:val="22"/>
          <w:szCs w:val="22"/>
        </w:rPr>
      </w:pPr>
      <w:r>
        <w:rPr>
          <w:color w:val="000000"/>
          <w:sz w:val="22"/>
          <w:szCs w:val="22"/>
        </w:rPr>
        <w:t xml:space="preserve">We examined participants </w:t>
      </w:r>
      <w:r>
        <w:rPr>
          <w:color w:val="000000"/>
          <w:sz w:val="22"/>
          <w:szCs w:val="22"/>
        </w:rPr>
        <w:t xml:space="preserve">longitudinally </w:t>
      </w:r>
      <w:r>
        <w:rPr>
          <w:color w:val="000000"/>
          <w:sz w:val="22"/>
          <w:szCs w:val="22"/>
        </w:rPr>
        <w:t xml:space="preserve">from the ESPINA study on three different time periods: </w:t>
      </w:r>
      <w:r>
        <w:rPr>
          <w:color w:val="000000"/>
          <w:sz w:val="22"/>
          <w:szCs w:val="22"/>
        </w:rPr>
        <w:t xml:space="preserve">Visit </w:t>
      </w:r>
      <w:r>
        <w:rPr>
          <w:color w:val="000000"/>
          <w:sz w:val="22"/>
          <w:szCs w:val="22"/>
        </w:rPr>
        <w:t xml:space="preserve">1</w:t>
      </w:r>
      <w:r>
        <w:rPr>
          <w:color w:val="000000"/>
          <w:sz w:val="22"/>
          <w:szCs w:val="22"/>
        </w:rPr>
        <w:t xml:space="preserve">:</w:t>
      </w:r>
      <w:r>
        <w:rPr>
          <w:color w:val="000000"/>
          <w:sz w:val="22"/>
          <w:szCs w:val="22"/>
        </w:rPr>
        <w:t xml:space="preserve"> </w:t>
      </w:r>
      <w:r>
        <w:rPr>
          <w:rFonts w:eastAsia="Times New Roman"/>
          <w:color w:val="212121"/>
          <w:sz w:val="22"/>
          <w:szCs w:val="22"/>
          <w:shd w:val="clear" w:color="auto" w:fill="ffffff"/>
        </w:rPr>
        <w:t xml:space="preserve">July-August 2008 (N = 313, 4-9-year-olds)</w:t>
      </w:r>
      <w:r>
        <w:rPr>
          <w:rFonts w:eastAsia="Times New Roman"/>
          <w:color w:val="212121"/>
          <w:sz w:val="22"/>
          <w:szCs w:val="22"/>
          <w:shd w:val="clear" w:color="auto" w:fill="ffffff"/>
        </w:rPr>
        <w:t xml:space="preserve">; Visit</w:t>
      </w:r>
      <w:r>
        <w:rPr>
          <w:rFonts w:eastAsia="Times New Roman"/>
          <w:color w:val="212121"/>
          <w:sz w:val="22"/>
          <w:szCs w:val="22"/>
          <w:shd w:val="clear" w:color="auto" w:fill="ffffff"/>
        </w:rPr>
        <w:t xml:space="preserve"> </w:t>
      </w:r>
      <w:r>
        <w:rPr>
          <w:rFonts w:eastAsia="Times New Roman"/>
          <w:color w:val="212121"/>
          <w:sz w:val="22"/>
          <w:szCs w:val="22"/>
          <w:shd w:val="clear" w:color="auto" w:fill="ffffff"/>
        </w:rPr>
        <w:t xml:space="preserve">2</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April 2016 (N = 330, </w:t>
      </w:r>
      <w:r>
        <w:rPr>
          <w:rFonts w:eastAsia="Times New Roman"/>
          <w:color w:val="212121"/>
          <w:sz w:val="22"/>
          <w:szCs w:val="22"/>
          <w:shd w:val="clear" w:color="auto" w:fill="ffffff"/>
        </w:rPr>
        <w:t xml:space="preserve">1</w:t>
      </w:r>
      <w:r>
        <w:rPr>
          <w:rFonts w:eastAsia="Times New Roman"/>
          <w:color w:val="212121"/>
          <w:sz w:val="22"/>
          <w:szCs w:val="22"/>
          <w:shd w:val="clear" w:color="auto" w:fill="ffffff"/>
        </w:rPr>
        <w:t xml:space="preserve">2</w:t>
      </w:r>
      <w:r>
        <w:rPr>
          <w:rFonts w:eastAsia="Times New Roman"/>
          <w:color w:val="212121"/>
          <w:sz w:val="22"/>
          <w:szCs w:val="22"/>
          <w:shd w:val="clear" w:color="auto" w:fill="ffffff"/>
        </w:rPr>
        <w:t xml:space="preserve">-17-year-olds)</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and </w:t>
      </w:r>
      <w:r>
        <w:rPr>
          <w:rFonts w:eastAsia="Times New Roman"/>
          <w:color w:val="212121"/>
          <w:sz w:val="22"/>
          <w:szCs w:val="22"/>
          <w:shd w:val="clear" w:color="auto" w:fill="ffffff"/>
        </w:rPr>
        <w:t xml:space="preserve">Visit </w:t>
      </w:r>
      <w:r>
        <w:rPr>
          <w:rFonts w:eastAsia="Times New Roman"/>
          <w:color w:val="212121"/>
          <w:sz w:val="22"/>
          <w:szCs w:val="22"/>
          <w:shd w:val="clear" w:color="auto" w:fill="ffffff"/>
        </w:rPr>
        <w:t xml:space="preserve">3</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July-October 2016 (N = 535, </w:t>
      </w:r>
      <w:r>
        <w:rPr>
          <w:rFonts w:eastAsia="Times New Roman"/>
          <w:color w:val="212121"/>
          <w:sz w:val="22"/>
          <w:szCs w:val="22"/>
          <w:shd w:val="clear" w:color="auto" w:fill="ffffff"/>
        </w:rPr>
        <w:t xml:space="preserve">1</w:t>
      </w:r>
      <w:r>
        <w:rPr>
          <w:rFonts w:eastAsia="Times New Roman"/>
          <w:color w:val="212121"/>
          <w:sz w:val="22"/>
          <w:szCs w:val="22"/>
          <w:shd w:val="clear" w:color="auto" w:fill="ffffff"/>
        </w:rPr>
        <w:t xml:space="preserve">2</w:t>
      </w:r>
      <w:r>
        <w:rPr>
          <w:rFonts w:eastAsia="Times New Roman"/>
          <w:color w:val="212121"/>
          <w:sz w:val="22"/>
          <w:szCs w:val="22"/>
          <w:shd w:val="clear" w:color="auto" w:fill="ffffff"/>
        </w:rPr>
        <w:t xml:space="preserve">-17-year-olds)</w:t>
      </w:r>
      <w:r>
        <w:rPr>
          <w:rFonts w:eastAsia="Times New Roman"/>
          <w:color w:val="212121"/>
          <w:sz w:val="22"/>
          <w:szCs w:val="22"/>
          <w:shd w:val="clear" w:color="auto" w:fill="ffffff"/>
        </w:rPr>
        <w:t xml:space="preserve">.</w:t>
      </w:r>
      <w:r>
        <w:rPr>
          <w:rFonts w:eastAsia="Times New Roman"/>
          <w:color w:val="212121"/>
          <w:sz w:val="22"/>
          <w:szCs w:val="22"/>
          <w:shd w:val="clear" w:color="auto" w:fill="ffffff"/>
        </w:rPr>
        <w:t xml:space="preserve"> Neurobehavioral performance</w:t>
      </w:r>
      <w:r>
        <w:rPr>
          <w:rFonts w:eastAsia="Times New Roman"/>
          <w:color w:val="212121"/>
          <w:sz w:val="22"/>
          <w:szCs w:val="22"/>
          <w:shd w:val="clear" w:color="auto" w:fill="ffffff"/>
        </w:rPr>
        <w:t xml:space="preserve"> assessments</w:t>
      </w:r>
      <w:r>
        <w:rPr>
          <w:rFonts w:eastAsia="Times New Roman"/>
          <w:color w:val="212121"/>
          <w:sz w:val="22"/>
          <w:szCs w:val="22"/>
          <w:shd w:val="clear" w:color="auto" w:fill="ffffff"/>
        </w:rPr>
        <w:t xml:space="preserve"> were administered </w:t>
      </w:r>
      <w:r>
        <w:rPr>
          <w:rFonts w:eastAsia="Times New Roman"/>
          <w:color w:val="212121"/>
          <w:sz w:val="22"/>
          <w:szCs w:val="22"/>
          <w:shd w:val="clear" w:color="auto" w:fill="ffffff"/>
        </w:rPr>
        <w:t xml:space="preserve">to participants </w:t>
      </w:r>
      <w:r>
        <w:rPr>
          <w:rFonts w:eastAsia="Times New Roman"/>
          <w:color w:val="212121"/>
          <w:sz w:val="22"/>
          <w:szCs w:val="22"/>
          <w:shd w:val="clear" w:color="auto" w:fill="ffffff"/>
        </w:rPr>
        <w:t xml:space="preserve">across all three time periods</w:t>
      </w:r>
      <w:r>
        <w:rPr>
          <w:rFonts w:eastAsia="Times New Roman"/>
          <w:color w:val="212121"/>
          <w:sz w:val="22"/>
          <w:szCs w:val="22"/>
          <w:shd w:val="clear" w:color="auto" w:fill="ffffff"/>
        </w:rPr>
        <w:t xml:space="preserve">.</w:t>
      </w:r>
      <w:r>
        <w:rPr>
          <w:rFonts w:eastAsia="Times New Roman"/>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firstLine="720"/>
        <w:jc w:val="both"/>
        <w:rPr>
          <w:sz w:val="22"/>
          <w:szCs w:val="22"/>
        </w:rPr>
      </w:pPr>
      <w:r/>
      <w:commentRangeStart w:id="9"/>
      <w:r>
        <w:rPr>
          <w:color w:val="000000"/>
          <w:sz w:val="22"/>
          <w:szCs w:val="22"/>
        </w:rPr>
        <w:t xml:space="preserve">P</w:t>
      </w:r>
      <w:r>
        <w:rPr>
          <w:color w:val="000000"/>
          <w:sz w:val="22"/>
          <w:szCs w:val="22"/>
        </w:rPr>
        <w:t xml:space="preserve">articipants </w:t>
      </w:r>
      <w:commentRangeEnd w:id="9"/>
      <w:r>
        <w:commentReference w:id="9"/>
      </w:r>
      <w:r>
        <w:rPr>
          <w:color w:val="000000"/>
          <w:sz w:val="22"/>
          <w:szCs w:val="22"/>
        </w:rPr>
        <w:t xml:space="preserve">were recruited </w:t>
      </w:r>
      <w:r>
        <w:rPr>
          <w:color w:val="000000"/>
          <w:sz w:val="22"/>
          <w:szCs w:val="22"/>
        </w:rPr>
        <w:t xml:space="preserve">for the ESPINA study in 2008 </w:t>
      </w:r>
      <w:r>
        <w:rPr>
          <w:color w:val="000000"/>
          <w:sz w:val="22"/>
          <w:szCs w:val="22"/>
        </w:rPr>
        <w:t xml:space="preserve">from</w:t>
      </w:r>
      <w:r>
        <w:rPr>
          <w:color w:val="000000"/>
          <w:sz w:val="22"/>
          <w:szCs w:val="22"/>
        </w:rPr>
        <w:t xml:space="preserve"> </w:t>
      </w:r>
      <w:sdt>
        <w:sdtPr>
          <w15:appearance w15:val="boundingBox"/>
          <w:id w:val="-2060392816"/>
          <w:showingPlcHdr w:val="true"/>
          <w:tag w:val="goog_rdk_2"/>
          <w:rPr>
            <w:sz w:val="22"/>
            <w:szCs w:val="22"/>
          </w:rPr>
        </w:sdtPr>
        <w:sdtContent>
          <w:r>
            <w:t xml:space="preserve">    </w:t>
          </w:r>
        </w:sdtContent>
      </w:sdt>
      <w:r>
        <w:rPr>
          <w:color w:val="000000"/>
          <w:sz w:val="22"/>
          <w:szCs w:val="22"/>
        </w:rPr>
        <w:t xml:space="preserve">922 children who participated in the 2004 Survey of Access and Demand of Health Services in Pedro </w:t>
      </w:r>
      <w:r>
        <w:rPr>
          <w:color w:val="000000"/>
          <w:sz w:val="22"/>
          <w:szCs w:val="22"/>
        </w:rPr>
        <w:t xml:space="preserve">Moncayo</w:t>
      </w:r>
      <w:r>
        <w:rPr>
          <w:color w:val="000000"/>
          <w:sz w:val="22"/>
          <w:szCs w:val="22"/>
        </w:rPr>
        <w:t xml:space="preserve"> County</w:t>
      </w:r>
      <w:r>
        <w:rPr>
          <w:color w:val="000000"/>
          <w:sz w:val="22"/>
          <w:szCs w:val="22"/>
        </w:rPr>
        <w:t xml:space="preserve">, and </w:t>
      </w:r>
      <w:r>
        <w:rPr>
          <w:color w:val="000000"/>
          <w:sz w:val="22"/>
          <w:szCs w:val="22"/>
        </w:rPr>
        <w:t xml:space="preserve">other </w:t>
      </w:r>
      <w:r>
        <w:rPr>
          <w:color w:val="000000"/>
          <w:sz w:val="22"/>
          <w:szCs w:val="22"/>
        </w:rPr>
        <w:t xml:space="preserve">parents and </w:t>
      </w:r>
      <w:r>
        <w:rPr>
          <w:color w:val="000000"/>
          <w:sz w:val="22"/>
          <w:szCs w:val="22"/>
        </w:rPr>
        <w:t xml:space="preserve">children </w:t>
      </w:r>
      <w:r>
        <w:rPr>
          <w:color w:val="000000"/>
          <w:sz w:val="22"/>
          <w:szCs w:val="22"/>
        </w:rPr>
        <w:t xml:space="preserve">living in Pedro </w:t>
      </w:r>
      <w:r>
        <w:rPr>
          <w:color w:val="000000"/>
          <w:sz w:val="22"/>
          <w:szCs w:val="22"/>
        </w:rPr>
        <w:t xml:space="preserve">Moncayo</w:t>
      </w:r>
      <w:r>
        <w:rPr>
          <w:color w:val="000000"/>
          <w:sz w:val="22"/>
          <w:szCs w:val="22"/>
        </w:rPr>
        <w:t xml:space="preserve"> recruited by community</w:t>
      </w:r>
      <w:r>
        <w:rPr>
          <w:color w:val="000000"/>
          <w:sz w:val="22"/>
          <w:szCs w:val="22"/>
        </w:rPr>
        <w:t xml:space="preserve"> </w:t>
      </w:r>
      <w:r>
        <w:rPr>
          <w:color w:val="000000"/>
          <w:sz w:val="22"/>
          <w:szCs w:val="22"/>
        </w:rPr>
        <w:t xml:space="preserve">announcements</w:t>
      </w:r>
      <w:r>
        <w:rPr>
          <w:color w:val="000000"/>
          <w:sz w:val="22"/>
          <w:szCs w:val="22"/>
        </w:rPr>
        <w:t xml:space="preserve"> and word of mouth.</w:t>
      </w:r>
      <w:r>
        <w:rPr>
          <w:color w:val="000000"/>
          <w:sz w:val="22"/>
          <w:szCs w:val="22"/>
        </w:rPr>
        <w:t xml:space="preserve"> </w:t>
      </w:r>
      <w:r>
        <w:rPr>
          <w:color w:val="000000"/>
          <w:sz w:val="22"/>
          <w:szCs w:val="22"/>
        </w:rPr>
        <w:t xml:space="preserve">Pedro </w:t>
      </w:r>
      <w:r>
        <w:rPr>
          <w:color w:val="000000"/>
          <w:sz w:val="22"/>
          <w:szCs w:val="22"/>
        </w:rPr>
        <w:t xml:space="preserve">Moncayo</w:t>
      </w:r>
      <w:r>
        <w:rPr>
          <w:color w:val="000000"/>
          <w:sz w:val="22"/>
          <w:szCs w:val="22"/>
        </w:rPr>
        <w:t xml:space="preserve"> is a floriculture region of Ecuador where roses are grown for export</w:t>
      </w:r>
      <w:r>
        <w:rPr>
          <w:color w:val="000000"/>
          <w:sz w:val="22"/>
          <w:szCs w:val="22"/>
        </w:rPr>
        <w:t xml:space="preserve"> </w:t>
      </w:r>
      <w:r>
        <w:rPr>
          <w:color w:val="000000"/>
          <w:sz w:val="22"/>
          <w:szCs w:val="22"/>
        </w:rPr>
        <w:t xml:space="preserve">and </w:t>
      </w:r>
      <w:r>
        <w:rPr>
          <w:color w:val="000000"/>
          <w:sz w:val="22"/>
          <w:szCs w:val="22"/>
        </w:rPr>
        <w:t xml:space="preserve">where </w:t>
      </w:r>
      <w:r>
        <w:rPr>
          <w:color w:val="000000"/>
          <w:sz w:val="22"/>
          <w:szCs w:val="22"/>
        </w:rPr>
        <w:t xml:space="preserve">approximately </w:t>
      </w:r>
      <w:r>
        <w:rPr>
          <w:color w:val="000000"/>
          <w:sz w:val="22"/>
          <w:szCs w:val="22"/>
        </w:rPr>
        <w:t xml:space="preserve">21% of the adult </w:t>
      </w:r>
      <w:r>
        <w:rPr>
          <w:color w:val="000000"/>
          <w:sz w:val="22"/>
          <w:szCs w:val="22"/>
        </w:rPr>
        <w:t xml:space="preserve">population </w:t>
      </w:r>
      <w:r>
        <w:rPr>
          <w:color w:val="000000"/>
          <w:sz w:val="22"/>
          <w:szCs w:val="22"/>
        </w:rPr>
        <w:t xml:space="preserve">work</w:t>
      </w:r>
      <w:r>
        <w:rPr>
          <w:color w:val="000000"/>
          <w:sz w:val="22"/>
          <w:szCs w:val="22"/>
        </w:rPr>
        <w:t xml:space="preserve">s</w:t>
      </w:r>
      <w:r>
        <w:rPr>
          <w:color w:val="000000"/>
          <w:sz w:val="22"/>
          <w:szCs w:val="22"/>
        </w:rPr>
        <w:t xml:space="preserve"> in the </w:t>
      </w:r>
      <w:commentRangeStart w:id="10"/>
      <w:r>
        <w:rPr>
          <w:color w:val="000000"/>
          <w:sz w:val="22"/>
          <w:szCs w:val="22"/>
        </w:rPr>
        <w:t xml:space="preserve">flower industry</w:t>
      </w:r>
      <w:commentRangeEnd w:id="10"/>
      <w:r>
        <w:commentReference w:id="10"/>
      </w:r>
      <w:r>
        <w:rPr>
          <w:color w:val="000000"/>
          <w:sz w:val="22"/>
          <w:szCs w:val="22"/>
        </w:rPr>
        <w:t xml:space="preserve">. </w:t>
      </w:r>
      <w:r>
        <w:rPr>
          <w:color w:val="000000"/>
          <w:sz w:val="22"/>
          <w:szCs w:val="22"/>
        </w:rPr>
        <w:t xml:space="preserve">At baseline in 2008, the cohort was recruited to achieve an approximately equal distribution of children who did (exposed group) and did not (unexposed group) live with an agricultural or floricultural worker. Of the 313 participants, 179 (57.</w:t>
      </w:r>
      <w:r>
        <w:rPr>
          <w:color w:val="000000"/>
          <w:sz w:val="22"/>
          <w:szCs w:val="22"/>
        </w:rPr>
        <w:t xml:space="preserve">2</w:t>
      </w:r>
      <w:r>
        <w:rPr>
          <w:color w:val="000000"/>
          <w:sz w:val="22"/>
          <w:szCs w:val="22"/>
        </w:rPr>
        <w:t xml:space="preserve">%) cohabitated with such a worker, while 134 (42.8%) did not</w:t>
      </w:r>
      <w:r>
        <w:rPr>
          <w:color w:val="000000"/>
          <w:sz w:val="22"/>
          <w:szCs w:val="22"/>
        </w:rPr>
        <w:t xml:space="preserve">.</w:t>
      </w:r>
      <w:r>
        <w:rPr>
          <w:color w:val="000000"/>
          <w:sz w:val="22"/>
          <w:szCs w:val="22"/>
        </w:rPr>
        <w:t xml:space="preserve"> </w:t>
      </w:r>
      <w:r>
        <w:rPr>
          <w:color w:val="000000"/>
          <w:sz w:val="22"/>
          <w:szCs w:val="22"/>
        </w:rPr>
        <w:t xml:space="preserve">Children were selected after their parents completed a pre-survey to confirm eligibility based on inclusion criteria. In the exposed group, children were required to have cohab</w:t>
      </w:r>
      <w:r>
        <w:rPr>
          <w:color w:val="000000"/>
          <w:sz w:val="22"/>
          <w:szCs w:val="22"/>
        </w:rPr>
        <w:t xml:space="preserve">itated with a floricultural worker for at least one year. In contrast, children in the unexposed group must have never cohabitated with a floricultural worker, had no direct contact with pesticides, and not lived in a household where pesticides were stored</w:t>
      </w:r>
      <w:r>
        <w:rPr>
          <w:color w:val="000000"/>
          <w:sz w:val="22"/>
          <w:szCs w:val="22"/>
        </w:rPr>
        <w:t xml:space="preserve">. </w:t>
      </w:r>
      <w:r>
        <w:rPr>
          <w:color w:val="000000"/>
          <w:sz w:val="22"/>
          <w:szCs w:val="22"/>
        </w:rPr>
        <w:t xml:space="preserve">Informed consent was obtained from participating adults, parental permission was secured for selected children, and assent was obtained from minors aged 7 years and older</w:t>
      </w:r>
      <w:r>
        <w:rPr>
          <w:color w:val="000000"/>
          <w:sz w:val="22"/>
          <w:szCs w:val="22"/>
        </w:rPr>
        <w:t xml:space="preserve">. </w:t>
      </w:r>
      <w:r>
        <w:rPr>
          <w:color w:val="000000"/>
          <w:sz w:val="22"/>
          <w:szCs w:val="22"/>
        </w:rPr>
        <w:t xml:space="preserve">Further r</w:t>
      </w:r>
      <w:commentRangeStart w:id="11"/>
      <w:r>
        <w:rPr>
          <w:color w:val="000000"/>
          <w:sz w:val="22"/>
          <w:szCs w:val="22"/>
        </w:rPr>
        <w:t xml:space="preserve">ecruitment details can be found in </w:t>
      </w:r>
      <w:r>
        <w:rPr>
          <w:sz w:val="22"/>
          <w:szCs w:val="22"/>
        </w:rPr>
        <w:t xml:space="preserve">Suarez-Lopez et al. </w:t>
      </w:r>
      <w:r>
        <w:rPr>
          <w:sz w:val="22"/>
          <w:szCs w:val="22"/>
        </w:rPr>
        <w:t xml:space="preserve">(201</w:t>
      </w:r>
      <w:r>
        <w:rPr>
          <w:sz w:val="22"/>
          <w:szCs w:val="22"/>
        </w:rPr>
        <w:t xml:space="preserve">2)</w:t>
      </w:r>
      <w:r>
        <w:rPr>
          <w:sz w:val="22"/>
          <w:szCs w:val="22"/>
        </w:rPr>
        <w:t xml:space="preserve">.</w:t>
      </w:r>
      <w:commentRangeEnd w:id="11"/>
      <w:r>
        <w:commentReference w:id="11"/>
      </w:r>
      <w:r>
        <w:rPr>
          <w:rStyle w:val="768"/>
          <w:sz w:val="22"/>
          <w:szCs w:val="22"/>
        </w:rPr>
      </w:r>
      <w:r>
        <w:rPr>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firstLine="720"/>
        <w:rPr>
          <w:color w:val="000000"/>
          <w:sz w:val="22"/>
          <w:szCs w:val="22"/>
        </w:rPr>
      </w:pPr>
      <w:r>
        <w:rPr>
          <w:color w:val="000000"/>
          <w:sz w:val="22"/>
          <w:szCs w:val="22"/>
        </w:rPr>
      </w:r>
      <w:r>
        <w:rPr>
          <w:color w:val="000000"/>
          <w:sz w:val="22"/>
          <w:szCs w:val="22"/>
        </w:rPr>
      </w:r>
    </w:p>
    <w:p>
      <w:pPr>
        <w:pBdr/>
        <w:spacing/>
        <w:ind/>
        <w:rPr>
          <w:color w:val="000000"/>
          <w:sz w:val="22"/>
          <w:szCs w:val="22"/>
        </w:rPr>
      </w:pPr>
      <w:r/>
      <w:commentRangeStart w:id="12"/>
      <w:r>
        <w:rPr>
          <w:color w:val="000000"/>
        </w:rPr>
        <mc:AlternateContent>
          <mc:Choice Requires="wpg">
            <w:drawing>
              <wp:inline xmlns:wp="http://schemas.openxmlformats.org/drawingml/2006/wordprocessingDrawing" distT="0" distB="0" distL="0" distR="0">
                <wp:extent cx="5943600" cy="4970145"/>
                <wp:effectExtent l="0" t="0" r="0" b="0"/>
                <wp:docPr id="1"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Description automatically generated"/>
                        <pic:cNvPicPr>
                          <a:picLocks noChangeAspect="1"/>
                        </pic:cNvPicPr>
                        <pic:nvPr/>
                      </pic:nvPicPr>
                      <pic:blipFill>
                        <a:blip r:embed="rId12"/>
                        <a:stretch/>
                      </pic:blipFill>
                      <pic:spPr bwMode="auto">
                        <a:xfrm>
                          <a:off x="0" y="0"/>
                          <a:ext cx="5943600" cy="4970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91.35pt;mso-wrap-distance-left:0.00pt;mso-wrap-distance-top:0.00pt;mso-wrap-distance-right:0.00pt;mso-wrap-distance-bottom:0.00pt;z-index:1;" stroked="false">
                <v:imagedata r:id="rId12" o:title=""/>
                <o:lock v:ext="edit" rotation="t"/>
              </v:shape>
            </w:pict>
          </mc:Fallback>
        </mc:AlternateContent>
      </w:r>
      <w:commentRangeEnd w:id="12"/>
      <w:r>
        <w:commentReference w:id="12"/>
      </w:r>
      <w:r>
        <w:rPr>
          <w:rStyle w:val="768"/>
          <w:rFonts w:asciiTheme="minorHAnsi" w:hAnsiTheme="minorHAnsi" w:cstheme="minorBidi"/>
        </w:rPr>
      </w:r>
      <w:r>
        <w:rPr>
          <w:color w:val="000000"/>
          <w:sz w:val="22"/>
          <w:szCs w:val="22"/>
        </w:rPr>
      </w:r>
    </w:p>
    <w:p>
      <w:pPr>
        <w:pBdr/>
        <w:spacing/>
        <w:ind/>
        <w:rPr>
          <w:b/>
        </w:rPr>
      </w:pPr>
      <w:r/>
      <w:commentRangeStart w:id="13"/>
      <w:r>
        <w:rPr>
          <w:b/>
        </w:rPr>
        <w:t xml:space="preserve">Figure </w:t>
      </w:r>
      <w:commentRangeEnd w:id="13"/>
      <w:r>
        <w:commentReference w:id="13"/>
      </w:r>
      <w:r>
        <w:rPr>
          <w:b/>
        </w:rPr>
        <w:t xml:space="preserve">1.</w:t>
      </w:r>
      <w:r>
        <w:rPr>
          <w:b/>
        </w:rPr>
        <w:t xml:space="preserve"> Participant flow chart</w:t>
      </w:r>
      <w:r>
        <w:rPr>
          <w:b/>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w:rPr>
          <w:color w:val="000000"/>
          <w:sz w:val="22"/>
          <w:szCs w:val="22"/>
        </w:rPr>
        <w:t xml:space="preserve">2.</w:t>
      </w:r>
      <w:r>
        <w:rPr>
          <w:color w:val="000000"/>
          <w:sz w:val="22"/>
          <w:szCs w:val="22"/>
        </w:rPr>
        <w:t xml:space="preserve">3</w:t>
      </w:r>
      <w:r>
        <w:rPr>
          <w:color w:val="000000"/>
          <w:sz w:val="22"/>
          <w:szCs w:val="22"/>
        </w:rPr>
        <w:t xml:space="preserve"> </w:t>
      </w:r>
      <w:r>
        <w:rPr>
          <w:color w:val="000000"/>
          <w:sz w:val="22"/>
          <w:szCs w:val="22"/>
        </w:rPr>
        <w:t xml:space="preserve">Survey Collection</w:t>
      </w:r>
      <w:r>
        <w:rPr>
          <w:color w:val="000000"/>
          <w:sz w:val="22"/>
          <w:szCs w:val="22"/>
        </w:rPr>
      </w:r>
    </w:p>
    <w:p>
      <w:pPr>
        <w:pBdr/>
        <w:spacing/>
        <w:ind w:firstLine="720"/>
        <w:rPr>
          <w:color w:val="000000" w:themeColor="text1"/>
          <w:sz w:val="22"/>
          <w:szCs w:val="22"/>
        </w:rPr>
      </w:pPr>
      <w:r>
        <w:rPr>
          <w:rFonts w:hint="cs"/>
          <w:color w:val="000000"/>
          <w:sz w:val="22"/>
          <w:szCs w:val="22"/>
        </w:rPr>
        <w:t xml:space="preserve">Survey</w:t>
      </w:r>
      <w:r>
        <w:rPr>
          <w:color w:val="000000"/>
          <w:sz w:val="22"/>
          <w:szCs w:val="22"/>
        </w:rPr>
        <w:t xml:space="preserve"> data were </w:t>
      </w:r>
      <w:r>
        <w:rPr>
          <w:color w:val="000000"/>
          <w:sz w:val="22"/>
          <w:szCs w:val="22"/>
        </w:rPr>
        <w:t xml:space="preserve">collected with parents </w:t>
      </w:r>
      <w:r>
        <w:rPr>
          <w:rFonts w:hint="cs"/>
          <w:color w:val="000000"/>
          <w:sz w:val="22"/>
          <w:szCs w:val="22"/>
        </w:rPr>
        <w:t xml:space="preserve">to </w:t>
      </w:r>
      <w:r>
        <w:rPr>
          <w:color w:val="000000"/>
          <w:sz w:val="22"/>
          <w:szCs w:val="22"/>
        </w:rPr>
        <w:t xml:space="preserve">document</w:t>
      </w:r>
      <w:r>
        <w:rPr>
          <w:rFonts w:hint="cs"/>
          <w:color w:val="000000"/>
          <w:sz w:val="22"/>
          <w:szCs w:val="22"/>
        </w:rPr>
        <w:t xml:space="preserve"> demographic, occupational, and </w:t>
      </w:r>
      <w:r>
        <w:rPr>
          <w:color w:val="000000"/>
          <w:sz w:val="22"/>
          <w:szCs w:val="22"/>
        </w:rPr>
        <w:t xml:space="preserve">SES data.</w:t>
      </w:r>
      <w:r>
        <w:rPr>
          <w:color w:val="000000"/>
          <w:sz w:val="22"/>
          <w:szCs w:val="22"/>
        </w:rPr>
        <w:t xml:space="preserve"> </w:t>
      </w:r>
      <w:r>
        <w:rPr>
          <w:color w:val="000000" w:themeColor="text1"/>
          <w:sz w:val="22"/>
          <w:szCs w:val="22"/>
        </w:rPr>
        <w:t xml:space="preserve">Examiners were </w:t>
      </w:r>
      <w:r>
        <w:rPr>
          <w:color w:val="000000" w:themeColor="text1"/>
          <w:sz w:val="22"/>
          <w:szCs w:val="22"/>
        </w:rPr>
        <w:t xml:space="preserve">blinded to</w:t>
      </w:r>
      <w:r>
        <w:rPr>
          <w:color w:val="000000" w:themeColor="text1"/>
          <w:sz w:val="22"/>
          <w:szCs w:val="22"/>
        </w:rPr>
        <w:t xml:space="preserve"> participants' pesticide exposure status. </w:t>
      </w:r>
      <w:r>
        <w:rPr>
          <w:color w:val="000000" w:themeColor="text1"/>
          <w:sz w:val="22"/>
          <w:szCs w:val="22"/>
        </w:rPr>
      </w:r>
    </w:p>
    <w:p>
      <w:pPr>
        <w:pBdr/>
        <w:spacing/>
        <w:ind w:firstLine="720"/>
        <w:rPr>
          <w:color w:val="000000" w:themeColor="text1"/>
          <w:sz w:val="22"/>
          <w:szCs w:val="22"/>
        </w:rPr>
      </w:pPr>
      <w:r>
        <w:rPr>
          <w:color w:val="000000" w:themeColor="text1"/>
          <w:sz w:val="22"/>
          <w:szCs w:val="22"/>
        </w:rPr>
      </w:r>
      <w:r>
        <w:rPr>
          <w:color w:val="000000" w:themeColor="text1"/>
          <w:sz w:val="22"/>
          <w:szCs w:val="22"/>
        </w:rPr>
      </w:r>
    </w:p>
    <w:p>
      <w:pPr>
        <w:pBdr/>
        <w:spacing/>
        <w:ind w:firstLine="720"/>
        <w:rPr>
          <w:color w:val="000000"/>
          <w:sz w:val="22"/>
          <w:szCs w:val="22"/>
        </w:rPr>
      </w:pPr>
      <w:r>
        <w:rPr>
          <w:color w:val="000000" w:themeColor="text1"/>
          <w:sz w:val="22"/>
          <w:szCs w:val="22"/>
        </w:rPr>
        <w:t xml:space="preserve">Height was</w:t>
      </w:r>
      <w:r>
        <w:rPr>
          <w:color w:val="000000" w:themeColor="text1"/>
          <w:sz w:val="22"/>
          <w:szCs w:val="22"/>
        </w:rPr>
        <w:t xml:space="preserve"> also</w:t>
      </w:r>
      <w:r>
        <w:rPr>
          <w:color w:val="000000" w:themeColor="text1"/>
          <w:sz w:val="22"/>
          <w:szCs w:val="22"/>
        </w:rPr>
        <w:t xml:space="preserve"> measured to the nearest 1 mm, using a height board, and following recommende</w:t>
      </w:r>
      <w:commentRangeStart w:id="14"/>
      <w:r>
        <w:rPr>
          <w:color w:val="000000" w:themeColor="text1"/>
          <w:sz w:val="22"/>
          <w:szCs w:val="22"/>
        </w:rPr>
        <w:t xml:space="preserve">d procedures</w:t>
      </w:r>
      <w:r>
        <w:rPr>
          <w:color w:val="000000" w:themeColor="text1"/>
          <w:sz w:val="22"/>
          <w:szCs w:val="22"/>
        </w:rPr>
        <w:t xml:space="preserve"> (World Health Organization (WHO). 2008)</w:t>
      </w:r>
      <w:r>
        <w:rPr>
          <w:color w:val="000000" w:themeColor="text1"/>
          <w:sz w:val="22"/>
          <w:szCs w:val="22"/>
        </w:rPr>
        <w:t xml:space="preserve">, and weight was measured using a digital scale (Tanita model 0108 </w:t>
      </w:r>
      <w:r>
        <w:rPr>
          <w:color w:val="000000" w:themeColor="text1"/>
          <w:sz w:val="22"/>
          <w:szCs w:val="22"/>
        </w:rPr>
        <w:t xml:space="preserve">MC;</w:t>
      </w:r>
      <w:r>
        <w:rPr>
          <w:color w:val="000000" w:themeColor="text1"/>
          <w:sz w:val="22"/>
          <w:szCs w:val="22"/>
        </w:rPr>
        <w:t xml:space="preserve"> Corporation of America, Arlington Heights, IL, USA). </w:t>
      </w:r>
      <w:r>
        <w:rPr>
          <w:rFonts w:eastAsiaTheme="minorHAnsi"/>
          <w:color w:val="1a1a1a"/>
          <w:sz w:val="22"/>
          <w:szCs w:val="22"/>
        </w:rPr>
        <w:t xml:space="preserve">H</w:t>
      </w:r>
      <w:r>
        <w:rPr>
          <w:rFonts w:eastAsiaTheme="minorHAnsi"/>
          <w:color w:val="1a1a1a"/>
          <w:sz w:val="22"/>
          <w:szCs w:val="22"/>
        </w:rPr>
        <w:t xml:space="preserve">eight-for-age z score (z-height-for-age) and body-mass-index-for-age z score (z-BMI-for-age) </w:t>
      </w:r>
      <w:r>
        <w:rPr>
          <w:rFonts w:eastAsiaTheme="minorHAnsi"/>
          <w:color w:val="1a1a1a"/>
          <w:sz w:val="22"/>
          <w:szCs w:val="22"/>
        </w:rPr>
        <w:t xml:space="preserve">was calculated </w:t>
      </w:r>
      <w:r>
        <w:rPr>
          <w:rFonts w:eastAsiaTheme="minorHAnsi"/>
          <w:color w:val="1a1a1a"/>
          <w:sz w:val="22"/>
          <w:szCs w:val="22"/>
        </w:rPr>
        <w:t xml:space="preserve">using the</w:t>
      </w:r>
      <w:commentRangeEnd w:id="14"/>
      <w:r>
        <w:commentReference w:id="14"/>
      </w:r>
      <w:r>
        <w:rPr>
          <w:rFonts w:eastAsiaTheme="minorHAnsi"/>
          <w:color w:val="1a1a1a"/>
          <w:sz w:val="22"/>
          <w:szCs w:val="22"/>
        </w:rPr>
        <w:t xml:space="preserve"> WHO growth standards</w:t>
      </w:r>
      <w:r>
        <w:rPr>
          <w:rFonts w:eastAsiaTheme="minorHAnsi"/>
          <w:color w:val="1a1a1a"/>
          <w:sz w:val="22"/>
          <w:szCs w:val="22"/>
        </w:rPr>
        <w:t xml:space="preserve"> (WHO, 2006)</w:t>
      </w:r>
      <w:r>
        <w:rPr>
          <w:rFonts w:eastAsiaTheme="minorHAnsi"/>
          <w:color w:val="1a1a1a"/>
          <w:sz w:val="22"/>
          <w:szCs w:val="22"/>
        </w:rPr>
        <w:t xml:space="preserve">. </w:t>
      </w:r>
      <w:r>
        <w:rPr>
          <w:color w:val="000000"/>
          <w:sz w:val="22"/>
          <w:szCs w:val="22"/>
        </w:rPr>
      </w:r>
    </w:p>
    <w:p>
      <w:pPr>
        <w:pBdr/>
        <w:spacing/>
        <w:ind/>
        <w:rPr>
          <w:color w:val="000000"/>
          <w:sz w:val="22"/>
          <w:szCs w:val="22"/>
        </w:rPr>
      </w:pPr>
      <w:r>
        <w:rPr>
          <w:color w:val="000000"/>
          <w:sz w:val="22"/>
          <w:szCs w:val="22"/>
        </w:rPr>
        <w:t xml:space="preserve"> </w:t>
      </w:r>
      <w:r>
        <w:rPr>
          <w:color w:val="000000"/>
          <w:sz w:val="22"/>
          <w:szCs w:val="22"/>
        </w:rPr>
      </w:r>
    </w:p>
    <w:p>
      <w:pPr>
        <w:pBdr/>
        <w:spacing/>
        <w:ind/>
        <w:rPr>
          <w:rFonts w:hint="cs"/>
          <w:color w:val="000000"/>
          <w:sz w:val="22"/>
          <w:szCs w:val="22"/>
        </w:rPr>
      </w:pPr>
      <w:r>
        <w:rPr>
          <w:rFonts w:hint="cs"/>
          <w:color w:val="000000"/>
          <w:sz w:val="22"/>
          <w:szCs w:val="22"/>
        </w:rPr>
      </w:r>
      <w:r>
        <w:rPr>
          <w:rFonts w:hint="cs"/>
          <w:color w:val="000000"/>
          <w:sz w:val="22"/>
          <w:szCs w:val="22"/>
        </w:rPr>
      </w:r>
    </w:p>
    <w:p>
      <w:pPr>
        <w:pBdr/>
        <w:spacing/>
        <w:ind/>
        <w:rPr>
          <w:color w:val="000000"/>
          <w:sz w:val="22"/>
          <w:szCs w:val="22"/>
        </w:rPr>
      </w:pPr>
      <w:r>
        <w:rPr>
          <w:color w:val="000000"/>
          <w:sz w:val="22"/>
          <w:szCs w:val="22"/>
        </w:rPr>
        <w:t xml:space="preserve">2.4. </w:t>
      </w:r>
      <w:commentRangeStart w:id="15"/>
      <w:commentRangeStart w:id="16"/>
      <w:commentRangeStart w:id="17"/>
      <w:r>
        <w:rPr>
          <w:color w:val="000000"/>
          <w:sz w:val="22"/>
          <w:szCs w:val="22"/>
        </w:rPr>
        <w:t xml:space="preserve">Neurobehavioral </w:t>
      </w:r>
      <w:commentRangeEnd w:id="15"/>
      <w:commentRangeEnd w:id="16"/>
      <w:commentRangeEnd w:id="17"/>
      <w:r>
        <w:commentReference w:id="15"/>
        <w:commentReference w:id="16"/>
        <w:commentReference w:id="17"/>
      </w:r>
      <w:r>
        <w:rPr>
          <w:rStyle w:val="768"/>
          <w:rFonts w:asciiTheme="minorHAnsi" w:hAnsiTheme="minorHAnsi" w:cstheme="minorBidi"/>
        </w:rPr>
      </w:r>
      <w:sdt>
        <w:sdtPr>
          <w15:appearance w15:val="boundingBox"/>
          <w:id w:val="-561721277"/>
          <w:showingPlcHdr w:val="true"/>
          <w:tag w:val="goog_rdk_7"/>
          <w:rPr>
            <w:sz w:val="22"/>
            <w:szCs w:val="22"/>
          </w:rPr>
        </w:sdtPr>
        <w:sdtContent>
          <w:r>
            <w:t xml:space="preserve">    </w:t>
          </w:r>
        </w:sdtContent>
      </w:sdt>
      <w:r>
        <w:rPr>
          <w:color w:val="000000"/>
          <w:sz w:val="22"/>
          <w:szCs w:val="22"/>
        </w:rPr>
        <w:t xml:space="preserve">Performance</w:t>
      </w:r>
      <w:r>
        <w:rPr>
          <w:color w:val="000000"/>
          <w:sz w:val="22"/>
          <w:szCs w:val="22"/>
        </w:rPr>
      </w:r>
    </w:p>
    <w:p>
      <w:pPr>
        <w:pBdr/>
        <w:spacing/>
        <w:ind w:firstLine="720"/>
        <w:jc w:val="both"/>
        <w:rPr>
          <w:color w:val="000000"/>
          <w:sz w:val="22"/>
          <w:szCs w:val="22"/>
        </w:rPr>
      </w:pPr>
      <w:r>
        <w:rPr>
          <w:color w:val="000000"/>
          <w:sz w:val="22"/>
          <w:szCs w:val="22"/>
        </w:rPr>
        <w:t xml:space="preserve">Neurobehavioral performance was assessed using tests from NEPSY-</w:t>
      </w:r>
      <w:r>
        <w:rPr>
          <w:color w:val="000000"/>
          <w:sz w:val="22"/>
          <w:szCs w:val="22"/>
        </w:rPr>
        <w:t xml:space="preserve">II</w:t>
      </w:r>
      <w:r>
        <w:rPr>
          <w:color w:val="000000"/>
          <w:sz w:val="22"/>
          <w:szCs w:val="22"/>
        </w:rPr>
        <w:t xml:space="preserve"> (NCS Pearson, San Antonio, TX)</w:t>
      </w:r>
      <w:r>
        <w:rPr>
          <w:color w:val="000000"/>
          <w:sz w:val="22"/>
          <w:szCs w:val="22"/>
        </w:rPr>
        <w:t xml:space="preserve">, a standardized </w:t>
      </w:r>
      <w:r>
        <w:rPr>
          <w:color w:val="000000"/>
          <w:sz w:val="22"/>
          <w:szCs w:val="22"/>
        </w:rPr>
        <w:t xml:space="preserve">and validated </w:t>
      </w:r>
      <w:r>
        <w:rPr>
          <w:color w:val="000000"/>
          <w:sz w:val="22"/>
          <w:szCs w:val="22"/>
        </w:rPr>
        <w:t xml:space="preserve">neurodevelopment test for children </w:t>
      </w:r>
      <w:r>
        <w:rPr>
          <w:color w:val="000000"/>
          <w:sz w:val="22"/>
          <w:szCs w:val="22"/>
        </w:rPr>
        <w:t xml:space="preserve">three</w:t>
      </w:r>
      <w:r>
        <w:rPr>
          <w:color w:val="000000"/>
          <w:sz w:val="22"/>
          <w:szCs w:val="22"/>
        </w:rPr>
        <w:t xml:space="preserve"> to 16</w:t>
      </w:r>
      <w:r>
        <w:rPr>
          <w:color w:val="000000"/>
          <w:sz w:val="22"/>
          <w:szCs w:val="22"/>
        </w:rPr>
        <w:t xml:space="preserve"> years old</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{"citationID":"NpYtelXI","properties":{"formattedCitation":"(Kor</w:instrText>
      </w:r>
      <w:r>
        <w:rPr>
          <w:color w:val="000000"/>
          <w:sz w:val="22"/>
          <w:szCs w:val="22"/>
        </w:rPr>
        <w:instrText xml:space="preserve">kman \\uc0\\u8224{} et al., 2013; Korkman et al., 2007)","plainCitation":"(Korkman † et al., 2013; Korkman et al., 2007)","noteIndex":0},"citationItems":[{"id":4745,"uris":["http://zotero.org/users/5127433/items/KHXLLPTC"],"itemData":{"id":4745,"type":"art</w:instrText>
      </w:r>
      <w:r>
        <w:rPr>
          <w:color w:val="000000"/>
          <w:sz w:val="22"/>
          <w:szCs w:val="22"/>
        </w:rPr>
        <w:instrText xml:space="preserve">icle-journal","abstract":"Executive functions are thought to be the latest functions to mature. However, this view has not been tested by assessing simultaneously memory, perception of emotions, visuospatial perception, and visuoconstructional skills. NEPS</w:instrText>
      </w:r>
      <w:r>
        <w:rPr>
          <w:color w:val="000000"/>
          <w:sz w:val="22"/>
          <w:szCs w:val="22"/>
        </w:rPr>
        <w:instrText xml:space="preserve">Y II norm data from 1000 5- to 16-year-old U.S. children were obtained. Fifteen NEPSY II subtests with no floor or ceiling effects in any age group and no major changes in task type were selected. The 16-year level was attained at age 12 to 13 in all subte</w:instrText>
      </w:r>
      <w:r>
        <w:rPr>
          <w:color w:val="000000"/>
          <w:sz w:val="22"/>
          <w:szCs w:val="22"/>
        </w:rPr>
        <w:instrText xml:space="preserve">sts with two exceptions: social perception (age 10 to 11) and narrative memory (age 14). Trend analyses showed that development was rapid in the age range 5 to 9 years followed by a deceleration in the rate of development. Peak performances were reached at</w:instrText>
      </w:r>
      <w:r>
        <w:rPr>
          <w:color w:val="000000"/>
          <w:sz w:val="22"/>
          <w:szCs w:val="22"/>
        </w:rPr>
        <w:instrText xml:space="preserve"> 14 to 16 years but later in some subtests representing executive functions, verbal memory, and visuospatial performance. Thus, the study specified developmental time tables of neurocognitive functions. It demonstrated that not only executive functions but</w:instrText>
      </w:r>
      <w:r>
        <w:rPr>
          <w:color w:val="000000"/>
          <w:sz w:val="22"/>
          <w:szCs w:val="22"/>
        </w:rPr>
        <w:instrText xml:space="preserve"> also verbal memory and visuospatial performance continue to develop beyond age 16.","container-title":"Child Neuropsychology","DOI":"10.1080/09297049.2012.705822","ISSN":"0929-7049","issue":"5","note":"publisher: Routledge\n_eprint: https://doi.org/10.108</w:instrText>
      </w:r>
      <w:r>
        <w:rPr>
          <w:color w:val="000000"/>
          <w:sz w:val="22"/>
          <w:szCs w:val="22"/>
        </w:rPr>
        <w:instrText xml:space="preserve">0/09297049.2012.705822\nPMID: 22775769","page":"516–539","source":"Taylor and Francis+NEJM","title":"Neurocognitive development in 5- to 16-year-old North American children: A cross-sectional study","title-short":"Neurocognitive development in 5- to 16-yea</w:instrText>
      </w:r>
      <w:r>
        <w:rPr>
          <w:color w:val="000000"/>
          <w:sz w:val="22"/>
          <w:szCs w:val="22"/>
        </w:rPr>
        <w:instrText xml:space="preserve">r-old North American children","volume":"19","author":[{"family":"Korkman †","given":"Marit"},{"family":"Lahti-Nuuttila","given":"Pekka"},{"family":"Laasonen","given":"Marja"},{"family":"Kemp","given":"Sally L."},{"family":"Holdnack","given":"James"}],"iss</w:instrText>
      </w:r>
      <w:r>
        <w:rPr>
          <w:color w:val="000000"/>
          <w:sz w:val="22"/>
          <w:szCs w:val="22"/>
        </w:rPr>
        <w:instrText xml:space="preserve">ued":{"date-parts":[["2013",9,1]]}}},{"id":4700,"uris":["http://zotero.org/users/5127433/items/W586NP5X"],"itemData":{"id":4700,"type":"book","edition":"Second Edition","publisher":"The Psychological Corporation","title":"NEPSY II: Clinical and Interpretiv</w:instrText>
      </w:r>
      <w:r>
        <w:rPr>
          <w:color w:val="000000"/>
          <w:sz w:val="22"/>
          <w:szCs w:val="22"/>
        </w:rPr>
        <w:instrText xml:space="preserve">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 xml:space="preserve">(</w:t>
      </w:r>
      <w:r>
        <w:rPr>
          <w:sz w:val="22"/>
        </w:rPr>
        <w:t xml:space="preserve">Korkman</w:t>
      </w:r>
      <w:r>
        <w:rPr>
          <w:sz w:val="22"/>
        </w:rPr>
        <w:t xml:space="preserve"> </w:t>
      </w:r>
      <w:r>
        <w:rPr>
          <w:sz w:val="22"/>
        </w:rPr>
        <w:t xml:space="preserve">et al., 2013; Korkman et al., 2007)</w:t>
      </w:r>
      <w:r>
        <w:rPr>
          <w:color w:val="000000"/>
          <w:sz w:val="22"/>
          <w:szCs w:val="22"/>
        </w:rPr>
        <w:fldChar w:fldCharType="end"/>
      </w:r>
      <w:r>
        <w:rPr>
          <w:color w:val="000000"/>
          <w:sz w:val="22"/>
          <w:szCs w:val="22"/>
        </w:rPr>
        <w:t xml:space="preserve">.</w:t>
      </w:r>
      <w:r>
        <w:rPr>
          <w:color w:val="c00000"/>
          <w:sz w:val="22"/>
          <w:szCs w:val="22"/>
        </w:rPr>
        <w:t xml:space="preserve"> </w:t>
      </w:r>
      <w:r>
        <w:rPr>
          <w:sz w:val="22"/>
          <w:szCs w:val="22"/>
        </w:rPr>
        <w:t xml:space="preserve">NEPSY-</w:t>
      </w:r>
      <w:r>
        <w:rPr>
          <w:sz w:val="22"/>
          <w:szCs w:val="22"/>
        </w:rPr>
        <w:t xml:space="preserve">II</w:t>
      </w:r>
      <w:r>
        <w:rPr>
          <w:sz w:val="22"/>
          <w:szCs w:val="22"/>
        </w:rPr>
        <w:t xml:space="preserve"> provides the ability to assess underlying impaired performance both within and across </w:t>
      </w:r>
      <w:r>
        <w:rPr>
          <w:sz w:val="22"/>
          <w:szCs w:val="22"/>
        </w:rPr>
        <w:t xml:space="preserve">functional</w:t>
      </w:r>
      <w:r>
        <w:rPr>
          <w:sz w:val="22"/>
          <w:szCs w:val="22"/>
        </w:rPr>
        <w:t xml:space="preserve"> domains.</w:t>
      </w:r>
      <w:r>
        <w:rPr>
          <w:color w:val="c00000"/>
          <w:sz w:val="22"/>
          <w:szCs w:val="22"/>
        </w:rPr>
        <w:t xml:space="preserve"> </w:t>
      </w:r>
      <w:r>
        <w:rPr>
          <w:rFonts w:hint="eastAsia"/>
          <w:color w:val="000000"/>
          <w:sz w:val="22"/>
          <w:szCs w:val="22"/>
        </w:rPr>
        <w:t xml:space="preserve">C</w:t>
      </w:r>
      <w:r>
        <w:rPr>
          <w:color w:val="000000"/>
          <w:sz w:val="22"/>
          <w:szCs w:val="22"/>
        </w:rPr>
        <w:t xml:space="preserve">hildren were tested accordingly to </w:t>
      </w:r>
      <w:r>
        <w:rPr>
          <w:color w:val="000000"/>
          <w:sz w:val="22"/>
          <w:szCs w:val="22"/>
        </w:rPr>
        <w:t xml:space="preserve">12</w:t>
      </w:r>
      <w:r>
        <w:rPr>
          <w:color w:val="000000"/>
          <w:sz w:val="22"/>
          <w:szCs w:val="22"/>
        </w:rPr>
        <w:t xml:space="preserve"> age-appropriate subtests in </w:t>
      </w:r>
      <w:r>
        <w:rPr>
          <w:color w:val="000000"/>
          <w:sz w:val="22"/>
          <w:szCs w:val="22"/>
        </w:rPr>
        <w:t xml:space="preserve">five</w:t>
      </w:r>
      <w:r>
        <w:rPr>
          <w:color w:val="000000"/>
          <w:sz w:val="22"/>
          <w:szCs w:val="22"/>
        </w:rPr>
        <w:t xml:space="preserve"> content domains: </w:t>
      </w:r>
      <w:r>
        <w:rPr>
          <w:color w:val="000000"/>
          <w:sz w:val="22"/>
          <w:szCs w:val="22"/>
        </w:rPr>
        <w:t xml:space="preserve">1) </w:t>
      </w:r>
      <w:r>
        <w:rPr>
          <w:color w:val="000000"/>
          <w:sz w:val="22"/>
          <w:szCs w:val="22"/>
        </w:rPr>
        <w:t xml:space="preserve">Attention</w:t>
      </w:r>
      <w:r>
        <w:rPr>
          <w:color w:val="000000"/>
          <w:sz w:val="22"/>
          <w:szCs w:val="22"/>
        </w:rPr>
        <w:t xml:space="preserve">/</w:t>
      </w:r>
      <w:r>
        <w:rPr>
          <w:color w:val="000000"/>
          <w:sz w:val="22"/>
          <w:szCs w:val="22"/>
        </w:rPr>
        <w:t xml:space="preserve">Inhibitory Control (</w:t>
      </w:r>
      <w:r>
        <w:rPr>
          <w:color w:val="000000"/>
          <w:sz w:val="22"/>
          <w:szCs w:val="22"/>
        </w:rPr>
        <w:t xml:space="preserve">subtests</w:t>
      </w:r>
      <w:r>
        <w:rPr>
          <w:color w:val="000000"/>
          <w:sz w:val="22"/>
          <w:szCs w:val="22"/>
        </w:rPr>
        <w:t xml:space="preserve">: auditory attention</w:t>
      </w:r>
      <w:r>
        <w:rPr>
          <w:color w:val="000000"/>
          <w:sz w:val="22"/>
          <w:szCs w:val="22"/>
        </w:rPr>
        <w:t xml:space="preserve"> </w:t>
      </w:r>
      <w:r>
        <w:rPr>
          <w:color w:val="000000"/>
          <w:sz w:val="22"/>
          <w:szCs w:val="22"/>
        </w:rPr>
        <w:t xml:space="preserve">and response set, and inhibition), </w:t>
      </w:r>
      <w:r>
        <w:rPr>
          <w:color w:val="000000"/>
          <w:sz w:val="22"/>
          <w:szCs w:val="22"/>
        </w:rPr>
        <w:t xml:space="preserve">2) </w:t>
      </w:r>
      <w:r>
        <w:rPr>
          <w:color w:val="000000"/>
          <w:sz w:val="22"/>
          <w:szCs w:val="22"/>
        </w:rPr>
        <w:t xml:space="preserve">Language (</w:t>
      </w:r>
      <w:r>
        <w:rPr>
          <w:color w:val="000000"/>
          <w:sz w:val="22"/>
          <w:szCs w:val="22"/>
        </w:rPr>
        <w:t xml:space="preserve">subtests</w:t>
      </w:r>
      <w:r>
        <w:rPr>
          <w:color w:val="000000"/>
          <w:sz w:val="22"/>
          <w:szCs w:val="22"/>
        </w:rPr>
        <w:t xml:space="preserve">: comprehension of instructions and speed naming),</w:t>
      </w:r>
      <w:r>
        <w:rPr>
          <w:color w:val="000000"/>
          <w:sz w:val="22"/>
          <w:szCs w:val="22"/>
        </w:rPr>
        <w:t xml:space="preserve"> </w:t>
      </w:r>
      <w:r>
        <w:rPr>
          <w:color w:val="000000"/>
          <w:sz w:val="22"/>
          <w:szCs w:val="22"/>
        </w:rPr>
        <w:t xml:space="preserve">3) </w:t>
      </w:r>
      <w:r>
        <w:rPr>
          <w:color w:val="000000"/>
          <w:sz w:val="22"/>
          <w:szCs w:val="22"/>
        </w:rPr>
        <w:t xml:space="preserve">Memory</w:t>
      </w:r>
      <w:r>
        <w:rPr>
          <w:color w:val="000000"/>
          <w:sz w:val="22"/>
          <w:szCs w:val="22"/>
        </w:rPr>
        <w:t xml:space="preserve">/</w:t>
      </w:r>
      <w:r>
        <w:rPr>
          <w:color w:val="000000"/>
          <w:sz w:val="22"/>
          <w:szCs w:val="22"/>
        </w:rPr>
        <w:t xml:space="preserve">Learning (</w:t>
      </w:r>
      <w:r>
        <w:rPr>
          <w:color w:val="000000"/>
          <w:sz w:val="22"/>
          <w:szCs w:val="22"/>
        </w:rPr>
        <w:t xml:space="preserve">subtests</w:t>
      </w:r>
      <w:r>
        <w:rPr>
          <w:color w:val="000000"/>
          <w:sz w:val="22"/>
          <w:szCs w:val="22"/>
        </w:rPr>
        <w:t xml:space="preserve">: memory for faces immediate and </w:t>
      </w:r>
      <w:r>
        <w:rPr>
          <w:rFonts w:hint="eastAsia"/>
          <w:color w:val="000000"/>
          <w:sz w:val="22"/>
          <w:szCs w:val="22"/>
        </w:rPr>
        <w:t xml:space="preserve">mem</w:t>
      </w:r>
      <w:r>
        <w:rPr>
          <w:color w:val="000000"/>
          <w:sz w:val="22"/>
          <w:szCs w:val="22"/>
        </w:rPr>
        <w:t xml:space="preserve">ory for faces </w:t>
      </w:r>
      <w:r>
        <w:rPr>
          <w:color w:val="000000"/>
          <w:sz w:val="22"/>
          <w:szCs w:val="22"/>
        </w:rPr>
        <w:t xml:space="preserve">delayed),</w:t>
      </w:r>
      <w:r>
        <w:rPr>
          <w:color w:val="000000"/>
          <w:sz w:val="22"/>
          <w:szCs w:val="22"/>
        </w:rPr>
        <w:t xml:space="preserve"> 4) </w:t>
      </w:r>
      <w:r>
        <w:rPr>
          <w:color w:val="000000"/>
          <w:sz w:val="22"/>
          <w:szCs w:val="22"/>
        </w:rPr>
        <w:t xml:space="preserve">Visuospatial Processing (</w:t>
      </w:r>
      <w:r>
        <w:rPr>
          <w:color w:val="000000"/>
          <w:sz w:val="22"/>
          <w:szCs w:val="22"/>
        </w:rPr>
        <w:t xml:space="preserve">subtest</w:t>
      </w:r>
      <w:r>
        <w:rPr>
          <w:color w:val="000000"/>
          <w:sz w:val="22"/>
          <w:szCs w:val="22"/>
        </w:rPr>
        <w:t xml:space="preserve">: </w:t>
      </w:r>
      <w:r>
        <w:rPr>
          <w:color w:val="000000"/>
          <w:sz w:val="22"/>
          <w:szCs w:val="22"/>
        </w:rPr>
        <w:t xml:space="preserve">design copying and geometric puzzle</w:t>
      </w:r>
      <w:r>
        <w:rPr>
          <w:color w:val="000000"/>
          <w:sz w:val="22"/>
          <w:szCs w:val="22"/>
        </w:rPr>
        <w:t xml:space="preserve">s</w:t>
      </w:r>
      <w:r>
        <w:rPr>
          <w:color w:val="000000"/>
          <w:sz w:val="22"/>
          <w:szCs w:val="22"/>
        </w:rPr>
        <w:t xml:space="preserve">)</w:t>
      </w:r>
      <w:r>
        <w:rPr>
          <w:color w:val="000000"/>
          <w:sz w:val="22"/>
          <w:szCs w:val="22"/>
        </w:rPr>
        <w:t xml:space="preserve"> and </w:t>
      </w:r>
      <w:r>
        <w:rPr>
          <w:color w:val="000000"/>
          <w:sz w:val="22"/>
          <w:szCs w:val="22"/>
        </w:rPr>
        <w:t xml:space="preserve">5) </w:t>
      </w:r>
      <w:r>
        <w:rPr>
          <w:color w:val="000000"/>
          <w:sz w:val="22"/>
          <w:szCs w:val="22"/>
        </w:rPr>
        <w:t xml:space="preserve">Social Perception (</w:t>
      </w:r>
      <w:r>
        <w:rPr>
          <w:color w:val="000000"/>
          <w:sz w:val="22"/>
          <w:szCs w:val="22"/>
        </w:rPr>
        <w:t xml:space="preserve">subtest</w:t>
      </w:r>
      <w:r>
        <w:rPr>
          <w:color w:val="000000"/>
          <w:sz w:val="22"/>
          <w:szCs w:val="22"/>
        </w:rPr>
        <w:t xml:space="preserve">: affect recognition)</w:t>
      </w:r>
      <w:r>
        <w:rPr>
          <w:color w:val="000000"/>
          <w:sz w:val="22"/>
          <w:szCs w:val="22"/>
        </w:rPr>
        <w:t xml:space="preserve"> (Table 1)</w:t>
      </w:r>
      <w:r>
        <w:rPr>
          <w:color w:val="000000"/>
          <w:sz w:val="22"/>
          <w:szCs w:val="22"/>
        </w:rPr>
        <w:t xml:space="preserve">.</w:t>
      </w:r>
      <w:r>
        <w:rPr>
          <w:color w:val="000000"/>
          <w:sz w:val="22"/>
          <w:szCs w:val="22"/>
        </w:rPr>
        <w:t xml:space="preserve"> </w:t>
      </w:r>
      <w:r>
        <w:rPr>
          <w:color w:val="000000"/>
          <w:sz w:val="22"/>
          <w:szCs w:val="22"/>
        </w:rPr>
      </w:r>
    </w:p>
    <w:p>
      <w:pPr>
        <w:pBdr/>
        <w:spacing/>
        <w:ind w:firstLine="720"/>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b/>
          <w:bCs/>
          <w:color w:val="000000"/>
          <w:sz w:val="22"/>
          <w:szCs w:val="22"/>
        </w:rPr>
        <w:t xml:space="preserve">Table 1</w:t>
      </w:r>
      <w:r>
        <w:rPr>
          <w:color w:val="000000"/>
          <w:sz w:val="22"/>
          <w:szCs w:val="22"/>
        </w:rPr>
        <w:t xml:space="preserve">. Selected Tests from NEPSY-</w:t>
      </w:r>
      <w:r>
        <w:rPr>
          <w:color w:val="000000"/>
          <w:sz w:val="22"/>
          <w:szCs w:val="22"/>
        </w:rPr>
        <w:t xml:space="preserve">II</w:t>
      </w:r>
      <w:r>
        <w:rPr>
          <w:color w:val="000000"/>
          <w:sz w:val="22"/>
          <w:szCs w:val="22"/>
        </w:rPr>
        <w:t xml:space="preserve"> Taken at Three Time Periods: Summer 2008, Spring and Summer 2016</w:t>
      </w:r>
      <w:r>
        <w:rPr>
          <w:color w:val="000000"/>
          <w:sz w:val="22"/>
          <w:szCs w:val="22"/>
        </w:rPr>
      </w:r>
    </w:p>
    <w:tbl>
      <w:tblPr>
        <w:tblInd w:w="-5" w:type="dxa"/>
        <w:tblW w:w="9469" w:type="dxa"/>
        <w:tblBorders/>
        <w:tblLook w:val="04A0" w:firstRow="1" w:lastRow="0" w:firstColumn="1" w:lastColumn="0" w:noHBand="0" w:noVBand="1"/>
        <w:tblStyle w:val="780"/>
        <w:tblPrChange w:id="0" w:author="Kayser, Georgia" w:date="2025-07-17T15:31:00Z">
          <w:tblPr>
            <w:tblInd w:w="-5" w:type="dxa"/>
            <w:tblW w:w="9469" w:type="dxa"/>
            <w:tblBorders/>
          </w:tblPr>
        </w:tblPrChange>
      </w:tblPr>
      <w:tblGrid>
        <w:gridCol w:w="1576"/>
        <w:gridCol w:w="1849"/>
        <w:gridCol w:w="3703"/>
        <w:gridCol w:w="805"/>
        <w:gridCol w:w="715"/>
        <w:gridCol w:w="821"/>
        <w:tblGridChange w:id="1">
          <w:tblGrid>
            <w:gridCol w:w="1576"/>
            <w:gridCol w:w="1849"/>
            <w:gridCol w:w="3703"/>
            <w:gridCol w:w="805"/>
            <w:gridCol w:w="715"/>
            <w:gridCol w:w="821"/>
          </w:tblGrid>
        </w:tblGridChange>
      </w:tblGrid>
      <w:tr>
        <w:trPr>
          <w:trHeight w:val="196"/>
        </w:trPr>
        <w:tc>
          <w:tcPr>
            <w:tcBorders/>
            <w:tcW w:w="1576"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Content Domains</w:t>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Subtest</w:t>
            </w:r>
            <w:r>
              <w:rPr>
                <w:rFonts w:ascii="Times New Roman" w:hAnsi="Times New Roman" w:cs="Times New Roman"/>
                <w:sz w:val="17"/>
                <w:szCs w:val="17"/>
              </w:rPr>
            </w:r>
          </w:p>
        </w:tc>
        <w:tc>
          <w:tcPr>
            <w:tcBorders/>
            <w:tcW w:w="3703"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Subsets Tested</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A: </w:t>
            </w:r>
            <w:r>
              <w:rPr>
                <w:rFonts w:ascii="Times New Roman" w:hAnsi="Times New Roman" w:cs="Times New Roman"/>
                <w:sz w:val="17"/>
                <w:szCs w:val="17"/>
              </w:rPr>
            </w:r>
          </w:p>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Jul–Aug 2008</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B: </w:t>
            </w:r>
            <w:r>
              <w:rPr>
                <w:rFonts w:ascii="Times New Roman" w:hAnsi="Times New Roman" w:cs="Times New Roman"/>
                <w:sz w:val="17"/>
                <w:szCs w:val="17"/>
              </w:rPr>
            </w:r>
          </w:p>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Apr 2016</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C: </w:t>
            </w:r>
            <w:r>
              <w:rPr>
                <w:rFonts w:ascii="Times New Roman" w:hAnsi="Times New Roman" w:cs="Times New Roman"/>
                <w:sz w:val="17"/>
                <w:szCs w:val="17"/>
              </w:rPr>
            </w:r>
          </w:p>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Jul–Oct 2016</w:t>
            </w:r>
            <w:r>
              <w:rPr>
                <w:rFonts w:ascii="Times New Roman" w:hAnsi="Times New Roman" w:cs="Times New Roman"/>
                <w:sz w:val="17"/>
                <w:szCs w:val="17"/>
              </w:rPr>
            </w:r>
          </w:p>
        </w:tc>
      </w:tr>
      <w:tr>
        <w:trPr>
          <w:trHeight w:val="196"/>
        </w:trPr>
        <w:tc>
          <w:tcPr>
            <w:tcBorders/>
            <w:tcW w:w="1576"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Attention</w:t>
            </w:r>
            <w:r>
              <w:rPr>
                <w:rFonts w:ascii="Times New Roman" w:hAnsi="Times New Roman" w:cs="Times New Roman"/>
                <w:sz w:val="17"/>
                <w:szCs w:val="17"/>
              </w:rPr>
              <w:t xml:space="preserve">/</w:t>
            </w:r>
            <w:r>
              <w:rPr>
                <w:rFonts w:ascii="Times New Roman" w:hAnsi="Times New Roman" w:cs="Times New Roman"/>
                <w:sz w:val="17"/>
                <w:szCs w:val="17"/>
              </w:rPr>
            </w:r>
          </w:p>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I</w:t>
            </w:r>
            <w:r>
              <w:rPr>
                <w:rFonts w:ascii="Times New Roman" w:hAnsi="Times New Roman" w:cs="Times New Roman"/>
                <w:sz w:val="17"/>
                <w:szCs w:val="17"/>
              </w:rPr>
              <w:t xml:space="preserve">nhibitory Control</w:t>
            </w:r>
            <w:r>
              <w:rPr>
                <w:rFonts w:ascii="Times New Roman" w:hAnsi="Times New Roman" w:cs="Times New Roman"/>
                <w:sz w:val="17"/>
                <w:szCs w:val="17"/>
              </w:rPr>
            </w:r>
          </w:p>
        </w:tc>
        <w:tc>
          <w:tcPr>
            <w:tcBorders/>
            <w:tcW w:w="1849"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Auditory </w:t>
            </w:r>
            <w:r>
              <w:rPr>
                <w:rFonts w:ascii="Times New Roman" w:hAnsi="Times New Roman" w:cs="Times New Roman"/>
                <w:sz w:val="17"/>
                <w:szCs w:val="17"/>
              </w:rPr>
              <w:t xml:space="preserve">A</w:t>
            </w:r>
            <w:r>
              <w:rPr>
                <w:rFonts w:ascii="Times New Roman" w:hAnsi="Times New Roman" w:cs="Times New Roman"/>
                <w:sz w:val="17"/>
                <w:szCs w:val="17"/>
              </w:rPr>
              <w:t xml:space="preserve">ttention and </w:t>
            </w:r>
            <w:r>
              <w:rPr>
                <w:rFonts w:ascii="Times New Roman" w:hAnsi="Times New Roman" w:cs="Times New Roman"/>
                <w:sz w:val="17"/>
                <w:szCs w:val="17"/>
              </w:rPr>
              <w:t xml:space="preserve">R</w:t>
            </w:r>
            <w:r>
              <w:rPr>
                <w:rFonts w:ascii="Times New Roman" w:hAnsi="Times New Roman" w:cs="Times New Roman"/>
                <w:sz w:val="17"/>
                <w:szCs w:val="17"/>
              </w:rPr>
              <w:t xml:space="preserve">esponse </w:t>
            </w:r>
            <w:r>
              <w:rPr>
                <w:rFonts w:ascii="Times New Roman" w:hAnsi="Times New Roman" w:cs="Times New Roman"/>
                <w:sz w:val="17"/>
                <w:szCs w:val="17"/>
              </w:rPr>
              <w:t xml:space="preserve">S</w:t>
            </w:r>
            <w:r>
              <w:rPr>
                <w:rFonts w:ascii="Times New Roman" w:hAnsi="Times New Roman" w:cs="Times New Roman"/>
                <w:sz w:val="17"/>
                <w:szCs w:val="17"/>
              </w:rPr>
              <w:t xml:space="preserve">et</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1) Auditory attention combined (AAC)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38"/>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2) Response set combined (RSC)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207"/>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Inhibition</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3) Inhibition-inhibition combined (IIC)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219"/>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4) Inhibition-naming combined (INC)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207"/>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5) Inhibition-switching combined (ISC)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04"/>
        </w:trPr>
        <w:tc>
          <w:tcPr>
            <w:tcBorders/>
            <w:tcW w:w="1576"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Language</w:t>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Comprehension of Instructions</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6) Comprehension of instructions total score (CITS)</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27"/>
        </w:trPr>
        <w:tc>
          <w:tcPr>
            <w:tcBorders/>
            <w:tcW w:w="1576" w:type="dxa"/>
            <w:vMerge w:val="continue"/>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Speeded </w:t>
            </w:r>
            <w:r>
              <w:rPr>
                <w:rFonts w:ascii="Times New Roman" w:hAnsi="Times New Roman" w:cs="Times New Roman"/>
                <w:sz w:val="17"/>
                <w:szCs w:val="17"/>
              </w:rPr>
              <w:t xml:space="preserve">N</w:t>
            </w:r>
            <w:r>
              <w:rPr>
                <w:rFonts w:ascii="Times New Roman" w:hAnsi="Times New Roman" w:cs="Times New Roman"/>
                <w:sz w:val="17"/>
                <w:szCs w:val="17"/>
              </w:rPr>
              <w:t xml:space="preserve">aming</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7) Speeded naming combined (SNC)</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04"/>
        </w:trPr>
        <w:tc>
          <w:tcPr>
            <w:tcBorders/>
            <w:tcW w:w="1576"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Memory</w:t>
            </w:r>
            <w:r>
              <w:rPr>
                <w:rFonts w:ascii="Times New Roman" w:hAnsi="Times New Roman" w:cs="Times New Roman"/>
                <w:sz w:val="17"/>
                <w:szCs w:val="17"/>
              </w:rPr>
              <w:t xml:space="preserve">/</w:t>
            </w:r>
            <w:r>
              <w:rPr>
                <w:rFonts w:ascii="Times New Roman" w:hAnsi="Times New Roman" w:cs="Times New Roman"/>
                <w:sz w:val="17"/>
                <w:szCs w:val="17"/>
              </w:rPr>
              <w:t xml:space="preserve">Learning</w:t>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Memory for Faces Immediate</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8) Memory for faces total score (MFFS)</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15"/>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Memory for Faces Delayed</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9) Memory for faces delayed total score (MFFDTS)</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15"/>
        </w:trPr>
        <w:tc>
          <w:tcPr>
            <w:tcBorders/>
            <w:tcW w:w="1576" w:type="dxa"/>
            <w:vAlign w:val="center"/>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Narrative </w:t>
            </w:r>
            <w:r>
              <w:rPr>
                <w:rFonts w:ascii="Times New Roman" w:hAnsi="Times New Roman" w:cs="Times New Roman"/>
                <w:sz w:val="17"/>
                <w:szCs w:val="17"/>
              </w:rPr>
              <w:t xml:space="preserve">M</w:t>
            </w:r>
            <w:r>
              <w:rPr>
                <w:rFonts w:ascii="Times New Roman" w:hAnsi="Times New Roman" w:cs="Times New Roman"/>
                <w:sz w:val="17"/>
                <w:szCs w:val="17"/>
              </w:rPr>
              <w:t xml:space="preserve">emory</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N/A</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r>
      <w:tr>
        <w:trPr>
          <w:trHeight w:val="404"/>
        </w:trPr>
        <w:tc>
          <w:tcPr>
            <w:tcBorders/>
            <w:tcW w:w="1576" w:type="dxa"/>
            <w:vAlign w:val="center"/>
            <w:vMerge w:val="restart"/>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Visuospatial Processing</w:t>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Design Copying</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10) Design copying process total score (DCGTS)</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15"/>
        </w:trPr>
        <w:tc>
          <w:tcPr>
            <w:tcBorders/>
            <w:tcW w:w="1576" w:type="dxa"/>
            <w:vMerge w:val="continue"/>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Geometric Puzzles</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11) Geometric puzzles total score (GPTS)</w:t>
            </w:r>
            <w:r>
              <w:rPr>
                <w:rFonts w:ascii="Times New Roman" w:hAnsi="Times New Roman" w:cs="Times New Roman"/>
                <w:sz w:val="17"/>
                <w:szCs w:val="17"/>
              </w:rPr>
            </w:r>
          </w:p>
        </w:tc>
        <w:tc>
          <w:tcPr>
            <w:tcBorders/>
            <w:tcW w:w="80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c>
          <w:tcPr>
            <w:tcBorders/>
            <w:tcW w:w="715"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r>
        <w:trPr>
          <w:trHeight w:val="404"/>
        </w:trPr>
        <w:tc>
          <w:tcPr>
            <w:tcBorders/>
            <w:tcW w:w="1576" w:type="dxa"/>
            <w:vAlign w:val="center"/>
            <w:vMerge w:val="restart"/>
            <w:textDirection w:val="lrTb"/>
            <w:noWrap w:val="false"/>
          </w:tcPr>
          <w:p>
            <w:pPr>
              <w:pBdr/>
              <w:spacing/>
              <w:ind/>
              <w:jc w:val="center"/>
              <w:rPr>
                <w:rFonts w:ascii="Times New Roman" w:hAnsi="Times New Roman" w:cs="Times New Roman"/>
                <w:sz w:val="17"/>
                <w:szCs w:val="17"/>
              </w:rPr>
            </w:pPr>
            <w:r/>
            <w:commentRangeStart w:id="18"/>
            <w:r>
              <w:rPr>
                <w:rFonts w:ascii="Times New Roman" w:hAnsi="Times New Roman" w:cs="Times New Roman"/>
                <w:sz w:val="17"/>
                <w:szCs w:val="17"/>
              </w:rPr>
              <w:t xml:space="preserve">Sensorimotor</w:t>
            </w:r>
            <w:commentRangeEnd w:id="18"/>
            <w:r>
              <w:commentReference w:id="18"/>
            </w:r>
            <w:r>
              <w:rPr>
                <w:rStyle w:val="768"/>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Visuospatial Processing</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N/A</w:t>
            </w:r>
            <w:r>
              <w:rPr>
                <w:rFonts w:ascii="Times New Roman" w:hAnsi="Times New Roman" w:cs="Times New Roman"/>
                <w:sz w:val="17"/>
                <w:szCs w:val="17"/>
              </w:rPr>
            </w:r>
          </w:p>
        </w:tc>
        <w:tc>
          <w:tcPr>
            <w:tcBorders/>
            <w:tcW w:w="80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71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r>
      <w:tr>
        <w:trPr>
          <w:trHeight w:val="415"/>
        </w:trPr>
        <w:tc>
          <w:tcPr>
            <w:tcBorders/>
            <w:tcW w:w="1576" w:type="dxa"/>
            <w:vMerge w:val="continue"/>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Visuomotor </w:t>
            </w:r>
            <w:r>
              <w:rPr>
                <w:rFonts w:ascii="Times New Roman" w:hAnsi="Times New Roman" w:cs="Times New Roman"/>
                <w:sz w:val="17"/>
                <w:szCs w:val="17"/>
              </w:rPr>
              <w:t xml:space="preserve">P</w:t>
            </w:r>
            <w:r>
              <w:rPr>
                <w:rFonts w:ascii="Times New Roman" w:hAnsi="Times New Roman" w:cs="Times New Roman"/>
                <w:sz w:val="17"/>
                <w:szCs w:val="17"/>
              </w:rPr>
              <w:t xml:space="preserve">recision</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N/A</w:t>
            </w:r>
            <w:r>
              <w:rPr>
                <w:rFonts w:ascii="Times New Roman" w:hAnsi="Times New Roman" w:cs="Times New Roman"/>
                <w:sz w:val="17"/>
                <w:szCs w:val="17"/>
              </w:rPr>
            </w:r>
          </w:p>
        </w:tc>
        <w:tc>
          <w:tcPr>
            <w:tcBorders/>
            <w:tcW w:w="80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71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r>
      <w:tr>
        <w:trPr>
          <w:trHeight w:val="196"/>
        </w:trPr>
        <w:tc>
          <w:tcPr>
            <w:tcBorders/>
            <w:tcW w:w="1576" w:type="dxa"/>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Social Perception</w:t>
            </w:r>
            <w:r>
              <w:rPr>
                <w:rFonts w:ascii="Times New Roman" w:hAnsi="Times New Roman" w:cs="Times New Roman"/>
                <w:sz w:val="17"/>
                <w:szCs w:val="17"/>
              </w:rPr>
            </w:r>
          </w:p>
        </w:tc>
        <w:tc>
          <w:tcPr>
            <w:tcBorders/>
            <w:tcW w:w="1849"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Affect Recognition</w:t>
            </w:r>
            <w:r>
              <w:rPr>
                <w:rFonts w:ascii="Times New Roman" w:hAnsi="Times New Roman" w:cs="Times New Roman"/>
                <w:sz w:val="17"/>
                <w:szCs w:val="17"/>
              </w:rPr>
            </w:r>
          </w:p>
        </w:tc>
        <w:tc>
          <w:tcPr>
            <w:tcBorders/>
            <w:tcW w:w="3703"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t xml:space="preserve">12) Affect recognition total score (ARTS)</w:t>
            </w:r>
            <w:r>
              <w:rPr>
                <w:rFonts w:ascii="Times New Roman" w:hAnsi="Times New Roman" w:cs="Times New Roman"/>
                <w:sz w:val="17"/>
                <w:szCs w:val="17"/>
              </w:rPr>
            </w:r>
          </w:p>
        </w:tc>
        <w:tc>
          <w:tcPr>
            <w:tcBorders/>
            <w:tcW w:w="80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715" w:type="dxa"/>
            <w:vAlign w:val="center"/>
            <w:textDirection w:val="lrTb"/>
            <w:noWrap w:val="false"/>
          </w:tcPr>
          <w:p>
            <w:pPr>
              <w:pBdr/>
              <w:spacing/>
              <w:ind/>
              <w:rPr>
                <w:rFonts w:ascii="Times New Roman" w:hAnsi="Times New Roman" w:cs="Times New Roman"/>
                <w:sz w:val="17"/>
                <w:szCs w:val="17"/>
              </w:rPr>
            </w:pPr>
            <w:r>
              <w:rPr>
                <w:rFonts w:ascii="Times New Roman" w:hAnsi="Times New Roman" w:cs="Times New Roman"/>
                <w:sz w:val="17"/>
                <w:szCs w:val="17"/>
              </w:rPr>
            </w:r>
            <w:r>
              <w:rPr>
                <w:rFonts w:ascii="Times New Roman" w:hAnsi="Times New Roman" w:cs="Times New Roman"/>
                <w:sz w:val="17"/>
                <w:szCs w:val="17"/>
              </w:rPr>
            </w:r>
          </w:p>
        </w:tc>
        <w:tc>
          <w:tcPr>
            <w:tcBorders/>
            <w:tcW w:w="821" w:type="dxa"/>
            <w:vAlign w:val="center"/>
            <w:textDirection w:val="lrTb"/>
            <w:noWrap w:val="false"/>
          </w:tcPr>
          <w:p>
            <w:pPr>
              <w:pBdr/>
              <w:spacing/>
              <w:ind/>
              <w:jc w:val="center"/>
              <w:rPr>
                <w:rFonts w:ascii="Times New Roman" w:hAnsi="Times New Roman" w:cs="Times New Roman"/>
                <w:sz w:val="17"/>
                <w:szCs w:val="17"/>
              </w:rPr>
            </w:pPr>
            <w:r>
              <w:rPr>
                <w:rFonts w:ascii="Times New Roman" w:hAnsi="Times New Roman" w:cs="Times New Roman"/>
                <w:sz w:val="17"/>
                <w:szCs w:val="17"/>
              </w:rPr>
              <w:t xml:space="preserve">X</w:t>
            </w:r>
            <w:r>
              <w:rPr>
                <w:rFonts w:ascii="Times New Roman" w:hAnsi="Times New Roman" w:cs="Times New Roman"/>
                <w:sz w:val="17"/>
                <w:szCs w:val="17"/>
              </w:rPr>
            </w:r>
          </w:p>
        </w:tc>
      </w:tr>
    </w:tbl>
    <w:p>
      <w:pPr>
        <w:pBdr/>
        <w:spacing/>
        <w:ind w:firstLine="720"/>
        <w:jc w:val="both"/>
        <w:rPr>
          <w:color w:val="000000"/>
          <w:sz w:val="22"/>
          <w:szCs w:val="22"/>
        </w:rPr>
      </w:pPr>
      <w:r>
        <w:rPr>
          <w:color w:val="000000"/>
          <w:sz w:val="22"/>
          <w:szCs w:val="22"/>
        </w:rPr>
      </w:r>
      <w:r>
        <w:rPr>
          <w:color w:val="000000"/>
          <w:sz w:val="22"/>
          <w:szCs w:val="22"/>
        </w:rPr>
      </w:r>
    </w:p>
    <w:p>
      <w:pPr>
        <w:pBdr/>
        <w:spacing/>
        <w:ind w:firstLine="720"/>
        <w:jc w:val="both"/>
        <w:rPr>
          <w:color w:val="000000"/>
          <w:sz w:val="22"/>
          <w:szCs w:val="22"/>
          <w:highlight w:val="yellow"/>
        </w:rPr>
      </w:pPr>
      <w:r>
        <w:rPr>
          <w:color w:val="000000"/>
          <w:sz w:val="22"/>
          <w:szCs w:val="22"/>
          <w:highlight w:val="yellow"/>
        </w:rPr>
        <w:t xml:space="preserve">For your reference, this is how we calculate the domain scores (</w:t>
      </w:r>
      <w:r>
        <w:rPr>
          <w:color w:val="000000"/>
          <w:sz w:val="22"/>
          <w:szCs w:val="22"/>
          <w:highlight w:val="yellow"/>
        </w:rPr>
        <w:t xml:space="preserve">sas</w:t>
      </w:r>
      <w:r>
        <w:rPr>
          <w:color w:val="000000"/>
          <w:sz w:val="22"/>
          <w:szCs w:val="22"/>
          <w:highlight w:val="yellow"/>
        </w:rPr>
        <w:t xml:space="preserve"> code but the logic is understandabl</w:t>
      </w:r>
      <w:r>
        <w:rPr>
          <w:color w:val="000000"/>
          <w:sz w:val="22"/>
          <w:szCs w:val="22"/>
          <w:highlight w:val="yellow"/>
        </w:rPr>
        <w:t xml:space="preserve">e</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a_nepsy_aac_rsc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a_nepsy_aac</w:t>
      </w:r>
      <w:r>
        <w:rPr>
          <w:color w:val="000000"/>
          <w:sz w:val="22"/>
          <w:szCs w:val="22"/>
          <w:highlight w:val="yellow"/>
        </w:rPr>
        <w:t xml:space="preserve">, </w:t>
      </w:r>
      <w:r>
        <w:rPr>
          <w:color w:val="000000"/>
          <w:sz w:val="22"/>
          <w:szCs w:val="22"/>
          <w:highlight w:val="yellow"/>
        </w:rPr>
        <w:t xml:space="preserve">a_nepsy_rsc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a_nepsy_iic_isc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a_nepsy_iic</w:t>
      </w:r>
      <w:r>
        <w:rPr>
          <w:color w:val="000000"/>
          <w:sz w:val="22"/>
          <w:szCs w:val="22"/>
          <w:highlight w:val="yellow"/>
        </w:rPr>
        <w:t xml:space="preserve">, </w:t>
      </w:r>
      <w:r>
        <w:rPr>
          <w:color w:val="000000"/>
          <w:sz w:val="22"/>
          <w:szCs w:val="22"/>
          <w:highlight w:val="yellow"/>
        </w:rPr>
        <w:t xml:space="preserve">a_nepsy_isc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a_nepsy_d_</w:t>
      </w:r>
      <w:commentRangeStart w:id="19"/>
      <w:commentRangeStart w:id="20"/>
      <w:r>
        <w:rPr>
          <w:color w:val="000000"/>
          <w:sz w:val="22"/>
          <w:szCs w:val="22"/>
          <w:highlight w:val="yellow"/>
        </w:rPr>
        <w:t xml:space="preserve">attnexec</w:t>
      </w:r>
      <w:commentRangeEnd w:id="19"/>
      <w:commentRangeEnd w:id="20"/>
      <w:r>
        <w:commentReference w:id="19"/>
        <w:commentReference w:id="20"/>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a_nepsy_aac_rsc</w:t>
      </w:r>
      <w:r>
        <w:rPr>
          <w:color w:val="000000"/>
          <w:sz w:val="22"/>
          <w:szCs w:val="22"/>
          <w:highlight w:val="yellow"/>
        </w:rPr>
        <w:t xml:space="preserve">, </w:t>
      </w:r>
      <w:r>
        <w:rPr>
          <w:color w:val="000000"/>
          <w:sz w:val="22"/>
          <w:szCs w:val="22"/>
          <w:highlight w:val="yellow"/>
        </w:rPr>
        <w:t xml:space="preserve">a_nepsy_iic_isc</w:t>
      </w:r>
      <w:r>
        <w:rPr>
          <w:color w:val="000000"/>
          <w:sz w:val="22"/>
          <w:szCs w:val="22"/>
          <w:highlight w:val="yellow"/>
        </w:rPr>
        <w:t xml:space="preserve">, </w:t>
      </w:r>
      <w:r>
        <w:rPr>
          <w:color w:val="000000"/>
          <w:sz w:val="22"/>
          <w:szCs w:val="22"/>
          <w:highlight w:val="yellow"/>
        </w:rPr>
        <w:t xml:space="preserve">a_st_ss</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a_nepsy_d_language</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a_nepsy_cits</w:t>
      </w:r>
      <w:r>
        <w:rPr>
          <w:color w:val="000000"/>
          <w:sz w:val="22"/>
          <w:szCs w:val="22"/>
          <w:highlight w:val="yellow"/>
        </w:rPr>
        <w:t xml:space="preserve">, </w:t>
      </w:r>
      <w:r>
        <w:rPr>
          <w:color w:val="000000"/>
          <w:sz w:val="22"/>
          <w:szCs w:val="22"/>
          <w:highlight w:val="yellow"/>
        </w:rPr>
        <w:t xml:space="preserve">a_nepsy_snc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a_nepsy_d_memlearn</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a_nepsy_mffts</w:t>
      </w:r>
      <w:r>
        <w:rPr>
          <w:color w:val="000000"/>
          <w:sz w:val="22"/>
          <w:szCs w:val="22"/>
          <w:highlight w:val="yellow"/>
        </w:rPr>
        <w:t xml:space="preserve">, </w:t>
      </w:r>
      <w:r>
        <w:rPr>
          <w:color w:val="000000"/>
          <w:sz w:val="22"/>
          <w:szCs w:val="22"/>
          <w:highlight w:val="yellow"/>
        </w:rPr>
        <w:t xml:space="preserve">a_nepsy_mffdts</w:t>
      </w:r>
      <w:r>
        <w:rPr>
          <w:color w:val="000000"/>
          <w:sz w:val="22"/>
          <w:szCs w:val="22"/>
          <w:highlight w:val="yellow"/>
        </w:rPr>
        <w:t xml:space="preserve">, </w:t>
      </w:r>
      <w:r>
        <w:rPr>
          <w:color w:val="000000"/>
          <w:sz w:val="22"/>
          <w:szCs w:val="22"/>
          <w:highlight w:val="yellow"/>
        </w:rPr>
        <w:t xml:space="preserve">a_nepsy_nmfcr</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a_nepsy_d_visuospat</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a_nepsy_dcgts</w:t>
      </w:r>
      <w:r>
        <w:rPr>
          <w:color w:val="000000"/>
          <w:sz w:val="22"/>
          <w:szCs w:val="22"/>
          <w:highlight w:val="yellow"/>
        </w:rPr>
        <w:t xml:space="preserve">, </w:t>
      </w:r>
      <w:r>
        <w:rPr>
          <w:color w:val="000000"/>
          <w:sz w:val="22"/>
          <w:szCs w:val="22"/>
          <w:highlight w:val="yellow"/>
        </w:rPr>
        <w:t xml:space="preserve">a_nepsy_gpts</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a_nepsy_d_sensorimotor</w:t>
      </w:r>
      <w:r>
        <w:rPr>
          <w:color w:val="000000"/>
          <w:sz w:val="22"/>
          <w:szCs w:val="22"/>
          <w:highlight w:val="yellow"/>
        </w:rPr>
        <w:t xml:space="preserve">=mean (</w:t>
      </w:r>
      <w:r>
        <w:rPr>
          <w:color w:val="000000"/>
          <w:sz w:val="22"/>
          <w:szCs w:val="22"/>
          <w:highlight w:val="yellow"/>
        </w:rPr>
        <w:t xml:space="preserve">a_nepsy_vp_ss</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a_nepsy_totalneuro</w:t>
      </w:r>
      <w:r>
        <w:rPr>
          <w:color w:val="000000"/>
          <w:sz w:val="22"/>
          <w:szCs w:val="22"/>
          <w:highlight w:val="yellow"/>
        </w:rPr>
        <w:t xml:space="preserve">=</w:t>
      </w:r>
      <w:r>
        <w:rPr>
          <w:color w:val="000000"/>
          <w:sz w:val="22"/>
          <w:szCs w:val="22"/>
          <w:highlight w:val="yellow"/>
        </w:rPr>
        <w:t xml:space="preserve">mean(</w:t>
      </w:r>
      <w:r>
        <w:rPr>
          <w:color w:val="000000"/>
          <w:sz w:val="22"/>
          <w:szCs w:val="22"/>
          <w:highlight w:val="yellow"/>
        </w:rPr>
        <w:t xml:space="preserve">a_nepsy_d_attnexec</w:t>
      </w:r>
      <w:r>
        <w:rPr>
          <w:color w:val="000000"/>
          <w:sz w:val="22"/>
          <w:szCs w:val="22"/>
          <w:highlight w:val="yellow"/>
        </w:rPr>
        <w:t xml:space="preserve">, </w:t>
      </w:r>
      <w:r>
        <w:rPr>
          <w:color w:val="000000"/>
          <w:sz w:val="22"/>
          <w:szCs w:val="22"/>
          <w:highlight w:val="yellow"/>
        </w:rPr>
        <w:t xml:space="preserve">a_nepsy_d_language</w:t>
      </w:r>
      <w:r>
        <w:rPr>
          <w:color w:val="000000"/>
          <w:sz w:val="22"/>
          <w:szCs w:val="22"/>
          <w:highlight w:val="yellow"/>
        </w:rPr>
        <w:t xml:space="preserve">, </w:t>
      </w:r>
      <w:r>
        <w:rPr>
          <w:color w:val="000000"/>
          <w:sz w:val="22"/>
          <w:szCs w:val="22"/>
          <w:highlight w:val="yellow"/>
        </w:rPr>
        <w:t xml:space="preserve">a_nepsy_d_memlearn</w:t>
      </w:r>
      <w:r>
        <w:rPr>
          <w:color w:val="000000"/>
          <w:sz w:val="22"/>
          <w:szCs w:val="22"/>
          <w:highlight w:val="yellow"/>
        </w:rPr>
        <w:t xml:space="preserve">, </w:t>
      </w:r>
      <w:r>
        <w:rPr>
          <w:color w:val="000000"/>
          <w:sz w:val="22"/>
          <w:szCs w:val="22"/>
          <w:highlight w:val="yellow"/>
        </w:rPr>
        <w:t xml:space="preserve">a_nepsy_d_visuospat</w:t>
      </w:r>
      <w:r>
        <w:rPr>
          <w:color w:val="000000"/>
          <w:sz w:val="22"/>
          <w:szCs w:val="22"/>
          <w:highlight w:val="yellow"/>
        </w:rPr>
        <w:t xml:space="preserve">, </w:t>
      </w:r>
      <w:r>
        <w:rPr>
          <w:color w:val="000000"/>
          <w:sz w:val="22"/>
          <w:szCs w:val="22"/>
          <w:highlight w:val="yellow"/>
        </w:rPr>
        <w:t xml:space="preserve">a_nepsy_d_sensorimotor</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b_nepsy_aac_rsc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b_nepsy_aac</w:t>
      </w:r>
      <w:r>
        <w:rPr>
          <w:color w:val="000000"/>
          <w:sz w:val="22"/>
          <w:szCs w:val="22"/>
          <w:highlight w:val="yellow"/>
        </w:rPr>
        <w:t xml:space="preserve">, </w:t>
      </w:r>
      <w:r>
        <w:rPr>
          <w:color w:val="000000"/>
          <w:sz w:val="22"/>
          <w:szCs w:val="22"/>
          <w:highlight w:val="yellow"/>
        </w:rPr>
        <w:t xml:space="preserve">b_nepsy_rsc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b_nepsy_iic_isc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b_nepsy_iic</w:t>
      </w:r>
      <w:r>
        <w:rPr>
          <w:color w:val="000000"/>
          <w:sz w:val="22"/>
          <w:szCs w:val="22"/>
          <w:highlight w:val="yellow"/>
        </w:rPr>
        <w:t xml:space="preserve">, </w:t>
      </w:r>
      <w:r>
        <w:rPr>
          <w:color w:val="000000"/>
          <w:sz w:val="22"/>
          <w:szCs w:val="22"/>
          <w:highlight w:val="yellow"/>
        </w:rPr>
        <w:t xml:space="preserve">b_nepsy_isc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b_nepsy_d_attnexec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b_nepsy_aac_rsc</w:t>
      </w:r>
      <w:r>
        <w:rPr>
          <w:color w:val="000000"/>
          <w:sz w:val="22"/>
          <w:szCs w:val="22"/>
          <w:highlight w:val="yellow"/>
        </w:rPr>
        <w:t xml:space="preserve">, </w:t>
      </w:r>
      <w:r>
        <w:rPr>
          <w:color w:val="000000"/>
          <w:sz w:val="22"/>
          <w:szCs w:val="22"/>
          <w:highlight w:val="yellow"/>
        </w:rPr>
        <w:t xml:space="preserve">b_nepsy_iic_isc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c_nepsy_aac_rsc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c_nepsy_aac</w:t>
      </w:r>
      <w:r>
        <w:rPr>
          <w:color w:val="000000"/>
          <w:sz w:val="22"/>
          <w:szCs w:val="22"/>
          <w:highlight w:val="yellow"/>
        </w:rPr>
        <w:t xml:space="preserve">, </w:t>
      </w:r>
      <w:r>
        <w:rPr>
          <w:color w:val="000000"/>
          <w:sz w:val="22"/>
          <w:szCs w:val="22"/>
          <w:highlight w:val="yellow"/>
        </w:rPr>
        <w:t xml:space="preserve">c_nepsy_rsc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c_nepsy_iic_isc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c_nepsy_iic</w:t>
      </w:r>
      <w:r>
        <w:rPr>
          <w:color w:val="000000"/>
          <w:sz w:val="22"/>
          <w:szCs w:val="22"/>
          <w:highlight w:val="yellow"/>
        </w:rPr>
        <w:t xml:space="preserve">, </w:t>
      </w:r>
      <w:r>
        <w:rPr>
          <w:color w:val="000000"/>
          <w:sz w:val="22"/>
          <w:szCs w:val="22"/>
          <w:highlight w:val="yellow"/>
        </w:rPr>
        <w:t xml:space="preserve">c_nepsy_isc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c_nepsy_d_attnexec</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c_nepsy_aac_rsc</w:t>
      </w:r>
      <w:r>
        <w:rPr>
          <w:color w:val="000000"/>
          <w:sz w:val="22"/>
          <w:szCs w:val="22"/>
          <w:highlight w:val="yellow"/>
        </w:rPr>
        <w:t xml:space="preserve">, </w:t>
      </w:r>
      <w:r>
        <w:rPr>
          <w:color w:val="000000"/>
          <w:sz w:val="22"/>
          <w:szCs w:val="22"/>
          <w:highlight w:val="yellow"/>
        </w:rPr>
        <w:t xml:space="preserve">c_nepsy_iic_isc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c_nepsy_d_language</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c_nepsy_cits</w:t>
      </w:r>
      <w:r>
        <w:rPr>
          <w:color w:val="000000"/>
          <w:sz w:val="22"/>
          <w:szCs w:val="22"/>
          <w:highlight w:val="yellow"/>
        </w:rPr>
        <w:t xml:space="preserve">, </w:t>
      </w:r>
      <w:r>
        <w:rPr>
          <w:color w:val="000000"/>
          <w:sz w:val="22"/>
          <w:szCs w:val="22"/>
          <w:highlight w:val="yellow"/>
        </w:rPr>
        <w:t xml:space="preserve">c_nepsy_snc</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c_nepsy_d_memlearn</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c_nepsy_mffts</w:t>
      </w:r>
      <w:r>
        <w:rPr>
          <w:color w:val="000000"/>
          <w:sz w:val="22"/>
          <w:szCs w:val="22"/>
          <w:highlight w:val="yellow"/>
        </w:rPr>
        <w:t xml:space="preserve">, </w:t>
      </w:r>
      <w:r>
        <w:rPr>
          <w:color w:val="000000"/>
          <w:sz w:val="22"/>
          <w:szCs w:val="22"/>
          <w:highlight w:val="yellow"/>
        </w:rPr>
        <w:t xml:space="preserve">c_nepsy_mffdts</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c_nepsy_d_visuospat</w:t>
      </w:r>
      <w:r>
        <w:rPr>
          <w:color w:val="000000"/>
          <w:sz w:val="22"/>
          <w:szCs w:val="22"/>
          <w:highlight w:val="yellow"/>
        </w:rPr>
        <w:t xml:space="preserve">= </w:t>
      </w:r>
      <w:r>
        <w:rPr>
          <w:color w:val="000000"/>
          <w:sz w:val="22"/>
          <w:szCs w:val="22"/>
          <w:highlight w:val="yellow"/>
        </w:rPr>
        <w:t xml:space="preserve">mean(</w:t>
      </w:r>
      <w:r>
        <w:rPr>
          <w:color w:val="000000"/>
          <w:sz w:val="22"/>
          <w:szCs w:val="22"/>
          <w:highlight w:val="yellow"/>
        </w:rPr>
        <w:t xml:space="preserve">c_nepsy_dcgts</w:t>
      </w:r>
      <w:r>
        <w:rPr>
          <w:color w:val="000000"/>
          <w:sz w:val="22"/>
          <w:szCs w:val="22"/>
          <w:highlight w:val="yellow"/>
        </w:rPr>
        <w:t xml:space="preserve">, </w:t>
      </w:r>
      <w:r>
        <w:rPr>
          <w:color w:val="000000"/>
          <w:sz w:val="22"/>
          <w:szCs w:val="22"/>
          <w:highlight w:val="yellow"/>
        </w:rPr>
        <w:t xml:space="preserve">c_nepsy_gpts</w:t>
      </w:r>
      <w:r>
        <w:rPr>
          <w:color w:val="000000"/>
          <w:sz w:val="22"/>
          <w:szCs w:val="22"/>
          <w:highlight w:val="yellow"/>
        </w:rPr>
        <w:t xml:space="preserve">);</w:t>
      </w:r>
      <w:r>
        <w:rPr>
          <w:color w:val="000000"/>
          <w:sz w:val="22"/>
          <w:szCs w:val="22"/>
          <w:highlight w:val="yellow"/>
        </w:rPr>
      </w:r>
    </w:p>
    <w:p>
      <w:pPr>
        <w:pBdr/>
        <w:spacing/>
        <w:ind w:firstLine="720"/>
        <w:jc w:val="both"/>
        <w:rPr>
          <w:color w:val="000000"/>
          <w:sz w:val="22"/>
          <w:szCs w:val="22"/>
          <w:highlight w:val="yellow"/>
        </w:rPr>
      </w:pPr>
      <w:r>
        <w:rPr>
          <w:color w:val="000000"/>
          <w:sz w:val="22"/>
          <w:szCs w:val="22"/>
          <w:highlight w:val="yellow"/>
        </w:rPr>
        <w:t xml:space="preserve">  </w:t>
      </w:r>
      <w:r>
        <w:rPr>
          <w:color w:val="000000"/>
          <w:sz w:val="22"/>
          <w:szCs w:val="22"/>
          <w:highlight w:val="yellow"/>
        </w:rPr>
        <w:t xml:space="preserve">c_nepsy_d_socialper</w:t>
      </w:r>
      <w:r>
        <w:rPr>
          <w:color w:val="000000"/>
          <w:sz w:val="22"/>
          <w:szCs w:val="22"/>
          <w:highlight w:val="yellow"/>
        </w:rPr>
        <w:t xml:space="preserve">= </w:t>
      </w:r>
      <w:r>
        <w:rPr>
          <w:color w:val="000000"/>
          <w:sz w:val="22"/>
          <w:szCs w:val="22"/>
          <w:highlight w:val="yellow"/>
        </w:rPr>
        <w:t xml:space="preserve">c_nepsy_</w:t>
      </w:r>
      <w:r>
        <w:rPr>
          <w:color w:val="000000"/>
          <w:sz w:val="22"/>
          <w:szCs w:val="22"/>
          <w:highlight w:val="yellow"/>
        </w:rPr>
        <w:t xml:space="preserve">arts</w:t>
      </w:r>
      <w:r>
        <w:rPr>
          <w:color w:val="000000"/>
          <w:sz w:val="22"/>
          <w:szCs w:val="22"/>
          <w:highlight w:val="yellow"/>
        </w:rPr>
        <w:t xml:space="preserve">;</w:t>
      </w:r>
      <w:r>
        <w:rPr>
          <w:color w:val="000000"/>
          <w:sz w:val="22"/>
          <w:szCs w:val="22"/>
          <w:highlight w:val="yellow"/>
        </w:rPr>
      </w:r>
    </w:p>
    <w:p>
      <w:pPr>
        <w:pBdr/>
        <w:spacing/>
        <w:ind w:left="720"/>
        <w:jc w:val="both"/>
        <w:rPr>
          <w:color w:val="000000"/>
          <w:sz w:val="22"/>
          <w:szCs w:val="22"/>
        </w:rPr>
      </w:pPr>
      <w:r>
        <w:rPr>
          <w:color w:val="000000"/>
          <w:sz w:val="22"/>
          <w:szCs w:val="22"/>
          <w:highlight w:val="yellow"/>
        </w:rPr>
        <w:t xml:space="preserve">  </w:t>
      </w:r>
      <w:r>
        <w:rPr>
          <w:color w:val="000000"/>
          <w:sz w:val="22"/>
          <w:szCs w:val="22"/>
          <w:highlight w:val="yellow"/>
        </w:rPr>
        <w:t xml:space="preserve">c_nepsy_totalneuro</w:t>
      </w:r>
      <w:r>
        <w:rPr>
          <w:color w:val="000000"/>
          <w:sz w:val="22"/>
          <w:szCs w:val="22"/>
          <w:highlight w:val="yellow"/>
        </w:rPr>
        <w:t xml:space="preserve">=</w:t>
      </w:r>
      <w:r>
        <w:rPr>
          <w:color w:val="000000"/>
          <w:sz w:val="22"/>
          <w:szCs w:val="22"/>
          <w:highlight w:val="yellow"/>
        </w:rPr>
        <w:t xml:space="preserve">mean(</w:t>
      </w:r>
      <w:r>
        <w:rPr>
          <w:color w:val="000000"/>
          <w:sz w:val="22"/>
          <w:szCs w:val="22"/>
          <w:highlight w:val="yellow"/>
        </w:rPr>
        <w:t xml:space="preserve">c_nepsy_d_attnexec</w:t>
      </w:r>
      <w:r>
        <w:rPr>
          <w:color w:val="000000"/>
          <w:sz w:val="22"/>
          <w:szCs w:val="22"/>
          <w:highlight w:val="yellow"/>
        </w:rPr>
        <w:t xml:space="preserve">, </w:t>
      </w:r>
      <w:r>
        <w:rPr>
          <w:color w:val="000000"/>
          <w:sz w:val="22"/>
          <w:szCs w:val="22"/>
          <w:highlight w:val="yellow"/>
        </w:rPr>
        <w:t xml:space="preserve">c_nepsy_d_language</w:t>
      </w:r>
      <w:r>
        <w:rPr>
          <w:color w:val="000000"/>
          <w:sz w:val="22"/>
          <w:szCs w:val="22"/>
          <w:highlight w:val="yellow"/>
        </w:rPr>
        <w:t xml:space="preserve">, </w:t>
      </w:r>
      <w:r>
        <w:rPr>
          <w:color w:val="000000"/>
          <w:sz w:val="22"/>
          <w:szCs w:val="22"/>
          <w:highlight w:val="yellow"/>
        </w:rPr>
        <w:t xml:space="preserve">c_nepsy_d_memlearn</w:t>
      </w:r>
      <w:r>
        <w:rPr>
          <w:color w:val="000000"/>
          <w:sz w:val="22"/>
          <w:szCs w:val="22"/>
          <w:highlight w:val="yellow"/>
        </w:rPr>
        <w:t xml:space="preserve">, </w:t>
      </w:r>
      <w:r>
        <w:rPr>
          <w:color w:val="000000"/>
          <w:sz w:val="22"/>
          <w:szCs w:val="22"/>
          <w:highlight w:val="yellow"/>
        </w:rPr>
        <w:t xml:space="preserve"> </w:t>
      </w:r>
      <w:r>
        <w:rPr>
          <w:color w:val="000000"/>
          <w:sz w:val="22"/>
          <w:szCs w:val="22"/>
          <w:highlight w:val="yellow"/>
        </w:rPr>
        <w:t xml:space="preserve">c_nepsy_d_visuospat</w:t>
      </w:r>
      <w:r>
        <w:rPr>
          <w:color w:val="000000"/>
          <w:sz w:val="22"/>
          <w:szCs w:val="22"/>
          <w:highlight w:val="yellow"/>
        </w:rPr>
        <w:t xml:space="preserve">, </w:t>
      </w:r>
      <w:r>
        <w:rPr>
          <w:color w:val="000000"/>
          <w:sz w:val="22"/>
          <w:szCs w:val="22"/>
          <w:highlight w:val="yellow"/>
        </w:rPr>
        <w:t xml:space="preserve">c_nepsy_d_socialper</w:t>
      </w:r>
      <w:r>
        <w:rPr>
          <w:color w:val="000000"/>
          <w:sz w:val="22"/>
          <w:szCs w:val="22"/>
          <w:highlight w:val="yellow"/>
        </w:rPr>
        <w:t xml:space="preserve">);</w:t>
      </w:r>
      <w:r>
        <w:rPr>
          <w:color w:val="000000"/>
          <w:sz w:val="22"/>
          <w:szCs w:val="22"/>
        </w:rPr>
      </w:r>
    </w:p>
    <w:p>
      <w:pPr>
        <w:pBdr/>
        <w:spacing/>
        <w:ind w:firstLine="720"/>
        <w:jc w:val="both"/>
        <w:rPr>
          <w:color w:val="000000"/>
          <w:sz w:val="22"/>
          <w:szCs w:val="22"/>
        </w:rPr>
      </w:pPr>
      <w:r>
        <w:rPr>
          <w:color w:val="000000"/>
          <w:sz w:val="22"/>
          <w:szCs w:val="22"/>
        </w:rPr>
      </w:r>
      <w:r>
        <w:rPr>
          <w:color w:val="000000"/>
          <w:sz w:val="22"/>
          <w:szCs w:val="22"/>
        </w:rPr>
      </w:r>
    </w:p>
    <w:p>
      <w:pPr>
        <w:pBdr/>
        <w:spacing/>
        <w:ind w:firstLine="720"/>
        <w:jc w:val="both"/>
        <w:rPr>
          <w:color w:val="000000"/>
          <w:sz w:val="22"/>
          <w:szCs w:val="22"/>
        </w:rPr>
      </w:pPr>
      <w:r>
        <w:rPr>
          <w:color w:val="000000"/>
          <w:sz w:val="22"/>
          <w:szCs w:val="22"/>
        </w:rPr>
      </w:r>
      <w:r>
        <w:rPr>
          <w:color w:val="000000"/>
          <w:sz w:val="22"/>
          <w:szCs w:val="22"/>
        </w:rPr>
      </w:r>
    </w:p>
    <w:p>
      <w:pPr>
        <w:pBdr/>
        <w:spacing/>
        <w:ind w:firstLine="720"/>
        <w:jc w:val="both"/>
        <w:rPr>
          <w:color w:val="000000"/>
          <w:sz w:val="22"/>
          <w:szCs w:val="22"/>
        </w:rPr>
      </w:pPr>
      <w:r/>
      <w:commentRangeStart w:id="21"/>
      <w:commentRangeStart w:id="22"/>
      <w:r>
        <w:rPr>
          <w:color w:val="000000"/>
          <w:sz w:val="22"/>
          <w:szCs w:val="22"/>
        </w:rPr>
        <w:t xml:space="preserve">Attention</w:t>
      </w:r>
      <w:r>
        <w:rPr>
          <w:color w:val="000000"/>
          <w:sz w:val="22"/>
          <w:szCs w:val="22"/>
        </w:rPr>
        <w:t xml:space="preserve">/</w:t>
      </w:r>
      <w:r>
        <w:rPr>
          <w:color w:val="000000"/>
          <w:sz w:val="22"/>
          <w:szCs w:val="22"/>
        </w:rPr>
        <w:t xml:space="preserve">Inhibitory Control</w:t>
      </w:r>
      <w:r>
        <w:rPr>
          <w:color w:val="000000"/>
          <w:sz w:val="22"/>
          <w:szCs w:val="22"/>
        </w:rPr>
        <w:t xml:space="preserve"> </w:t>
      </w:r>
      <w:r>
        <w:rPr>
          <w:color w:val="000000"/>
          <w:sz w:val="22"/>
          <w:szCs w:val="22"/>
        </w:rPr>
        <w:t xml:space="preserve">included the subset of ‘auditory attention combined’ (AAC) and ‘response set combined’ (RSC)</w:t>
      </w:r>
      <w:r>
        <w:rPr>
          <w:color w:val="000000"/>
          <w:sz w:val="22"/>
          <w:szCs w:val="22"/>
        </w:rPr>
        <w:t xml:space="preserve">, and ‘inhibition’</w:t>
      </w:r>
      <w:r>
        <w:rPr>
          <w:color w:val="000000"/>
          <w:sz w:val="22"/>
          <w:szCs w:val="22"/>
        </w:rPr>
        <w:t xml:space="preserve">. AAC </w:t>
      </w:r>
      <w:r>
        <w:rPr>
          <w:color w:val="000000"/>
          <w:sz w:val="22"/>
          <w:szCs w:val="22"/>
        </w:rPr>
        <w:t xml:space="preserve">assesses selective auditory attention and the ability to sustain it</w:t>
      </w:r>
      <w:r>
        <w:rPr>
          <w:color w:val="000000"/>
          <w:sz w:val="22"/>
          <w:szCs w:val="22"/>
        </w:rPr>
        <w:t xml:space="preserve"> and RSC</w:t>
      </w:r>
      <w:r>
        <w:rPr>
          <w:color w:val="000000"/>
          <w:sz w:val="22"/>
          <w:szCs w:val="22"/>
        </w:rPr>
        <w:t xml:space="preserve"> assesses the ability </w:t>
      </w:r>
      <w:r>
        <w:rPr>
          <w:color w:val="000000"/>
          <w:sz w:val="22"/>
          <w:szCs w:val="22"/>
        </w:rPr>
        <w:t xml:space="preserve">to</w:t>
      </w:r>
      <w:r>
        <w:rPr>
          <w:color w:val="000000"/>
          <w:sz w:val="22"/>
          <w:szCs w:val="22"/>
        </w:rPr>
        <w:t xml:space="preserve"> shift attention while selectively responding to auditory target words. Participants listen</w:t>
      </w:r>
      <w:r>
        <w:rPr>
          <w:color w:val="000000"/>
          <w:sz w:val="22"/>
          <w:szCs w:val="22"/>
        </w:rPr>
        <w:t xml:space="preserve">ed</w:t>
      </w:r>
      <w:r>
        <w:rPr>
          <w:color w:val="000000"/>
          <w:sz w:val="22"/>
          <w:szCs w:val="22"/>
        </w:rPr>
        <w:t xml:space="preserve"> to a series of words and point to appropriate circles when they hear a target word.</w:t>
      </w:r>
      <w:r>
        <w:rPr>
          <w:color w:val="000000"/>
          <w:sz w:val="22"/>
          <w:szCs w:val="22"/>
        </w:rPr>
        <w:t xml:space="preserve"> “</w:t>
      </w:r>
      <w:r>
        <w:rPr>
          <w:color w:val="000000"/>
          <w:sz w:val="22"/>
          <w:szCs w:val="22"/>
        </w:rPr>
        <w:t xml:space="preserve">Combined” indicates that two or more measures within the subtest were combined to create a total score.</w:t>
      </w:r>
      <w:r>
        <w:rPr>
          <w:color w:val="000000"/>
          <w:sz w:val="22"/>
          <w:szCs w:val="22"/>
        </w:rPr>
        <w:t xml:space="preserve"> </w:t>
      </w:r>
      <w:r>
        <w:rPr>
          <w:color w:val="000000"/>
          <w:sz w:val="22"/>
          <w:szCs w:val="22"/>
        </w:rPr>
        <w:t xml:space="preserve">Inhibition test assesses the ability to inhibit automatic responses in favor of novel responses and the ability to switch between response types.</w:t>
      </w:r>
      <w:r>
        <w:rPr>
          <w:color w:val="000000"/>
          <w:sz w:val="22"/>
          <w:szCs w:val="22"/>
        </w:rPr>
        <w:t xml:space="preserve"> Inhibition </w:t>
      </w:r>
      <w:r>
        <w:rPr>
          <w:color w:val="000000"/>
          <w:sz w:val="22"/>
          <w:szCs w:val="22"/>
        </w:rPr>
        <w:t xml:space="preserve">is split into three parts: </w:t>
      </w:r>
      <w:r>
        <w:rPr>
          <w:color w:val="000000"/>
          <w:sz w:val="22"/>
          <w:szCs w:val="22"/>
        </w:rPr>
        <w:t xml:space="preserve">‘i</w:t>
      </w:r>
      <w:r>
        <w:rPr>
          <w:color w:val="000000"/>
          <w:sz w:val="22"/>
          <w:szCs w:val="22"/>
        </w:rPr>
        <w:t xml:space="preserve">nhibition-</w:t>
      </w:r>
      <w:r>
        <w:rPr>
          <w:color w:val="000000"/>
          <w:sz w:val="22"/>
          <w:szCs w:val="22"/>
        </w:rPr>
        <w:t xml:space="preserve">i</w:t>
      </w:r>
      <w:r>
        <w:rPr>
          <w:color w:val="000000"/>
          <w:sz w:val="22"/>
          <w:szCs w:val="22"/>
        </w:rPr>
        <w:t xml:space="preserve">nhibition combined</w:t>
      </w:r>
      <w:r>
        <w:rPr>
          <w:color w:val="000000"/>
          <w:sz w:val="22"/>
          <w:szCs w:val="22"/>
        </w:rPr>
        <w:t xml:space="preserve">’</w:t>
      </w:r>
      <w:r>
        <w:rPr>
          <w:color w:val="000000"/>
          <w:sz w:val="22"/>
          <w:szCs w:val="22"/>
        </w:rPr>
        <w:t xml:space="preserve"> (</w:t>
      </w:r>
      <w:r>
        <w:rPr>
          <w:color w:val="000000"/>
          <w:sz w:val="22"/>
          <w:szCs w:val="22"/>
        </w:rPr>
        <w:t xml:space="preserve">IIC</w:t>
      </w:r>
      <w:r>
        <w:rPr>
          <w:color w:val="000000"/>
          <w:sz w:val="22"/>
          <w:szCs w:val="22"/>
        </w:rPr>
        <w:t xml:space="preserve">), </w:t>
      </w:r>
      <w:r>
        <w:rPr>
          <w:color w:val="000000"/>
          <w:sz w:val="22"/>
          <w:szCs w:val="22"/>
        </w:rPr>
        <w:t xml:space="preserve">‘</w:t>
      </w:r>
      <w:r>
        <w:rPr>
          <w:color w:val="000000"/>
          <w:sz w:val="22"/>
          <w:szCs w:val="22"/>
        </w:rPr>
        <w:t xml:space="preserve">inhibition</w:t>
      </w:r>
      <w:r>
        <w:rPr>
          <w:color w:val="000000"/>
          <w:sz w:val="22"/>
          <w:szCs w:val="22"/>
        </w:rPr>
        <w:t xml:space="preserve">-</w:t>
      </w:r>
      <w:r>
        <w:rPr>
          <w:color w:val="000000"/>
          <w:sz w:val="22"/>
          <w:szCs w:val="22"/>
        </w:rPr>
        <w:t xml:space="preserve">n</w:t>
      </w:r>
      <w:r>
        <w:rPr>
          <w:color w:val="000000"/>
          <w:sz w:val="22"/>
          <w:szCs w:val="22"/>
        </w:rPr>
        <w:t xml:space="preserve">aming combined (</w:t>
      </w:r>
      <w:r>
        <w:rPr>
          <w:color w:val="000000"/>
          <w:sz w:val="22"/>
          <w:szCs w:val="22"/>
        </w:rPr>
        <w:t xml:space="preserve">INC</w:t>
      </w:r>
      <w:r>
        <w:rPr>
          <w:color w:val="000000"/>
          <w:sz w:val="22"/>
          <w:szCs w:val="22"/>
        </w:rPr>
        <w:t xml:space="preserve">) and </w:t>
      </w:r>
      <w:r>
        <w:rPr>
          <w:color w:val="000000"/>
          <w:sz w:val="22"/>
          <w:szCs w:val="22"/>
        </w:rPr>
        <w:t xml:space="preserve">‘i</w:t>
      </w:r>
      <w:r>
        <w:rPr>
          <w:color w:val="000000"/>
          <w:sz w:val="22"/>
          <w:szCs w:val="22"/>
        </w:rPr>
        <w:t xml:space="preserve">nhibition-</w:t>
      </w:r>
      <w:r>
        <w:rPr>
          <w:color w:val="000000"/>
          <w:sz w:val="22"/>
          <w:szCs w:val="22"/>
        </w:rPr>
        <w:t xml:space="preserve">s</w:t>
      </w:r>
      <w:r>
        <w:rPr>
          <w:color w:val="000000"/>
          <w:sz w:val="22"/>
          <w:szCs w:val="22"/>
        </w:rPr>
        <w:t xml:space="preserve">witching combined (</w:t>
      </w:r>
      <w:r>
        <w:rPr>
          <w:color w:val="000000"/>
          <w:sz w:val="22"/>
          <w:szCs w:val="22"/>
        </w:rPr>
        <w:t xml:space="preserve">ISC</w:t>
      </w:r>
      <w:r>
        <w:rPr>
          <w:color w:val="000000"/>
          <w:sz w:val="22"/>
          <w:szCs w:val="22"/>
        </w:rPr>
        <w:t xml:space="preserve">). The test has two items: Shapes or Arrows. If participants are given pictures of shapes (circle or square), </w:t>
      </w:r>
      <w:r>
        <w:rPr>
          <w:color w:val="000000"/>
          <w:sz w:val="22"/>
          <w:szCs w:val="22"/>
        </w:rPr>
        <w:t xml:space="preserve">INC</w:t>
      </w:r>
      <w:r>
        <w:rPr>
          <w:color w:val="000000"/>
          <w:sz w:val="22"/>
          <w:szCs w:val="22"/>
        </w:rPr>
        <w:t xml:space="preserve"> refers to the ability to name the shapes accurately; </w:t>
      </w:r>
      <w:r>
        <w:rPr>
          <w:color w:val="000000"/>
          <w:sz w:val="22"/>
          <w:szCs w:val="22"/>
        </w:rPr>
        <w:t xml:space="preserve">IIC</w:t>
      </w:r>
      <w:r>
        <w:rPr>
          <w:color w:val="000000"/>
          <w:sz w:val="22"/>
          <w:szCs w:val="22"/>
        </w:rPr>
        <w:t xml:space="preserve"> is naming the circle as a square and the square as circle; </w:t>
      </w:r>
      <w:r>
        <w:rPr>
          <w:color w:val="000000"/>
          <w:sz w:val="22"/>
          <w:szCs w:val="22"/>
        </w:rPr>
        <w:t xml:space="preserve">ISC</w:t>
      </w:r>
      <w:r>
        <w:rPr>
          <w:color w:val="000000"/>
          <w:sz w:val="22"/>
          <w:szCs w:val="22"/>
        </w:rPr>
        <w:t xml:space="preserve"> is naming black shapes the accurate shape type and naming white shapes the other shape type (ex: black square should be named “square”, white circle should be named “square”).</w:t>
      </w:r>
      <w:r>
        <w:rPr>
          <w:color w:val="000000"/>
          <w:sz w:val="22"/>
          <w:szCs w:val="22"/>
        </w:rPr>
        <w:t xml:space="preserve"> Inhibition subsets were also reported as the average of IIC, INC and ISC subsets</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{"citationID":"BrQMUoUm","properties":{"formattedCitation":"(Kor</w:instrText>
      </w:r>
      <w:r>
        <w:rPr>
          <w:color w:val="000000"/>
          <w:sz w:val="22"/>
          <w:szCs w:val="22"/>
        </w:rPr>
        <w:instrText xml:space="preserve">kman \\uc0\\u8224{} et al., 2013; Korkman et al., 2007)","plainCitation":"(Korkman † et al., 2013; Korkman et al., 2007)","noteIndex":0},"citationItems":[{"id":4745,"uris":["http://zotero.org/users/5127433/items/KHXLLPTC"],"itemData":{"id":4745,"type":"art</w:instrText>
      </w:r>
      <w:r>
        <w:rPr>
          <w:color w:val="000000"/>
          <w:sz w:val="22"/>
          <w:szCs w:val="22"/>
        </w:rPr>
        <w:instrText xml:space="preserve">icle-journal","abstract":"Executive functions are thought to be the latest functions to mature. However, this view has not been tested by assessing simultaneously memory, perception of emotions, visuospatial perception, and visuoconstructional skills. NEPS</w:instrText>
      </w:r>
      <w:r>
        <w:rPr>
          <w:color w:val="000000"/>
          <w:sz w:val="22"/>
          <w:szCs w:val="22"/>
        </w:rPr>
        <w:instrText xml:space="preserve">Y II norm data from 1000 5- to 16-year-old U.S. children were obtained. Fifteen NEPSY II subtests with no floor or ceiling effects in any age group and no major changes in task type were selected. The 16-year level was attained at age 12 to 13 in all subte</w:instrText>
      </w:r>
      <w:r>
        <w:rPr>
          <w:color w:val="000000"/>
          <w:sz w:val="22"/>
          <w:szCs w:val="22"/>
        </w:rPr>
        <w:instrText xml:space="preserve">sts with two exceptions: social perception (age 10 to 11) and narrative memory (age 14). Trend analyses showed that development was rapid in the age range 5 to 9 years followed by a deceleration in the rate of development. Peak performances were reached at</w:instrText>
      </w:r>
      <w:r>
        <w:rPr>
          <w:color w:val="000000"/>
          <w:sz w:val="22"/>
          <w:szCs w:val="22"/>
        </w:rPr>
        <w:instrText xml:space="preserve"> 14 to 16 years but later in some subtests representing executive functions, verbal memory, and visuospatial performance. Thus, the study specified developmental time tables of neurocognitive functions. It demonstrated that not only executive functions but</w:instrText>
      </w:r>
      <w:r>
        <w:rPr>
          <w:color w:val="000000"/>
          <w:sz w:val="22"/>
          <w:szCs w:val="22"/>
        </w:rPr>
        <w:instrText xml:space="preserve"> also verbal memory and visuospatial performance continue to develop beyond age 16.","container-title":"Child Neuropsychology","DOI":"10.1080/09297049.2012.705822","ISSN":"0929-7049","issue":"5","note":"publisher: Routledge\n_eprint: https://doi.org/10.108</w:instrText>
      </w:r>
      <w:r>
        <w:rPr>
          <w:color w:val="000000"/>
          <w:sz w:val="22"/>
          <w:szCs w:val="22"/>
        </w:rPr>
        <w:instrText xml:space="preserve">0/09297049.2012.705822\nPMID: 22775769","page":"516–539","source":"Taylor and Francis+NEJM","title":"Neurocognitive development in 5- to 16-year-old North American children: A cross-sectional study","title-short":"Neurocognitive development in 5- to 16-yea</w:instrText>
      </w:r>
      <w:r>
        <w:rPr>
          <w:color w:val="000000"/>
          <w:sz w:val="22"/>
          <w:szCs w:val="22"/>
        </w:rPr>
        <w:instrText xml:space="preserve">r-old North American children","volume":"19","author":[{"family":"Korkman †","given":"Marit"},{"family":"Lahti-Nuuttila","given":"Pekka"},{"family":"Laasonen","given":"Marja"},{"family":"Kemp","given":"Sally L."},{"family":"Holdnack","given":"James"}],"iss</w:instrText>
      </w:r>
      <w:r>
        <w:rPr>
          <w:color w:val="000000"/>
          <w:sz w:val="22"/>
          <w:szCs w:val="22"/>
        </w:rPr>
        <w:instrText xml:space="preserve">ued":{"date-parts":[["2013",9,1]]}}},{"id":4700,"uris":["http://zotero.org/users/5127433/items/W586NP5X"],"itemData":{"id":4700,"type":"book","edition":"Second Edition","publisher":"The Psychological Corporation","title":"NEPSY II: Clinical and Interpretiv</w:instrText>
      </w:r>
      <w:r>
        <w:rPr>
          <w:color w:val="000000"/>
          <w:sz w:val="22"/>
          <w:szCs w:val="22"/>
        </w:rPr>
        <w:instrText xml:space="preserve">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 xml:space="preserve">(</w:t>
      </w:r>
      <w:r>
        <w:rPr>
          <w:sz w:val="22"/>
        </w:rPr>
        <w:t xml:space="preserve">Korkman</w:t>
      </w:r>
      <w:r>
        <w:rPr>
          <w:sz w:val="22"/>
        </w:rPr>
        <w:t xml:space="preserve"> </w:t>
      </w:r>
      <w:r>
        <w:rPr>
          <w:sz w:val="22"/>
        </w:rPr>
        <w:t xml:space="preserve">et al., 2013; Korkman et al., 2007)</w:t>
      </w:r>
      <w:r>
        <w:rPr>
          <w:color w:val="000000"/>
          <w:sz w:val="22"/>
          <w:szCs w:val="22"/>
        </w:rPr>
        <w:fldChar w:fldCharType="end"/>
      </w:r>
      <w:r>
        <w:rPr>
          <w:color w:val="000000"/>
          <w:sz w:val="22"/>
          <w:szCs w:val="22"/>
        </w:rPr>
        <w:t xml:space="preserve">.</w:t>
      </w:r>
      <w:r>
        <w:rPr>
          <w:color w:val="000000"/>
          <w:sz w:val="22"/>
          <w:szCs w:val="22"/>
        </w:rPr>
        <w:t xml:space="preserve"> </w:t>
      </w:r>
      <w:r>
        <w:rPr>
          <w:color w:val="000000"/>
          <w:sz w:val="22"/>
          <w:szCs w:val="22"/>
        </w:rPr>
      </w:r>
    </w:p>
    <w:p>
      <w:pPr>
        <w:pBdr/>
        <w:spacing/>
        <w:ind w:firstLine="720"/>
        <w:jc w:val="both"/>
        <w:rPr>
          <w:color w:val="000000"/>
          <w:sz w:val="22"/>
          <w:szCs w:val="22"/>
        </w:rPr>
      </w:pPr>
      <w:r>
        <w:rPr>
          <w:color w:val="000000"/>
          <w:sz w:val="22"/>
          <w:szCs w:val="22"/>
        </w:rPr>
        <w:t xml:space="preserve">Language</w:t>
      </w:r>
      <w:r>
        <w:rPr>
          <w:color w:val="000000"/>
          <w:sz w:val="22"/>
          <w:szCs w:val="22"/>
        </w:rPr>
        <w:t xml:space="preserve"> included the subsets of ‘c</w:t>
      </w:r>
      <w:r>
        <w:rPr>
          <w:color w:val="000000"/>
          <w:sz w:val="22"/>
          <w:szCs w:val="22"/>
        </w:rPr>
        <w:t xml:space="preserve">omprehension of instructions total score</w:t>
      </w:r>
      <w:r>
        <w:rPr>
          <w:color w:val="000000"/>
          <w:sz w:val="22"/>
          <w:szCs w:val="22"/>
        </w:rPr>
        <w:t xml:space="preserve">’</w:t>
      </w:r>
      <w:r>
        <w:rPr>
          <w:color w:val="000000"/>
          <w:sz w:val="22"/>
          <w:szCs w:val="22"/>
        </w:rPr>
        <w:t xml:space="preserve"> (</w:t>
      </w:r>
      <w:r>
        <w:rPr>
          <w:color w:val="000000"/>
          <w:sz w:val="22"/>
          <w:szCs w:val="22"/>
        </w:rPr>
        <w:t xml:space="preserve">CITS</w:t>
      </w:r>
      <w:r>
        <w:rPr>
          <w:color w:val="000000"/>
          <w:sz w:val="22"/>
          <w:szCs w:val="22"/>
        </w:rPr>
        <w:t xml:space="preserve">)</w:t>
      </w:r>
      <w:r>
        <w:rPr>
          <w:color w:val="000000"/>
          <w:sz w:val="22"/>
          <w:szCs w:val="22"/>
        </w:rPr>
        <w:t xml:space="preserve"> and ‘speeded naming combined’ (SNC). CITS</w:t>
      </w:r>
      <w:r>
        <w:rPr>
          <w:color w:val="000000"/>
          <w:sz w:val="22"/>
          <w:szCs w:val="22"/>
        </w:rPr>
        <w:t xml:space="preserve"> assesses the ability to perceive, process and execute oral instructions with increasing syntactic complexity. The participant point</w:t>
      </w:r>
      <w:r>
        <w:rPr>
          <w:color w:val="000000"/>
          <w:sz w:val="22"/>
          <w:szCs w:val="22"/>
        </w:rPr>
        <w:t xml:space="preserve">ed</w:t>
      </w:r>
      <w:r>
        <w:rPr>
          <w:color w:val="000000"/>
          <w:sz w:val="22"/>
          <w:szCs w:val="22"/>
        </w:rPr>
        <w:t xml:space="preserve"> to appropriate stimuli in response to oral instructions.</w:t>
      </w:r>
      <w:r>
        <w:rPr>
          <w:color w:val="000000"/>
          <w:sz w:val="22"/>
          <w:szCs w:val="22"/>
        </w:rPr>
        <w:t xml:space="preserve"> SNC </w:t>
      </w:r>
      <w:r>
        <w:rPr>
          <w:color w:val="000000"/>
          <w:sz w:val="22"/>
          <w:szCs w:val="22"/>
        </w:rPr>
        <w:t xml:space="preserve">is a timed subtest that assesses the participants rapid semantic access to and production of names of colors, shapes, </w:t>
      </w:r>
      <w:r>
        <w:rPr>
          <w:color w:val="000000"/>
          <w:sz w:val="22"/>
          <w:szCs w:val="22"/>
        </w:rPr>
        <w:t xml:space="preserve">sizes</w:t>
      </w:r>
      <w:r>
        <w:rPr>
          <w:color w:val="000000"/>
          <w:sz w:val="22"/>
          <w:szCs w:val="22"/>
        </w:rPr>
        <w:t xml:space="preserve"> or numbers. Participants are given an array of colors and shapes</w:t>
      </w:r>
      <w:r>
        <w:rPr>
          <w:color w:val="000000"/>
          <w:sz w:val="22"/>
          <w:szCs w:val="22"/>
        </w:rPr>
        <w:t xml:space="preserve">,</w:t>
      </w:r>
      <w:r>
        <w:rPr>
          <w:color w:val="000000"/>
          <w:sz w:val="22"/>
          <w:szCs w:val="22"/>
        </w:rPr>
        <w:t xml:space="preserve"> and they name them in order as fast as possible. </w:t>
      </w:r>
      <w:r>
        <w:rPr>
          <w:color w:val="000000"/>
          <w:sz w:val="22"/>
          <w:szCs w:val="22"/>
        </w:rPr>
      </w:r>
    </w:p>
    <w:p>
      <w:pPr>
        <w:pBdr/>
        <w:spacing/>
        <w:ind w:firstLine="720"/>
        <w:jc w:val="both"/>
        <w:rPr>
          <w:color w:val="000000"/>
          <w:sz w:val="22"/>
          <w:szCs w:val="22"/>
        </w:rPr>
      </w:pPr>
      <w:r>
        <w:rPr>
          <w:color w:val="000000"/>
          <w:sz w:val="22"/>
          <w:szCs w:val="22"/>
        </w:rPr>
        <w:t xml:space="preserve">Memory</w:t>
      </w:r>
      <w:r>
        <w:rPr>
          <w:color w:val="000000"/>
          <w:sz w:val="22"/>
          <w:szCs w:val="22"/>
        </w:rPr>
        <w:t xml:space="preserve">/</w:t>
      </w:r>
      <w:r>
        <w:rPr>
          <w:color w:val="000000"/>
          <w:sz w:val="22"/>
          <w:szCs w:val="22"/>
        </w:rPr>
        <w:t xml:space="preserve">Learning</w:t>
      </w:r>
      <w:r>
        <w:rPr>
          <w:color w:val="000000"/>
          <w:sz w:val="22"/>
          <w:szCs w:val="22"/>
        </w:rPr>
        <w:t xml:space="preserve"> included the subsets of ‘m</w:t>
      </w:r>
      <w:r>
        <w:rPr>
          <w:color w:val="000000"/>
          <w:sz w:val="22"/>
          <w:szCs w:val="22"/>
        </w:rPr>
        <w:t xml:space="preserve">emory for faces immediate total score</w:t>
      </w:r>
      <w:r>
        <w:rPr>
          <w:color w:val="000000"/>
          <w:sz w:val="22"/>
          <w:szCs w:val="22"/>
        </w:rPr>
        <w:t xml:space="preserve">’</w:t>
      </w:r>
      <w:r>
        <w:rPr>
          <w:color w:val="000000"/>
          <w:sz w:val="22"/>
          <w:szCs w:val="22"/>
        </w:rPr>
        <w:t xml:space="preserve"> (</w:t>
      </w:r>
      <w:r>
        <w:rPr>
          <w:color w:val="000000"/>
          <w:sz w:val="22"/>
          <w:szCs w:val="22"/>
        </w:rPr>
        <w:t xml:space="preserve">MFFS</w:t>
      </w:r>
      <w:r>
        <w:rPr>
          <w:color w:val="000000"/>
          <w:sz w:val="22"/>
          <w:szCs w:val="22"/>
        </w:rPr>
        <w:t xml:space="preserve">)</w:t>
      </w:r>
      <w:r>
        <w:rPr>
          <w:color w:val="000000"/>
          <w:sz w:val="22"/>
          <w:szCs w:val="22"/>
        </w:rPr>
        <w:t xml:space="preserve"> and ‘memory for faces delayed total score’ (MFFDTS). MFFS </w:t>
      </w:r>
      <w:r>
        <w:rPr>
          <w:color w:val="000000"/>
          <w:sz w:val="22"/>
          <w:szCs w:val="22"/>
        </w:rPr>
        <w:t xml:space="preserve">assesses encoding of facial features and face discrimination and recognition.</w:t>
      </w:r>
      <w:r>
        <w:rPr>
          <w:color w:val="000000"/>
          <w:sz w:val="22"/>
          <w:szCs w:val="22"/>
        </w:rPr>
        <w:t xml:space="preserve"> </w:t>
      </w:r>
      <w:r>
        <w:rPr>
          <w:color w:val="000000"/>
          <w:sz w:val="22"/>
          <w:szCs w:val="22"/>
        </w:rPr>
        <w:t xml:space="preserve">Participants look at a series of faces and then given three photographs at a time, from which they pick pictures of faces they have previously seen.</w:t>
      </w:r>
      <w:r>
        <w:rPr>
          <w:color w:val="000000"/>
          <w:sz w:val="22"/>
          <w:szCs w:val="22"/>
        </w:rPr>
        <w:t xml:space="preserve"> MFFDTS </w:t>
      </w:r>
      <w:r>
        <w:rPr>
          <w:color w:val="000000"/>
          <w:sz w:val="22"/>
          <w:szCs w:val="22"/>
        </w:rPr>
        <w:t xml:space="preserve">assesses long-term memory for faces using delayed tasks.</w:t>
      </w:r>
      <w:r>
        <w:rPr>
          <w:color w:val="000000"/>
          <w:sz w:val="22"/>
          <w:szCs w:val="22"/>
        </w:rPr>
      </w:r>
    </w:p>
    <w:p>
      <w:pPr>
        <w:pBdr/>
        <w:spacing/>
        <w:ind w:firstLine="720"/>
        <w:jc w:val="both"/>
        <w:rPr>
          <w:color w:val="000000"/>
          <w:sz w:val="22"/>
          <w:szCs w:val="22"/>
        </w:rPr>
      </w:pPr>
      <w:r>
        <w:rPr>
          <w:color w:val="000000"/>
          <w:sz w:val="22"/>
          <w:szCs w:val="22"/>
        </w:rPr>
        <w:t xml:space="preserve">Visuospatial Processing</w:t>
      </w:r>
      <w:r>
        <w:rPr>
          <w:color w:val="000000"/>
          <w:sz w:val="22"/>
          <w:szCs w:val="22"/>
        </w:rPr>
        <w:t xml:space="preserve"> included the ‘d</w:t>
      </w:r>
      <w:r>
        <w:rPr>
          <w:color w:val="000000"/>
          <w:sz w:val="22"/>
          <w:szCs w:val="22"/>
        </w:rPr>
        <w:t xml:space="preserve">esign copying total score</w:t>
      </w:r>
      <w:r>
        <w:rPr>
          <w:color w:val="000000"/>
          <w:sz w:val="22"/>
          <w:szCs w:val="22"/>
        </w:rPr>
        <w:t xml:space="preserve">’</w:t>
      </w:r>
      <w:r>
        <w:rPr>
          <w:color w:val="000000"/>
          <w:sz w:val="22"/>
          <w:szCs w:val="22"/>
        </w:rPr>
        <w:t xml:space="preserve"> (</w:t>
      </w:r>
      <w:r>
        <w:rPr>
          <w:color w:val="000000"/>
          <w:sz w:val="22"/>
          <w:szCs w:val="22"/>
        </w:rPr>
        <w:t xml:space="preserve">DCGTS</w:t>
      </w:r>
      <w:r>
        <w:rPr>
          <w:color w:val="000000"/>
          <w:sz w:val="22"/>
          <w:szCs w:val="22"/>
        </w:rPr>
        <w:t xml:space="preserve">)</w:t>
      </w:r>
      <w:r>
        <w:rPr>
          <w:color w:val="000000"/>
          <w:sz w:val="22"/>
          <w:szCs w:val="22"/>
        </w:rPr>
        <w:t xml:space="preserve"> and ‘geometric puzzle total score (GPTS) subsets. DCGTS</w:t>
      </w:r>
      <w:r>
        <w:rPr>
          <w:color w:val="000000"/>
          <w:sz w:val="22"/>
          <w:szCs w:val="22"/>
        </w:rPr>
        <w:t xml:space="preserve"> assesses motor and visual-perceptual skills through the ability to copy drawings of two-dimensional geometric figures.</w:t>
      </w:r>
      <w:r>
        <w:rPr>
          <w:color w:val="000000"/>
          <w:sz w:val="22"/>
          <w:szCs w:val="22"/>
        </w:rPr>
        <w:t xml:space="preserve"> GPTS</w:t>
      </w:r>
      <w:r>
        <w:rPr>
          <w:color w:val="000000"/>
          <w:sz w:val="22"/>
          <w:szCs w:val="22"/>
        </w:rPr>
        <w:t xml:space="preserve"> assesses mental rotation, visuospatial analysis</w:t>
      </w:r>
      <w:r>
        <w:rPr>
          <w:color w:val="000000"/>
          <w:sz w:val="22"/>
          <w:szCs w:val="22"/>
        </w:rPr>
        <w:t xml:space="preserve">,</w:t>
      </w:r>
      <w:r>
        <w:rPr>
          <w:color w:val="000000"/>
          <w:sz w:val="22"/>
          <w:szCs w:val="22"/>
        </w:rPr>
        <w:t xml:space="preserve"> and attention to</w:t>
      </w:r>
      <w:r>
        <w:rPr>
          <w:color w:val="000000"/>
          <w:sz w:val="22"/>
          <w:szCs w:val="22"/>
        </w:rPr>
        <w:t xml:space="preserve"> </w:t>
      </w:r>
      <w:r>
        <w:rPr>
          <w:rFonts w:eastAsia="Times New Roman"/>
          <w:color w:val="000000"/>
          <w:sz w:val="0"/>
          <w:szCs w:val="0"/>
          <w:shd w:val="clear" w:color="000000" w:fill="000000"/>
        </w:rPr>
        <w:t xml:space="preserve">ana</w:t>
      </w:r>
      <w:r>
        <w:rPr>
          <w:rFonts w:eastAsia="Times New Roman"/>
          <w:color w:val="000000"/>
          <w:sz w:val="0"/>
          <w:szCs w:val="0"/>
          <w:shd w:val="clear" w:color="000000" w:fill="000000"/>
        </w:rPr>
        <w:t xml:space="preserve">  </w:t>
      </w:r>
      <w:r>
        <w:rPr>
          <w:rFonts w:eastAsia="Times New Roman"/>
          <w:color w:val="000000"/>
          <w:sz w:val="0"/>
          <w:szCs w:val="0"/>
          <w:shd w:val="clear" w:color="000000" w:fill="000000"/>
        </w:rPr>
        <w:t xml:space="preserve">lys</w:t>
      </w:r>
      <w:r>
        <w:rPr>
          <w:color w:val="000000"/>
          <w:sz w:val="22"/>
          <w:szCs w:val="22"/>
        </w:rPr>
        <w:t xml:space="preserve">analysis</w:t>
      </w:r>
      <w:r>
        <w:rPr>
          <w:color w:val="000000"/>
          <w:sz w:val="22"/>
          <w:szCs w:val="22"/>
        </w:rPr>
        <w:t xml:space="preserve">.</w:t>
      </w:r>
      <w:r>
        <w:rPr>
          <w:color w:val="000000"/>
          <w:sz w:val="22"/>
          <w:szCs w:val="22"/>
        </w:rPr>
        <w:t xml:space="preserve"> Participants are presented with a grid containing different shapes and must match shapes from outside the grid to shapes within the grid. </w:t>
      </w:r>
      <w:r>
        <w:rPr>
          <w:color w:val="000000"/>
          <w:sz w:val="22"/>
          <w:szCs w:val="22"/>
        </w:rPr>
      </w:r>
    </w:p>
    <w:p>
      <w:pPr>
        <w:pBdr/>
        <w:spacing/>
        <w:ind w:firstLine="720"/>
        <w:jc w:val="both"/>
        <w:rPr>
          <w:color w:val="000000"/>
          <w:sz w:val="22"/>
          <w:szCs w:val="22"/>
        </w:rPr>
      </w:pPr>
      <w:r>
        <w:rPr>
          <w:color w:val="000000"/>
          <w:sz w:val="22"/>
          <w:szCs w:val="22"/>
        </w:rPr>
        <w:t xml:space="preserve">Social Perception</w:t>
      </w:r>
      <w:r>
        <w:rPr>
          <w:color w:val="000000"/>
          <w:sz w:val="22"/>
          <w:szCs w:val="22"/>
        </w:rPr>
        <w:t xml:space="preserve"> included the subset of ‘a</w:t>
      </w:r>
      <w:r>
        <w:rPr>
          <w:color w:val="000000"/>
          <w:sz w:val="22"/>
          <w:szCs w:val="22"/>
        </w:rPr>
        <w:t xml:space="preserve">ffect recognition total score</w:t>
      </w:r>
      <w:r>
        <w:rPr>
          <w:color w:val="000000"/>
          <w:sz w:val="22"/>
          <w:szCs w:val="22"/>
        </w:rPr>
        <w:t xml:space="preserve">’</w:t>
      </w:r>
      <w:r>
        <w:rPr>
          <w:color w:val="000000"/>
          <w:sz w:val="22"/>
          <w:szCs w:val="22"/>
        </w:rPr>
        <w:t xml:space="preserve"> (</w:t>
      </w:r>
      <w:r>
        <w:rPr>
          <w:color w:val="000000"/>
          <w:sz w:val="22"/>
          <w:szCs w:val="22"/>
        </w:rPr>
        <w:t xml:space="preserve">ARTS</w:t>
      </w:r>
      <w:r>
        <w:rPr>
          <w:color w:val="000000"/>
          <w:sz w:val="22"/>
          <w:szCs w:val="22"/>
        </w:rPr>
        <w:t xml:space="preserve">)</w:t>
      </w:r>
      <w:r>
        <w:rPr>
          <w:color w:val="000000"/>
          <w:sz w:val="22"/>
          <w:szCs w:val="22"/>
        </w:rPr>
        <w:t xml:space="preserve">, which </w:t>
      </w:r>
      <w:r>
        <w:rPr>
          <w:color w:val="000000"/>
          <w:sz w:val="22"/>
          <w:szCs w:val="22"/>
        </w:rPr>
        <w:t xml:space="preserve">assesses the ability to recognize affect (happy, sad, anger, fear, disgust or neutral) from photos of faces</w:t>
      </w:r>
      <w:r>
        <w:rPr>
          <w:color w:val="000000"/>
          <w:sz w:val="22"/>
          <w:szCs w:val="22"/>
        </w:rPr>
        <w:t xml:space="preserve"> </w:t>
      </w:r>
      <w:commentRangeStart w:id="23"/>
      <w:r>
        <w:rPr>
          <w:color w:val="000000"/>
          <w:sz w:val="22"/>
          <w:szCs w:val="22"/>
        </w:rPr>
        <w:fldChar w:fldCharType="begin"/>
      </w:r>
      <w:r>
        <w:rPr>
          <w:color w:val="000000"/>
          <w:sz w:val="22"/>
          <w:szCs w:val="22"/>
        </w:rPr>
        <w:instrText xml:space="preserve"> ADDIN ZOTERO_ITEM CSL_CI</w:instrText>
      </w:r>
      <w:r>
        <w:rPr>
          <w:color w:val="000000"/>
          <w:sz w:val="22"/>
          <w:szCs w:val="22"/>
        </w:rPr>
        <w:instrText xml:space="preserve">TATION {"citationID":"p5c8zTsK","properties":{"formattedCitation":"(Korkman \\uc0\\u8224{} et al., 2013; Korkman et al., 2007; Miller, 2015)","plainCitation":"(Korkman † et al., 2013; Korkman et al., 2007; Miller, 2015)","noteIndex":0},"citationItems":[{"i</w:instrText>
      </w:r>
      <w:r>
        <w:rPr>
          <w:color w:val="000000"/>
          <w:sz w:val="22"/>
          <w:szCs w:val="22"/>
        </w:rPr>
        <w:instrText xml:space="preserve">d":4745,"uris":["http://zotero.org/users/5127433/items/KHXLLPTC"],"itemData":{"id":4745,"type":"article-journal","abstract":"Executive functions are thought to be the latest functions to mature. However, this view has not been tested by assessing simultane</w:instrText>
      </w:r>
      <w:r>
        <w:rPr>
          <w:color w:val="000000"/>
          <w:sz w:val="22"/>
          <w:szCs w:val="22"/>
        </w:rPr>
        <w:instrText xml:space="preserve">ously memory, perception of emotions, visuospatial perception, and visuoconstructional skills. NEPSY II norm data from 1000 5- to 16-year-old U.S. children were obtained. Fifteen NEPSY II subtests with no floor or ceiling effects in any age group and no ma</w:instrText>
      </w:r>
      <w:r>
        <w:rPr>
          <w:color w:val="000000"/>
          <w:sz w:val="22"/>
          <w:szCs w:val="22"/>
        </w:rPr>
        <w:instrText xml:space="preserve">jor changes in task type were selected. The 16-year level was attained at age 12 to 13 in all subtests with two exceptions: social perception (age 10 to 11) and narrative memory (age 14). Trend analyses showed that development was rapid in the age range 5 </w:instrText>
      </w:r>
      <w:r>
        <w:rPr>
          <w:color w:val="000000"/>
          <w:sz w:val="22"/>
          <w:szCs w:val="22"/>
        </w:rPr>
        <w:instrText xml:space="preserve">to 9 years followed by a deceleration in the rate of development. Peak performances were reached at 14 to 16 years but later in some subtests representing executive functions, verbal memory, and visuospatial performance. Thus, the study specified developme</w:instrText>
      </w:r>
      <w:r>
        <w:rPr>
          <w:color w:val="000000"/>
          <w:sz w:val="22"/>
          <w:szCs w:val="22"/>
        </w:rPr>
        <w:instrText xml:space="preserve">ntal time tables of neurocognitive functions. It demonstrated that not only executive functions but also verbal memory and visuospatial performance continue to develop beyond age 16.","container-title":"Child Neuropsychology","DOI":"10.1080/09297049.2012.7</w:instrText>
      </w:r>
      <w:r>
        <w:rPr>
          <w:color w:val="000000"/>
          <w:sz w:val="22"/>
          <w:szCs w:val="22"/>
        </w:rPr>
        <w:instrText xml:space="preserve">05822","ISSN":"0929-7049","issue":"5","note":"publisher: Routledge\n_eprint: https://doi.org/10.1080/09297049.2012.705822\nPMID: 22775769","page":"516–539","source":"Taylor and Francis+NEJM","title":"Neurocognitive development in 5- to 16-year-old North Am</w:instrText>
      </w:r>
      <w:r>
        <w:rPr>
          <w:color w:val="000000"/>
          <w:sz w:val="22"/>
          <w:szCs w:val="22"/>
        </w:rPr>
        <w:instrText xml:space="preserve">erican children: A cross-sectional study","title-short":"Neurocognitive development in 5- to 16-year-old North American children","volume":"19","author":[{"family":"Korkman †","given":"Marit"},{"family":"Lahti-Nuuttila","given":"Pekka"},{"family":"Laasonen</w:instrText>
      </w:r>
      <w:r>
        <w:rPr>
          <w:color w:val="000000"/>
          <w:sz w:val="22"/>
          <w:szCs w:val="22"/>
        </w:rPr>
        <w:instrText xml:space="preserve">","given":"Marja"},{"family":"Kemp","given":"Sally L."},{"family":"Holdnack","given":"James"}],"issued":{"date-parts":[["2013",9,1]]}}},{"id":4700,"uris":["http://zotero.org/users/5127433/items/W586NP5X"],"itemData":{"id":4700,"type":"book","edition":"Seco</w:instrText>
      </w:r>
      <w:r>
        <w:rPr>
          <w:color w:val="000000"/>
          <w:sz w:val="22"/>
          <w:szCs w:val="22"/>
        </w:rPr>
        <w:instrText xml:space="preserve">nd Edition","publisher":"The Psychological Corporation","title":"NEPSY II: Clinical and Interpretive Manual","author":[{"family":"Korkman","given":"Marit"},{"family":"Kirk","given":"Ursula"},{"family":"Kemp","given":"Sally"}],"issued":{"date-parts":[["2007</w:instrText>
      </w:r>
      <w:r>
        <w:rPr>
          <w:color w:val="000000"/>
          <w:sz w:val="22"/>
          <w:szCs w:val="22"/>
        </w:rPr>
        <w:instrText xml:space="preserve">"]]}}},{"id":4710,"uris":["http://zotero.org/users/5127433/items/5WX54K5W"],"itemData":{"id":4710,"type":"speech","event-title":"TASP Conference","title":"NEPSY-II presentation – How to administer the Nepsy-2","URL":"https://www.txasp.org/assets/conference</w:instrText>
      </w:r>
      <w:r>
        <w:rPr>
          <w:color w:val="000000"/>
          <w:sz w:val="22"/>
          <w:szCs w:val="22"/>
        </w:rPr>
        <w:instrText xml:space="preserve">-materials/2015/miller_nepsyii_tasp.pdf","author":[{"family":"Miller","given":"D C"}],"accessed":{"date-parts":[["2022",4,7]]},"issued":{"date-parts":[["2015"]]}}}],"schema":"https://github.com/citation-style-language/schema/raw/master/csl-citation.json"} </w:instrText>
      </w:r>
      <w:r>
        <w:rPr>
          <w:color w:val="000000"/>
          <w:sz w:val="22"/>
          <w:szCs w:val="22"/>
        </w:rPr>
        <w:fldChar w:fldCharType="separate"/>
      </w:r>
      <w:r>
        <w:rPr>
          <w:sz w:val="22"/>
        </w:rPr>
        <w:t xml:space="preserve">(</w:t>
      </w:r>
      <w:r>
        <w:rPr>
          <w:sz w:val="22"/>
        </w:rPr>
        <w:t xml:space="preserve">Korkman</w:t>
      </w:r>
      <w:r>
        <w:rPr>
          <w:sz w:val="22"/>
        </w:rPr>
        <w:t xml:space="preserve"> </w:t>
      </w:r>
      <w:r>
        <w:rPr>
          <w:sz w:val="22"/>
        </w:rPr>
        <w:t xml:space="preserve"> et al., 2013; Korkman et al., 2007; Miller, 2015)</w:t>
      </w:r>
      <w:r>
        <w:rPr>
          <w:color w:val="000000"/>
          <w:sz w:val="22"/>
          <w:szCs w:val="22"/>
        </w:rPr>
        <w:fldChar w:fldCharType="end"/>
      </w:r>
      <w:commentRangeEnd w:id="23"/>
      <w:r>
        <w:commentReference w:id="23"/>
      </w:r>
      <w:r>
        <w:rPr>
          <w:color w:val="000000"/>
          <w:sz w:val="22"/>
          <w:szCs w:val="22"/>
        </w:rPr>
        <w:t xml:space="preserve">.</w:t>
      </w:r>
      <w:commentRangeEnd w:id="21"/>
      <w:commentRangeEnd w:id="22"/>
      <w:r>
        <w:commentReference w:id="21"/>
        <w:commentReference w:id="22"/>
      </w:r>
      <w:r>
        <w:rPr>
          <w:rStyle w:val="768"/>
          <w:rFonts w:asciiTheme="minorHAnsi" w:hAnsiTheme="minorHAnsi" w:cstheme="minorBidi"/>
        </w:rPr>
      </w:r>
      <w:r>
        <w:rPr>
          <w:color w:val="000000"/>
          <w:sz w:val="22"/>
          <w:szCs w:val="22"/>
        </w:rPr>
      </w:r>
    </w:p>
    <w:p>
      <w:pPr>
        <w:pBdr/>
        <w:spacing/>
        <w:ind w:firstLine="720"/>
        <w:jc w:val="both"/>
        <w:rPr>
          <w:color w:val="000000"/>
          <w:sz w:val="22"/>
          <w:szCs w:val="22"/>
        </w:rPr>
      </w:pPr>
      <w:r>
        <w:rPr>
          <w:color w:val="000000"/>
          <w:sz w:val="22"/>
          <w:szCs w:val="22"/>
        </w:rPr>
        <w:t xml:space="preserve">Tests</w:t>
      </w:r>
      <w:r>
        <w:rPr>
          <w:color w:val="000000"/>
          <w:sz w:val="22"/>
          <w:szCs w:val="22"/>
        </w:rPr>
        <w:t xml:space="preserve"> were tran</w:t>
      </w:r>
      <w:commentRangeStart w:id="24"/>
      <w:r>
        <w:rPr>
          <w:color w:val="000000"/>
          <w:sz w:val="22"/>
          <w:szCs w:val="22"/>
        </w:rPr>
        <w:t xml:space="preserve">slated into Spanish when needed</w:t>
      </w:r>
      <w:commentRangeEnd w:id="24"/>
      <w:r>
        <w:commentReference w:id="24"/>
      </w:r>
      <w:r>
        <w:rPr>
          <w:color w:val="000000"/>
          <w:sz w:val="22"/>
          <w:szCs w:val="22"/>
        </w:rPr>
        <w:t xml:space="preserve">. It should be noted that translation of NEPSY-</w:t>
      </w:r>
      <w:r>
        <w:rPr>
          <w:color w:val="000000"/>
          <w:sz w:val="22"/>
          <w:szCs w:val="22"/>
        </w:rPr>
        <w:t xml:space="preserve">II</w:t>
      </w:r>
      <w:r>
        <w:rPr>
          <w:color w:val="000000"/>
          <w:sz w:val="22"/>
          <w:szCs w:val="22"/>
        </w:rPr>
        <w:t xml:space="preserve"> is relatively unaffected by language</w:t>
      </w:r>
      <w:r>
        <w:rPr>
          <w:color w:val="000000"/>
          <w:sz w:val="22"/>
          <w:szCs w:val="22"/>
        </w:rPr>
        <w:t xml:space="preserve"> </w:t>
      </w:r>
      <w:r>
        <w:rPr>
          <w:color w:val="000000"/>
          <w:sz w:val="22"/>
          <w:szCs w:val="22"/>
        </w:rPr>
        <w:fldChar w:fldCharType="begin"/>
      </w:r>
      <w:r>
        <w:rPr>
          <w:color w:val="000000"/>
          <w:sz w:val="22"/>
          <w:szCs w:val="22"/>
        </w:rPr>
        <w:instrText xml:space="preserve"> ADDIN ZOTERO_I</w:instrText>
      </w:r>
      <w:r>
        <w:rPr>
          <w:color w:val="000000"/>
          <w:sz w:val="22"/>
          <w:szCs w:val="22"/>
        </w:rPr>
        <w:instrText xml:space="preserve">TEM CSL_CITATION {"citationID":"whfOFYrz","properties":{"formattedCitation":"(Gunier, Bradman, Harley, Kogut, et al., 2017)","plainCitation":"(Gunier, Bradman, Harley, Kogut, et al., 2017)","noteIndex":0},"citationItems":[{"id":4683,"uris":["http://zotero.</w:instrText>
      </w:r>
      <w:r>
        <w:rPr>
          <w:color w:val="000000"/>
          <w:sz w:val="22"/>
          <w:szCs w:val="22"/>
        </w:rPr>
        <w:instrText xml:space="preserve">org/users/5127433/items/ALAF35J8"],"itemData":{"id":4683,"type":"article-journal","abstract":"Background:Residential proximity to agricultural pesticide use has been associated with neural tube defects and autism, but more subtle outcomes such as cognition</w:instrText>
      </w:r>
      <w:r>
        <w:rPr>
          <w:color w:val="000000"/>
          <w:sz w:val="22"/>
          <w:szCs w:val="22"/>
        </w:rPr>
        <w:instrText xml:space="preserve">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 xml:space="preserve">𝑛</w:instrText>
      </w:r>
      <w:r>
        <w:rPr>
          <w:color w:val="000000"/>
          <w:sz w:val="22"/>
          <w:szCs w:val="22"/>
        </w:rPr>
        <w:instrText xml:space="preserve">=283) living in the agricultural Salinas Valley of California enrolled in the Center for the Health Assessment of Mothers and Children of Salinas (CHAMACOS) study. We estimat</w:instrText>
      </w:r>
      <w:r>
        <w:rPr>
          <w:color w:val="000000"/>
          <w:sz w:val="22"/>
          <w:szCs w:val="22"/>
        </w:rPr>
        <w:instrText xml:space="preserve">ed agricultural pesticide use within 1 km of maternal residences during pregnancy using a geographic information system, residential location, and California’s comprehensive agricultural Pesticide Use Report data. We used regression models to evaluate pren</w:instrText>
      </w:r>
      <w:r>
        <w:rPr>
          <w:color w:val="000000"/>
          <w:sz w:val="22"/>
          <w:szCs w:val="22"/>
        </w:rPr>
        <w:instrText xml:space="preserve">atal residential proximity to agricultural use of five potentially neurotoxic pesticide groups (organophosphates, carbamates, pyrethroids, neonicotinoids, and manganese fungicides) and five individual organophosphates (acephate, chlorpyrifos, diazinon, mal</w:instrText>
      </w:r>
      <w:r>
        <w:rPr>
          <w:color w:val="000000"/>
          <w:sz w:val="22"/>
          <w:szCs w:val="22"/>
        </w:rPr>
        <w:instrText xml:space="preserve">athion, and oxydemeton-methyl) and cognition in 7-year-old children. All models included prenatal urinary dialkyl phosphate metabolite concentrations.Results:We observed a decrease of 2.2 points [95% confidence interval (CI): −3.9, −0.5] in Full-Scale IQ a</w:instrText>
      </w:r>
      <w:r>
        <w:rPr>
          <w:color w:val="000000"/>
          <w:sz w:val="22"/>
          <w:szCs w:val="22"/>
        </w:rPr>
        <w:instrText xml:space="preserve">nd 2.9 points (95% CI: −4.4, −1.3) in Verbal Comprehension for each standard deviation increase in toxicity-weighted use of organophosphate pesticides. In separate models, we observed similar decrements in Full-Scale IQ with each standard deviation increas</w:instrText>
      </w:r>
      <w:r>
        <w:rPr>
          <w:color w:val="000000"/>
          <w:sz w:val="22"/>
          <w:szCs w:val="22"/>
        </w:rPr>
        <w:instrText xml:space="preserve">e of use for two organophosphates (acephate and oxydemeton-methyl) and three neurotoxic pesticide groups (pyrethroids, neonicotinoids, and manganese fungicides).Conclusions:This study identified potential relationships between maternal residential proximit</w:instrText>
      </w:r>
      <w:r>
        <w:rPr>
          <w:color w:val="000000"/>
          <w:sz w:val="22"/>
          <w:szCs w:val="22"/>
        </w:rPr>
        <w:instrText xml:space="preserve">y to agricultural use of neurotoxic pesticides and poorer neurodevelopment in children. https://doi.org/10.1289/EHP504","container-title":"Environmental Health Perspectives","DOI":"10.1289/EHP504","issue":"5","note":"publisher: Environmental Health Perspec</w:instrText>
      </w:r>
      <w:r>
        <w:rPr>
          <w:color w:val="000000"/>
          <w:sz w:val="22"/>
          <w:szCs w:val="22"/>
        </w:rPr>
        <w:instrText xml:space="preserve">tives","page":"057002","source":"ehp.niehs.nih.gov (Atypon)","title":"Prenatal Residential Proximity to Agricultural Pesticide Use and IQ in 7-Year-Old Children","volume":"125","author":[{"family":"Gunier","given":"Robert B."},{"family":"Bradman","given":"</w:instrText>
      </w:r>
      <w:r>
        <w:rPr>
          <w:color w:val="000000"/>
          <w:sz w:val="22"/>
          <w:szCs w:val="22"/>
        </w:rPr>
        <w:instrText xml:space="preserve">Asa"},{"family":"Harley","given":"Kim G."},{"family":"Kogut","given":"Katherine"},{"family":"Eskenazi","given":"Brenda"}],"issued":{"date-parts":[["2017",5,24]]}}}],"schema":"https://github.com/citation-style-language/schema/raw/master/csl-citation.json"} </w:instrText>
      </w:r>
      <w:r>
        <w:rPr>
          <w:color w:val="000000"/>
          <w:sz w:val="22"/>
          <w:szCs w:val="22"/>
        </w:rPr>
        <w:fldChar w:fldCharType="separate"/>
      </w:r>
      <w:r>
        <w:rPr>
          <w:sz w:val="22"/>
        </w:rPr>
        <w:t xml:space="preserve">(Gunier, Bradman, Harley, Kogut, et al., 2017)</w:t>
      </w:r>
      <w:r>
        <w:rPr>
          <w:color w:val="000000"/>
          <w:sz w:val="22"/>
          <w:szCs w:val="22"/>
        </w:rPr>
        <w:fldChar w:fldCharType="end"/>
      </w:r>
      <w:r>
        <w:rPr>
          <w:color w:val="000000"/>
          <w:sz w:val="22"/>
          <w:szCs w:val="22"/>
        </w:rPr>
        <w:t xml:space="preserve">.</w:t>
      </w:r>
      <w:r>
        <w:rPr>
          <w:color w:val="c00000"/>
          <w:sz w:val="22"/>
          <w:szCs w:val="22"/>
        </w:rPr>
        <w:t xml:space="preserve"> </w:t>
      </w:r>
      <w:r>
        <w:rPr>
          <w:color w:val="c00000"/>
          <w:sz w:val="22"/>
          <w:szCs w:val="22"/>
          <w:vertAlign w:val="superscript"/>
        </w:rPr>
        <w:t xml:space="preserve"> </w:t>
      </w:r>
      <w:r>
        <w:rPr>
          <w:color w:val="000000"/>
          <w:sz w:val="22"/>
          <w:szCs w:val="22"/>
        </w:rPr>
        <w:t xml:space="preserve">Evaluations were conducted by trained examiners in a controlled and quiet setting and </w:t>
      </w:r>
      <w:r>
        <w:rPr>
          <w:color w:val="000000"/>
          <w:sz w:val="22"/>
          <w:szCs w:val="22"/>
        </w:rPr>
        <w:t xml:space="preserve">most </w:t>
      </w:r>
      <w:r>
        <w:rPr>
          <w:color w:val="000000"/>
          <w:sz w:val="22"/>
          <w:szCs w:val="22"/>
        </w:rPr>
        <w:t xml:space="preserve">assessment</w:t>
      </w:r>
      <w:r>
        <w:rPr>
          <w:color w:val="000000"/>
          <w:sz w:val="22"/>
          <w:szCs w:val="22"/>
        </w:rPr>
        <w:t xml:space="preserve">s</w:t>
      </w:r>
      <w:r>
        <w:rPr>
          <w:color w:val="000000"/>
          <w:sz w:val="22"/>
          <w:szCs w:val="22"/>
        </w:rPr>
        <w:t xml:space="preserve"> </w:t>
      </w:r>
      <w:r>
        <w:rPr>
          <w:color w:val="000000"/>
          <w:sz w:val="22"/>
          <w:szCs w:val="22"/>
        </w:rPr>
        <w:t xml:space="preserve">lasted less </w:t>
      </w:r>
      <w:r>
        <w:rPr>
          <w:color w:val="000000"/>
          <w:sz w:val="22"/>
          <w:szCs w:val="22"/>
        </w:rPr>
        <w:t xml:space="preserve">than 2 hours. A parent of the child was allowed to attend in the evaluation room</w:t>
      </w:r>
      <w:r>
        <w:rPr>
          <w:color w:val="000000"/>
          <w:sz w:val="22"/>
          <w:szCs w:val="22"/>
        </w:rPr>
        <w:t xml:space="preserve"> upon </w:t>
      </w:r>
      <w:r>
        <w:rPr>
          <w:color w:val="000000"/>
          <w:sz w:val="22"/>
          <w:szCs w:val="22"/>
        </w:rPr>
        <w:t xml:space="preserve">request,</w:t>
      </w:r>
      <w:r>
        <w:rPr>
          <w:color w:val="000000"/>
          <w:sz w:val="22"/>
          <w:szCs w:val="22"/>
        </w:rPr>
        <w:t xml:space="preserve"> but</w:t>
      </w:r>
      <w:r>
        <w:rPr>
          <w:color w:val="000000"/>
          <w:sz w:val="22"/>
          <w:szCs w:val="22"/>
        </w:rPr>
        <w:t xml:space="preserve"> </w:t>
      </w:r>
      <w:r>
        <w:rPr>
          <w:color w:val="000000"/>
          <w:sz w:val="22"/>
          <w:szCs w:val="22"/>
        </w:rPr>
        <w:t xml:space="preserve">were asked to </w:t>
      </w:r>
      <w:r>
        <w:rPr>
          <w:color w:val="000000"/>
          <w:sz w:val="22"/>
          <w:szCs w:val="22"/>
        </w:rPr>
        <w:t xml:space="preserve">remain silent and not in-sight of participant. Specific descriptions of the NEPSY-</w:t>
      </w:r>
      <w:r>
        <w:rPr>
          <w:color w:val="000000"/>
          <w:sz w:val="22"/>
          <w:szCs w:val="22"/>
        </w:rPr>
        <w:t xml:space="preserve">II</w:t>
      </w:r>
      <w:r>
        <w:rPr>
          <w:color w:val="000000"/>
          <w:sz w:val="22"/>
          <w:szCs w:val="22"/>
        </w:rPr>
        <w:t xml:space="preserve"> test, and assessment process</w:t>
      </w:r>
      <w:r>
        <w:rPr>
          <w:color w:val="000000"/>
          <w:sz w:val="22"/>
          <w:szCs w:val="22"/>
        </w:rPr>
        <w:t xml:space="preserve">es</w:t>
      </w:r>
      <w:r>
        <w:rPr>
          <w:color w:val="000000"/>
          <w:sz w:val="22"/>
          <w:szCs w:val="22"/>
        </w:rPr>
        <w:t xml:space="preserve"> </w:t>
      </w:r>
      <w:r>
        <w:rPr>
          <w:color w:val="000000"/>
          <w:sz w:val="22"/>
          <w:szCs w:val="22"/>
        </w:rPr>
        <w:t xml:space="preserve">have been previously </w:t>
      </w:r>
      <w:r>
        <w:rPr>
          <w:color w:val="000000"/>
          <w:sz w:val="22"/>
          <w:szCs w:val="22"/>
        </w:rPr>
        <w:t xml:space="preserve">described in </w:t>
      </w:r>
      <w:r>
        <w:rPr>
          <w:sz w:val="22"/>
          <w:szCs w:val="22"/>
        </w:rPr>
        <w:t xml:space="preserve">Korkman</w:t>
      </w:r>
      <w:r>
        <w:rPr>
          <w:sz w:val="22"/>
          <w:szCs w:val="22"/>
        </w:rPr>
        <w:t xml:space="preserve"> et al., </w:t>
      </w:r>
      <w:r>
        <w:rPr>
          <w:sz w:val="22"/>
          <w:szCs w:val="22"/>
        </w:rPr>
        <w:t xml:space="preserve">2007, 2013</w:t>
      </w:r>
      <w:r>
        <w:rPr>
          <w:sz w:val="22"/>
          <w:szCs w:val="22"/>
        </w:rPr>
        <w:t xml:space="preserve">, Suarez-Lopez et al., 2013 and Suarez-Lopez et al., 2017</w:t>
      </w:r>
      <w:r>
        <w:rPr>
          <w:sz w:val="22"/>
          <w:szCs w:val="22"/>
        </w:rPr>
        <w:t xml:space="preserve"> </w:t>
      </w:r>
      <w:r>
        <w:rPr>
          <w:color w:val="c00000"/>
          <w:sz w:val="22"/>
          <w:szCs w:val="22"/>
        </w:rPr>
        <w:fldChar w:fldCharType="begin"/>
      </w:r>
      <w:r>
        <w:rPr>
          <w:color w:val="c00000"/>
          <w:sz w:val="22"/>
          <w:szCs w:val="22"/>
        </w:rPr>
        <w:instrText xml:space="preserve"> ADDIN ZOTERO_ITEM CSL_CITATION {"citationID":"C0sjFKFi</w:instrText>
      </w:r>
      <w:r>
        <w:rPr>
          <w:color w:val="c00000"/>
          <w:sz w:val="22"/>
          <w:szCs w:val="22"/>
        </w:rPr>
        <w:instrText xml:space="preserve">","properties":{"formattedCitation":"(Korkman \\uc0\\u8224{} et al., 2013; Korkman et al., 2007; Suarez-Lopez et al., 2013, 2017)","plainCitation":"(Korkman † et al., 2013; Korkman et al., 2007; Suarez-Lopez et al., 2013, 2017)","noteIndex":0},"citationIte</w:instrText>
      </w:r>
      <w:r>
        <w:rPr>
          <w:color w:val="c00000"/>
          <w:sz w:val="22"/>
          <w:szCs w:val="22"/>
        </w:rPr>
        <w:instrText xml:space="preserve">ms":[{"id":4745,"uris":["http://zotero.org/users/5127433/items/KHXLLPTC"],"itemData":{"id":4745,"type":"article-journal","abstract":"Executive functions are thought to be the latest functions to mature. However, this view has not been tested by assessing s</w:instrText>
      </w:r>
      <w:r>
        <w:rPr>
          <w:color w:val="c00000"/>
          <w:sz w:val="22"/>
          <w:szCs w:val="22"/>
        </w:rPr>
        <w:instrText xml:space="preserve">imultaneously memory, perception of emotions, visuospatial perception, and visuoconstructional skills. NEPSY II norm data from 1000 5- to 16-year-old U.S. children were obtained. Fifteen NEPSY II subtests with no floor or ceiling effects in any age group a</w:instrText>
      </w:r>
      <w:r>
        <w:rPr>
          <w:color w:val="c00000"/>
          <w:sz w:val="22"/>
          <w:szCs w:val="22"/>
        </w:rPr>
        <w:instrText xml:space="preserve">nd no major changes in task type were selected. The 16-year level was attained at age 12 to 13 in all subtests with two exceptions: social perception (age 10 to 11) and narrative memory (age 14). Trend analyses showed that development was rapid in the age </w:instrText>
      </w:r>
      <w:r>
        <w:rPr>
          <w:color w:val="c00000"/>
          <w:sz w:val="22"/>
          <w:szCs w:val="22"/>
        </w:rPr>
        <w:instrText xml:space="preserve">range 5 to 9 years followed by a deceleration in the rate of development. Peak performances were reached at 14 to 16 years but later in some subtests representing executive functions, verbal memory, and visuospatial performance. Thus, the study specified d</w:instrText>
      </w:r>
      <w:r>
        <w:rPr>
          <w:color w:val="c00000"/>
          <w:sz w:val="22"/>
          <w:szCs w:val="22"/>
        </w:rPr>
        <w:instrText xml:space="preserve">evelopmental time tables of neurocognitive functions. It demonstrated that not only executive functions but also verbal memory and visuospatial performance continue to develop beyond age 16.","container-title":"Child Neuropsychology","DOI":"10.1080/0929704</w:instrText>
      </w:r>
      <w:r>
        <w:rPr>
          <w:color w:val="c00000"/>
          <w:sz w:val="22"/>
          <w:szCs w:val="22"/>
        </w:rPr>
        <w:instrText xml:space="preserve">9.2012.705822","ISSN":"0929-7049","issue":"5","note":"publisher: Routledge\n_eprint: https://doi.org/10.1080/09297049.2012.705822\nPMID: 22775769","page":"516–539","source":"Taylor and Francis+NEJM","title":"Neurocognitive development in 5- to 16-year-old </w:instrText>
      </w:r>
      <w:r>
        <w:rPr>
          <w:color w:val="c00000"/>
          <w:sz w:val="22"/>
          <w:szCs w:val="22"/>
        </w:rPr>
        <w:instrText xml:space="preserve">North American children: A cross-sectional study","title-short":"Neurocognitive development in 5- to 16-year-old North American children","volume":"19","author":[{"family":"Korkman †","given":"Marit"},{"family":"Lahti-Nuuttila","given":"Pekka"},{"family":"</w:instrText>
      </w:r>
      <w:r>
        <w:rPr>
          <w:color w:val="c00000"/>
          <w:sz w:val="22"/>
          <w:szCs w:val="22"/>
        </w:rPr>
        <w:instrText xml:space="preserve">Laasonen","given":"Marja"},{"family":"Kemp","given":"Sally L."},{"family":"Holdnack","given":"James"}],"issued":{"date-parts":[["2013",9,1]]}}},{"id":4700,"uris":["http://zotero.org/users/5127433/items/W586NP5X"],"itemData":{"id":4700,"type":"book","editio</w:instrText>
      </w:r>
      <w:r>
        <w:rPr>
          <w:color w:val="c00000"/>
          <w:sz w:val="22"/>
          <w:szCs w:val="22"/>
        </w:rPr>
        <w:instrText xml:space="preserve">n":"Second Edition","publisher":"The Psychological Corporation","title":"NEPSY II: Clinical and Interpretive Manual","author":[{"family":"Korkman","given":"Marit"},{"family":"Kirk","given":"Ursula"},{"family":"Kemp","given":"Sally"}],"issued":{"date-parts"</w:instrText>
      </w:r>
      <w:r>
        <w:rPr>
          <w:color w:val="c00000"/>
          <w:sz w:val="22"/>
          <w:szCs w:val="22"/>
        </w:rPr>
        <w:instrText xml:space="preserve">:[["2007"]]}}},{"id":4725,"uris":["http://zotero.org/users/5127433/items/IN2Y92U5"],"itemData":{"id":4725,"type":"article-journal","container-title":"Pediatrics","DOI":"https://doi.org/10.1542/peds.2013-0108","issue":"6","page":"e1649-e1658","title":"Acety</w:instrText>
      </w:r>
      <w:r>
        <w:rPr>
          <w:color w:val="c00000"/>
          <w:sz w:val="22"/>
          <w:szCs w:val="22"/>
        </w:rPr>
        <w:instrText xml:space="preserve">lcholinesterase Activity and Neurodevelopment in Boys and Girls | Pediatrics | American Academy of Pediatrics","volume":"132","author":[{"family":"Suarez-Lopez","given":"Jose R."},{"family":"Himes","given":"John H."},{"family":"Jacobs","given":"David R."},</w:instrText>
      </w:r>
      <w:r>
        <w:rPr>
          <w:color w:val="c00000"/>
          <w:sz w:val="22"/>
          <w:szCs w:val="22"/>
        </w:rPr>
        <w:instrText xml:space="preserve">{"family":"Alexander","given":"Bruce H."},{"family":"Gunnar","given":"Megan R."}],"issued":{"date-parts":[["2013"]]}}},{"id":"O8yTnQIp/YGP0ry9X","uris":["http://zotero.org/users/5127433/items/L652X4LT"],"itemData":{"id":4722,"type":"article-journal","abstr</w:instrText>
      </w:r>
      <w:r>
        <w:rPr>
          <w:color w:val="c00000"/>
          <w:sz w:val="22"/>
          <w:szCs w:val="22"/>
        </w:rPr>
        <w:instrText xml:space="preserve">act":"Background\nExposures to cholinesterase inhibitor pesticides (e.g. organophosphates) have been associated with children's neurobehavioral alterations, including attention deficit and impulsivity. Animal studies have observed transient alterations in </w:instrText>
      </w:r>
      <w:r>
        <w:rPr>
          <w:color w:val="c00000"/>
          <w:sz w:val="22"/>
          <w:szCs w:val="22"/>
        </w:rPr>
        <w:instrText xml:space="preserve">neurobehavioral performance in relation to cholinesterase inhibitor pesticide exposures; however, limited evidence exists regarding transient effects in humans.\n\nMethods\nWe estimated the associations between neurobehavioral performance and time after Mo</w:instrText>
      </w:r>
      <w:r>
        <w:rPr>
          <w:color w:val="c00000"/>
          <w:sz w:val="22"/>
          <w:szCs w:val="22"/>
        </w:rPr>
        <w:instrText xml:space="preserve">ther's Day flower harvest (the end of a heightened pesticide usage period) among 308 4-to 9-year-old children living in floricultural communities in Ecuador in 2008 who participated in the ESPINA study. Children's neurobehavior was examined once (NEPSY-II:</w:instrText>
      </w:r>
      <w:r>
        <w:rPr>
          <w:color w:val="c00000"/>
          <w:sz w:val="22"/>
          <w:szCs w:val="22"/>
        </w:rPr>
        <w:instrText xml:space="preserve"> 11 subtests covering 5 domains), between 63-100 days (SD: 10.8 days) after Mother's Day harvest (blood acetylcholinesterase activity levels can take 82 days to normalize after irreversible inhibition with organophosphates).\n\nResults\nThe mean (SD) neuro</w:instrText>
      </w:r>
      <w:r>
        <w:rPr>
          <w:color w:val="c00000"/>
          <w:sz w:val="22"/>
          <w:szCs w:val="22"/>
        </w:rPr>
        <w:instrText xml:space="preserve">behavioral scaled scores across domains ranged from 6.6 (2.4) to 9.9 (3.3); higher values reflect greater performance. Children examined sooner after Mother's Day had lower neurobehavioral scores than children examined later, in the domains of (score diffe</w:instrText>
      </w:r>
      <w:r>
        <w:rPr>
          <w:color w:val="c00000"/>
          <w:sz w:val="22"/>
          <w:szCs w:val="22"/>
          <w:lang w:val="es-MX"/>
        </w:rPr>
        <w:instrText xml:space="preserve">rence per 10.8 days, 95%CI): Attention/Inhibitory Control (0.38, 0.10-0.65), Visuospatial Processing (0.60, 0.25-0.95) and Sensorimotor (0.43, 0.10-0.77). Scores were higher with longer time post-harvest among girls (vs</w:instrText>
      </w:r>
      <w:r>
        <w:rPr>
          <w:color w:val="c00000"/>
          <w:sz w:val="22"/>
          <w:szCs w:val="22"/>
          <w:lang w:val="es-MX"/>
        </w:rPr>
        <w:instrText xml:space="preserve">. boys) in Attention/Inhibitory Control.\n\nConclusions\nOur findings, although cross-sectional, are among the first in non-worker children to suggest that a peak pesticide use period may transiently affect neurobehavioral performance, as children examined</w:instrText>
      </w:r>
      <w:r>
        <w:rPr>
          <w:color w:val="c00000"/>
          <w:sz w:val="22"/>
          <w:szCs w:val="22"/>
          <w:lang w:val="es-MX"/>
        </w:rPr>
        <w:instrText xml:space="preserve"> sooner after the flower harvest had lower neurobehavioral performance than children examined later. Studies assessing pre- and post-exposure measures are needed.","container-title":"Neurotoxicology","DOI":"10.1016/j.neuro.2017.02.002","ISSN":"0161-813X","</w:instrText>
      </w:r>
      <w:r>
        <w:rPr>
          <w:color w:val="c00000"/>
          <w:sz w:val="22"/>
          <w:szCs w:val="22"/>
          <w:lang w:val="es-MX"/>
        </w:rPr>
        <w:instrText xml:space="preserve">journalAbbreviation":"Neurotoxicology","note":"PMID: 28188819\nPMCID: PMC5447476","page":"125-133","source":"PubMed Central","title":"Potential short-term neurobehavioral alterations in children associated with a peak pesticide spray season: The Mother's D</w:instrText>
      </w:r>
      <w:r>
        <w:rPr>
          <w:color w:val="c00000"/>
          <w:sz w:val="22"/>
          <w:szCs w:val="22"/>
          <w:lang w:val="es-MX"/>
        </w:rPr>
        <w:instrText xml:space="preserve">ay flower harvest in Ecuador","title-short":"Potential short-term neurobehavioral alterations in children associated with a peak pesticide spray season","volume":"60","author":[{"family":"Suarez-Lopez","given":"Jose R."},{"family":"Checkoway","given":"Harv</w:instrText>
      </w:r>
      <w:r>
        <w:rPr>
          <w:color w:val="c00000"/>
          <w:sz w:val="22"/>
          <w:szCs w:val="22"/>
          <w:lang w:val="es-MX"/>
        </w:rPr>
        <w:instrText xml:space="preserve">ey"},{"family":"Jacobs","given":"David R."},{"family":"Al-Delaimy","given":"Wael K."},{"family":"Gahagan","given":"Sheila"}],"issued":{"date-parts":[["2017",5]]}}}],"schema":"https://github.com/citation-style-language/schema/raw/master/csl-citation.json"} </w:instrText>
      </w:r>
      <w:r>
        <w:rPr>
          <w:color w:val="c00000"/>
          <w:sz w:val="22"/>
          <w:szCs w:val="22"/>
        </w:rPr>
        <w:fldChar w:fldCharType="separate"/>
      </w:r>
      <w:r>
        <w:rPr>
          <w:sz w:val="22"/>
          <w:lang w:val="es-MX"/>
        </w:rPr>
        <w:t xml:space="preserve">(Korkman et al., 2013; Korkman et al., 2007; Suarez-Lopez et al., 2013, 2017)</w:t>
      </w:r>
      <w:r>
        <w:rPr>
          <w:color w:val="c00000"/>
          <w:sz w:val="22"/>
          <w:szCs w:val="22"/>
        </w:rPr>
        <w:fldChar w:fldCharType="end"/>
      </w:r>
      <w:r>
        <w:rPr>
          <w:color w:val="000000"/>
          <w:sz w:val="22"/>
          <w:szCs w:val="22"/>
          <w:lang w:val="es-MX"/>
        </w:rPr>
        <w:t xml:space="preserve">. </w:t>
      </w:r>
      <w:r>
        <w:rPr>
          <w:color w:val="000000"/>
          <w:sz w:val="22"/>
          <w:szCs w:val="22"/>
        </w:rPr>
        <w:t xml:space="preserve">Subtest scaled scores were calculated using </w:t>
      </w:r>
      <w:r>
        <w:rPr>
          <w:color w:val="000000"/>
          <w:sz w:val="22"/>
          <w:szCs w:val="22"/>
        </w:rPr>
        <w:t xml:space="preserve">the </w:t>
      </w:r>
      <w:r>
        <w:rPr>
          <w:color w:val="000000"/>
          <w:sz w:val="22"/>
          <w:szCs w:val="22"/>
        </w:rPr>
        <w:t xml:space="preserve">NEPSY-</w:t>
      </w:r>
      <w:r>
        <w:rPr>
          <w:color w:val="000000"/>
          <w:sz w:val="22"/>
          <w:szCs w:val="22"/>
        </w:rPr>
        <w:t xml:space="preserve">II</w:t>
      </w:r>
      <w:r>
        <w:rPr>
          <w:color w:val="000000"/>
          <w:sz w:val="22"/>
          <w:szCs w:val="22"/>
        </w:rPr>
        <w:t xml:space="preserve"> scoring assistant software </w:t>
      </w:r>
      <w:r>
        <w:rPr>
          <w:color w:val="000000"/>
          <w:sz w:val="22"/>
          <w:szCs w:val="22"/>
        </w:rPr>
        <w:t xml:space="preserve">(</w:t>
      </w:r>
      <w:r>
        <w:rPr>
          <w:color w:val="000000"/>
          <w:sz w:val="22"/>
          <w:szCs w:val="22"/>
        </w:rPr>
        <w:t xml:space="preserve">NCS Pearson Inc., San Antonio, TX</w:t>
      </w:r>
      <w:r>
        <w:rPr>
          <w:color w:val="000000"/>
          <w:sz w:val="22"/>
          <w:szCs w:val="22"/>
        </w:rPr>
        <w:t xml:space="preserve">)</w:t>
      </w:r>
      <w:r>
        <w:rPr>
          <w:color w:val="000000"/>
          <w:sz w:val="22"/>
          <w:szCs w:val="22"/>
        </w:rPr>
        <w:t xml:space="preserve">. The scaled scores range from 1 to 19 (mean=10, SD=3). A higher score on the NEPSY-</w:t>
      </w:r>
      <w:r>
        <w:rPr>
          <w:color w:val="000000"/>
          <w:sz w:val="22"/>
          <w:szCs w:val="22"/>
        </w:rPr>
        <w:t xml:space="preserve">II</w:t>
      </w:r>
      <w:r>
        <w:rPr>
          <w:color w:val="000000"/>
          <w:sz w:val="22"/>
          <w:szCs w:val="22"/>
        </w:rPr>
        <w:t xml:space="preserve"> indicates better neurobehavioral performance, where scores 13 to 19 is “above expected”, 8 to 12 is “at expected”, 6 to 7 is “borderline” and less than 6 is “below expected” </w:t>
      </w:r>
      <w:r>
        <w:rPr>
          <w:color w:val="000000"/>
          <w:sz w:val="22"/>
          <w:szCs w:val="22"/>
        </w:rPr>
        <w:fldChar w:fldCharType="begin"/>
      </w:r>
      <w:r>
        <w:rPr>
          <w:color w:val="000000"/>
          <w:sz w:val="22"/>
          <w:szCs w:val="22"/>
        </w:rPr>
        <w:instrText xml:space="preserve"> ADDIN ZOTERO_ITEM CSL_CITATION {"citationID":"lA1y2HVM","properties":{"formattedCitation":"(Kor</w:instrText>
      </w:r>
      <w:r>
        <w:rPr>
          <w:color w:val="000000"/>
          <w:sz w:val="22"/>
          <w:szCs w:val="22"/>
        </w:rPr>
        <w:instrText xml:space="preserve">kman \\uc0\\u8224{} et al., 2013; Korkman et al., 2007)","plainCitation":"(Korkman † et al., 2013; Korkman et al., 2007)","noteIndex":0},"citationItems":[{"id":4745,"uris":["http://zotero.org/users/5127433/items/KHXLLPTC"],"itemData":{"id":4745,"type":"art</w:instrText>
      </w:r>
      <w:r>
        <w:rPr>
          <w:color w:val="000000"/>
          <w:sz w:val="22"/>
          <w:szCs w:val="22"/>
        </w:rPr>
        <w:instrText xml:space="preserve">icle-journal","abstract":"Executive functions are thought to be the latest functions to mature. However, this view has not been tested by assessing simultaneously memory, perception of emotions, visuospatial perception, and visuoconstructional skills. NEPS</w:instrText>
      </w:r>
      <w:r>
        <w:rPr>
          <w:color w:val="000000"/>
          <w:sz w:val="22"/>
          <w:szCs w:val="22"/>
        </w:rPr>
        <w:instrText xml:space="preserve">Y II norm data from 1000 5- to 16-year-old U.S. children were obtained. Fifteen NEPSY II subtests with no floor or ceiling effects in any age group and no major changes in task type were selected. The 16-year level was attained at age 12 to 13 in all subte</w:instrText>
      </w:r>
      <w:r>
        <w:rPr>
          <w:color w:val="000000"/>
          <w:sz w:val="22"/>
          <w:szCs w:val="22"/>
        </w:rPr>
        <w:instrText xml:space="preserve">sts with two exceptions: social perception (age 10 to 11) and narrative memory (age 14). Trend analyses showed that development was rapid in the age range 5 to 9 years followed by a deceleration in the rate of development. Peak performances were reached at</w:instrText>
      </w:r>
      <w:r>
        <w:rPr>
          <w:color w:val="000000"/>
          <w:sz w:val="22"/>
          <w:szCs w:val="22"/>
        </w:rPr>
        <w:instrText xml:space="preserve"> 14 to 16 years but later in some subtests representing executive functions, verbal memory, and visuospatial performance. Thus, the study specified developmental time tables of neurocognitive functions. It demonstrated that not only executive functions but</w:instrText>
      </w:r>
      <w:r>
        <w:rPr>
          <w:color w:val="000000"/>
          <w:sz w:val="22"/>
          <w:szCs w:val="22"/>
        </w:rPr>
        <w:instrText xml:space="preserve"> also verbal memory and visuospatial performance continue to develop beyond age 16.","container-title":"Child Neuropsychology","DOI":"10.1080/09297049.2012.705822","ISSN":"0929-7049","issue":"5","note":"publisher: Routledge\n_eprint: https://doi.org/10.108</w:instrText>
      </w:r>
      <w:r>
        <w:rPr>
          <w:color w:val="000000"/>
          <w:sz w:val="22"/>
          <w:szCs w:val="22"/>
        </w:rPr>
        <w:instrText xml:space="preserve">0/09297049.2012.705822\nPMID: 22775769","page":"516–539","source":"Taylor and Francis+NEJM","title":"Neurocognitive development in 5- to 16-year-old North American children: A cross-sectional study","title-short":"Neurocognitive development in 5- to 16-yea</w:instrText>
      </w:r>
      <w:r>
        <w:rPr>
          <w:color w:val="000000"/>
          <w:sz w:val="22"/>
          <w:szCs w:val="22"/>
        </w:rPr>
        <w:instrText xml:space="preserve">r-old North American children","volume":"19","author":[{"family":"Korkman †","given":"Marit"},{"family":"Lahti-Nuuttila","given":"Pekka"},{"family":"Laasonen","given":"Marja"},{"family":"Kemp","given":"Sally L."},{"family":"Holdnack","given":"James"}],"iss</w:instrText>
      </w:r>
      <w:r>
        <w:rPr>
          <w:color w:val="000000"/>
          <w:sz w:val="22"/>
          <w:szCs w:val="22"/>
        </w:rPr>
        <w:instrText xml:space="preserve">ued":{"date-parts":[["2013",9,1]]}}},{"id":4700,"uris":["http://zotero.org/users/5127433/items/W586NP5X"],"itemData":{"id":4700,"type":"book","edition":"Second Edition","publisher":"The Psychological Corporation","title":"NEPSY II: Clinical and Interpretiv</w:instrText>
      </w:r>
      <w:r>
        <w:rPr>
          <w:color w:val="000000"/>
          <w:sz w:val="22"/>
          <w:szCs w:val="22"/>
        </w:rPr>
        <w:instrText xml:space="preserve">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 xml:space="preserve">(Korkman † et al., 2013; Korkman et al., 2007)</w:t>
      </w:r>
      <w:r>
        <w:rPr>
          <w:color w:val="000000"/>
          <w:sz w:val="22"/>
          <w:szCs w:val="22"/>
        </w:rPr>
        <w:fldChar w:fldCharType="end"/>
      </w:r>
      <w:r>
        <w:rPr>
          <w:color w:val="000000"/>
          <w:sz w:val="22"/>
          <w:szCs w:val="22"/>
        </w:rPr>
        <w:t xml:space="preserve">.</w:t>
      </w:r>
      <w:r>
        <w:rPr>
          <w:color w:val="c00000"/>
          <w:sz w:val="22"/>
          <w:szCs w:val="22"/>
          <w:vertAlign w:val="superscript"/>
        </w:rPr>
        <w:t xml:space="preserve"> </w:t>
      </w:r>
      <w:r>
        <w:rPr>
          <w:color w:val="000000"/>
          <w:sz w:val="22"/>
          <w:szCs w:val="22"/>
        </w:rPr>
        <w:t xml:space="preserve">Averages of subtest scores </w:t>
      </w:r>
      <w:r>
        <w:rPr>
          <w:color w:val="000000"/>
          <w:sz w:val="22"/>
          <w:szCs w:val="22"/>
        </w:rPr>
        <w:t xml:space="preserve">were</w:t>
      </w:r>
      <w:r>
        <w:rPr>
          <w:color w:val="000000"/>
          <w:sz w:val="22"/>
          <w:szCs w:val="22"/>
        </w:rPr>
        <w:t xml:space="preserve"> used for subtests that comprise of more than one primary scaled </w:t>
      </w:r>
      <w:r>
        <w:rPr>
          <w:color w:val="000000"/>
          <w:sz w:val="22"/>
          <w:szCs w:val="22"/>
        </w:rPr>
        <w:t xml:space="preserve">score (such as inhibition), while scores </w:t>
      </w:r>
      <w:r>
        <w:rPr>
          <w:color w:val="000000"/>
          <w:sz w:val="22"/>
          <w:szCs w:val="22"/>
        </w:rPr>
        <w:t xml:space="preserve">were</w:t>
      </w:r>
      <w:r>
        <w:rPr>
          <w:color w:val="000000"/>
          <w:sz w:val="22"/>
          <w:szCs w:val="22"/>
        </w:rPr>
        <w:t xml:space="preserve"> combined for subtests with either correct and error components (such as auditory attention and response) or time and error components (such as speed naming). The total neurobehavioral score </w:t>
      </w:r>
      <w:r>
        <w:rPr>
          <w:color w:val="000000"/>
          <w:sz w:val="22"/>
          <w:szCs w:val="22"/>
        </w:rPr>
        <w:t xml:space="preserve">was</w:t>
      </w:r>
      <w:r>
        <w:rPr>
          <w:color w:val="000000"/>
          <w:sz w:val="22"/>
          <w:szCs w:val="22"/>
        </w:rPr>
        <w:t xml:space="preserve"> calculated as the average of primary scores for all </w:t>
      </w:r>
      <w:r>
        <w:rPr>
          <w:color w:val="000000"/>
          <w:sz w:val="22"/>
          <w:szCs w:val="22"/>
        </w:rPr>
        <w:t xml:space="preserve">12</w:t>
      </w:r>
      <w:r>
        <w:rPr>
          <w:color w:val="000000"/>
          <w:sz w:val="22"/>
          <w:szCs w:val="22"/>
        </w:rPr>
        <w:t xml:space="preserve"> subtests. </w:t>
      </w:r>
      <w:r>
        <w:rPr>
          <w:color w:val="000000"/>
          <w:sz w:val="22"/>
          <w:szCs w:val="22"/>
        </w:rPr>
        <w:t xml:space="preserve">To</w:t>
      </w:r>
      <w:r>
        <w:rPr>
          <w:color w:val="000000"/>
          <w:sz w:val="22"/>
          <w:szCs w:val="22"/>
        </w:rPr>
        <w:t xml:space="preserve"> reduce </w:t>
      </w:r>
      <w:r>
        <w:rPr>
          <w:color w:val="000000"/>
          <w:sz w:val="22"/>
          <w:szCs w:val="22"/>
        </w:rPr>
        <w:t xml:space="preserve">the </w:t>
      </w:r>
      <w:r>
        <w:rPr>
          <w:color w:val="000000"/>
          <w:sz w:val="22"/>
          <w:szCs w:val="22"/>
        </w:rPr>
        <w:t xml:space="preserve">number of tested associations and type 1 errors, the domain score and total neurobehavioral score were used as primary measures of neurobehavioral performance.</w:t>
      </w:r>
      <w:r>
        <w:rPr>
          <w:color w:val="000000"/>
          <w:sz w:val="22"/>
          <w:szCs w:val="22"/>
        </w:rPr>
      </w:r>
    </w:p>
    <w:p>
      <w:pPr>
        <w:pBdr/>
        <w:spacing/>
        <w:ind/>
        <w:jc w:val="both"/>
        <w:rPr>
          <w:ins w:id="2" w:author=""/>
          <w:color w:val="000000"/>
          <w:sz w:val="22"/>
          <w:szCs w:val="22"/>
        </w:rPr>
      </w:pPr>
      <w:r/>
      <w:r/>
      <w:commentRangeStart w:id="25"/>
      <w:ins w:id="3">
        <w:r/>
      </w:ins>
      <w:commentRangeEnd w:id="25"/>
      <w:r>
        <w:commentReference w:id="25"/>
      </w:r>
      <w:ins w:id="4">
        <w:r/>
      </w:ins>
      <w:commentRangeStart w:id="26"/>
      <w:ins w:id="5">
        <w:r/>
      </w:ins>
      <w:commentRangeEnd w:id="26"/>
      <w:r>
        <w:commentReference w:id="26"/>
      </w:r>
      <w:r>
        <w:rPr>
          <w:color w:val="000000"/>
          <w:sz w:val="22"/>
          <w:szCs w:val="22"/>
        </w:rPr>
      </w:r>
      <w:ins w:id="6">
        <w:r>
          <w:rPr>
            <w:color w:val="000000"/>
            <w:sz w:val="22"/>
            <w:szCs w:val="22"/>
          </w:rPr>
        </w:r>
      </w:ins>
    </w:p>
    <w:p>
      <w:pPr>
        <w:pBdr/>
        <w:spacing/>
        <w:ind/>
        <w:jc w:val="both"/>
        <w:rPr>
          <w:color w:val="000000"/>
          <w:sz w:val="22"/>
          <w:szCs w:val="22"/>
        </w:rPr>
      </w:pPr>
      <w:r>
        <w:rPr>
          <w:color w:val="000000"/>
          <w:sz w:val="22"/>
          <w:szCs w:val="22"/>
        </w:rPr>
        <w:t xml:space="preserve">2.</w:t>
      </w:r>
      <w:r>
        <w:rPr>
          <w:color w:val="000000"/>
          <w:sz w:val="22"/>
          <w:szCs w:val="22"/>
        </w:rPr>
        <w:t xml:space="preserve">4</w:t>
      </w:r>
      <w:r>
        <w:rPr>
          <w:color w:val="000000"/>
          <w:sz w:val="22"/>
          <w:szCs w:val="22"/>
        </w:rPr>
        <w:t xml:space="preserve"> </w:t>
      </w:r>
      <w:r>
        <w:rPr>
          <w:color w:val="000000"/>
          <w:sz w:val="22"/>
          <w:szCs w:val="22"/>
        </w:rPr>
        <w:t xml:space="preserve">Geographical variables </w:t>
      </w:r>
      <w:r>
        <w:rPr>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2"/>
          <w:szCs w:val="22"/>
        </w:rPr>
      </w:pPr>
      <w:r>
        <w:rPr>
          <w:color w:val="000000"/>
          <w:sz w:val="22"/>
          <w:szCs w:val="22"/>
        </w:rPr>
        <w:t xml:space="preserve">To assess the proximity of children’s homes to the nearest floricultural crops, geographic coordinates of residences in Pedro </w:t>
      </w:r>
      <w:r>
        <w:rPr>
          <w:color w:val="000000"/>
          <w:sz w:val="22"/>
          <w:szCs w:val="22"/>
        </w:rPr>
        <w:t xml:space="preserve">Moncayo</w:t>
      </w:r>
      <w:r>
        <w:rPr>
          <w:color w:val="000000"/>
          <w:sz w:val="22"/>
          <w:szCs w:val="22"/>
        </w:rPr>
        <w:t xml:space="preserve"> County were collected using portable GPS receiver</w:t>
      </w:r>
      <w:r>
        <w:rPr>
          <w:color w:val="000000"/>
          <w:sz w:val="22"/>
          <w:szCs w:val="22"/>
        </w:rPr>
        <w:t xml:space="preserve">s </w:t>
      </w:r>
      <w:r>
        <w:rPr>
          <w:color w:val="000000"/>
          <w:sz w:val="22"/>
          <w:szCs w:val="22"/>
        </w:rPr>
        <w:t xml:space="preserve">as part of the Fundación </w:t>
      </w:r>
      <w:r>
        <w:rPr>
          <w:color w:val="000000"/>
          <w:sz w:val="22"/>
          <w:szCs w:val="22"/>
        </w:rPr>
        <w:t xml:space="preserve">Cimas</w:t>
      </w:r>
      <w:r>
        <w:rPr>
          <w:color w:val="000000"/>
          <w:sz w:val="22"/>
          <w:szCs w:val="22"/>
        </w:rPr>
        <w:t xml:space="preserve"> del Ecuador's System of Local and Community Information (Sistema de </w:t>
      </w:r>
      <w:r>
        <w:rPr>
          <w:color w:val="000000"/>
          <w:sz w:val="22"/>
          <w:szCs w:val="22"/>
        </w:rPr>
        <w:t xml:space="preserve">Información</w:t>
      </w:r>
      <w:r>
        <w:rPr>
          <w:color w:val="000000"/>
          <w:sz w:val="22"/>
          <w:szCs w:val="22"/>
        </w:rPr>
        <w:t xml:space="preserve"> Local y </w:t>
      </w:r>
      <w:r>
        <w:rPr>
          <w:color w:val="000000"/>
          <w:sz w:val="22"/>
          <w:szCs w:val="22"/>
        </w:rPr>
        <w:t xml:space="preserve">Comunitario</w:t>
      </w:r>
      <w:r>
        <w:rPr>
          <w:color w:val="000000"/>
          <w:sz w:val="22"/>
          <w:szCs w:val="22"/>
        </w:rPr>
        <w:t xml:space="preserve"> [SILC]). Floriculture plantation boundaries were delineated as polygons using satellite imagery </w:t>
      </w:r>
      <w:commentRangeStart w:id="27"/>
      <w:commentRangeStart w:id="28"/>
      <w:r>
        <w:rPr>
          <w:color w:val="000000"/>
          <w:sz w:val="22"/>
          <w:szCs w:val="22"/>
        </w:rPr>
        <w:t xml:space="preserve">(Suarez-Lopez et al., 2018)</w:t>
      </w:r>
      <w:commentRangeEnd w:id="27"/>
      <w:commentRangeEnd w:id="28"/>
      <w:r>
        <w:commentReference w:id="27"/>
        <w:commentReference w:id="28"/>
      </w:r>
      <w:r>
        <w:rPr>
          <w:color w:val="000000"/>
          <w:sz w:val="22"/>
          <w:szCs w:val="22"/>
        </w:rPr>
        <w:t xml:space="preserve">. The distance between each participant’s home and the nearest plantation edge was calculated using ArcGIS 9.3 (Esri, Redlands, CA).</w:t>
      </w:r>
      <w:r>
        <w:rPr>
          <w:color w:val="000000"/>
          <w:sz w:val="22"/>
          <w:szCs w:val="22"/>
        </w:rPr>
        <w:t xml:space="preserve"> </w:t>
      </w:r>
      <w:r>
        <w:rPr>
          <w:color w:val="000000"/>
          <w:sz w:val="22"/>
          <w:szCs w:val="22"/>
        </w:rPr>
        <w:t xml:space="preserve">To calculate greenhouse area</w:t>
      </w:r>
      <w:r>
        <w:rPr>
          <w:color w:val="000000"/>
          <w:sz w:val="22"/>
          <w:szCs w:val="22"/>
        </w:rPr>
        <w:t xml:space="preserve">s near homes</w:t>
      </w:r>
      <w:r>
        <w:rPr>
          <w:color w:val="000000"/>
          <w:sz w:val="22"/>
          <w:szCs w:val="22"/>
        </w:rPr>
        <w:t xml:space="preserve">, w</w:t>
      </w:r>
      <w:r>
        <w:rPr>
          <w:color w:val="000000"/>
          <w:sz w:val="22"/>
          <w:szCs w:val="22"/>
        </w:rPr>
        <w:t xml:space="preserve">e determined the total surface area (in </w:t>
      </w:r>
      <w:r>
        <w:rPr>
          <w:color w:val="000000"/>
          <w:sz w:val="22"/>
          <w:szCs w:val="22"/>
        </w:rPr>
        <w:t xml:space="preserve">m</w:t>
      </w:r>
      <w:r>
        <w:rPr>
          <w:color w:val="000000"/>
          <w:sz w:val="22"/>
          <w:szCs w:val="22"/>
          <w:vertAlign w:val="superscript"/>
        </w:rPr>
        <w:t xml:space="preserve">2</w:t>
      </w:r>
      <w:r>
        <w:rPr>
          <w:color w:val="000000"/>
          <w:sz w:val="22"/>
          <w:szCs w:val="22"/>
        </w:rPr>
        <w:t xml:space="preserve">) of floricultural </w:t>
      </w:r>
      <w:commentRangeStart w:id="29"/>
      <w:r>
        <w:rPr>
          <w:color w:val="000000"/>
          <w:sz w:val="22"/>
          <w:szCs w:val="22"/>
        </w:rPr>
        <w:t xml:space="preserve">greenhouses </w:t>
      </w:r>
      <w:commentRangeEnd w:id="29"/>
      <w:r>
        <w:commentReference w:id="29"/>
      </w:r>
      <w:r>
        <w:rPr>
          <w:color w:val="000000"/>
          <w:sz w:val="22"/>
          <w:szCs w:val="22"/>
        </w:rPr>
        <w:t xml:space="preserve">within </w:t>
      </w:r>
      <w:r>
        <w:rPr>
          <w:color w:val="000000"/>
          <w:sz w:val="22"/>
          <w:szCs w:val="22"/>
        </w:rPr>
        <w:t xml:space="preserve">buffer</w:t>
      </w:r>
      <w:r>
        <w:rPr>
          <w:color w:val="000000"/>
          <w:sz w:val="22"/>
          <w:szCs w:val="22"/>
        </w:rPr>
        <w:t xml:space="preserve">s of </w:t>
      </w:r>
      <w:r>
        <w:rPr>
          <w:color w:val="000000"/>
          <w:sz w:val="22"/>
          <w:szCs w:val="22"/>
        </w:rPr>
        <w:t xml:space="preserve">(100 m, 150 m, 200 m, 300 m, and 500 m) </w:t>
      </w:r>
      <w:r>
        <w:rPr>
          <w:color w:val="000000"/>
          <w:sz w:val="22"/>
          <w:szCs w:val="22"/>
        </w:rPr>
        <w:t xml:space="preserve">around </w:t>
      </w:r>
      <w:r>
        <w:rPr>
          <w:color w:val="000000"/>
          <w:sz w:val="22"/>
          <w:szCs w:val="22"/>
        </w:rPr>
        <w:t xml:space="preserve">children’s </w:t>
      </w:r>
      <w:r>
        <w:rPr>
          <w:color w:val="000000"/>
          <w:sz w:val="22"/>
          <w:szCs w:val="22"/>
        </w:rPr>
        <w:t xml:space="preserve">homes</w:t>
      </w:r>
      <w:r>
        <w:rPr>
          <w:color w:val="000000"/>
          <w:sz w:val="22"/>
          <w:szCs w:val="22"/>
        </w:rPr>
        <w:t xml:space="preserve"> </w:t>
      </w:r>
      <w:r>
        <w:rPr>
          <w:color w:val="000000"/>
          <w:sz w:val="22"/>
          <w:szCs w:val="22"/>
        </w:rPr>
        <w:t xml:space="preserve">using </w:t>
      </w:r>
      <w:r>
        <w:rPr>
          <w:color w:val="000000"/>
          <w:sz w:val="22"/>
          <w:szCs w:val="22"/>
        </w:rPr>
        <w:t xml:space="preserve">ArcGIS.</w:t>
      </w:r>
      <w:r>
        <w:rPr>
          <w:color w:val="000000"/>
          <w:sz w:val="22"/>
          <w:szCs w:val="22"/>
        </w:rPr>
        <w:t xml:space="preserve"> </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2.</w:t>
      </w:r>
      <w:r>
        <w:rPr>
          <w:color w:val="000000"/>
          <w:sz w:val="22"/>
          <w:szCs w:val="22"/>
        </w:rPr>
        <w:t xml:space="preserve">5</w:t>
      </w:r>
      <w:r>
        <w:rPr>
          <w:color w:val="000000"/>
          <w:sz w:val="22"/>
          <w:szCs w:val="22"/>
        </w:rPr>
        <w:t xml:space="preserve"> </w:t>
      </w:r>
      <w:r>
        <w:rPr>
          <w:color w:val="000000"/>
          <w:sz w:val="22"/>
          <w:szCs w:val="22"/>
        </w:rPr>
        <w:t xml:space="preserve">Other C</w:t>
      </w:r>
      <w:r>
        <w:rPr>
          <w:color w:val="000000"/>
          <w:sz w:val="22"/>
          <w:szCs w:val="22"/>
        </w:rPr>
        <w:t xml:space="preserve">ovariables</w:t>
      </w:r>
      <w:r>
        <w:rPr>
          <w:color w:val="000000"/>
          <w:sz w:val="22"/>
          <w:szCs w:val="22"/>
        </w:rPr>
      </w:r>
    </w:p>
    <w:p>
      <w:pPr>
        <w:pBdr/>
        <w:spacing/>
        <w:ind w:firstLine="720"/>
        <w:jc w:val="both"/>
        <w:rPr>
          <w:color w:val="000000"/>
          <w:sz w:val="22"/>
          <w:szCs w:val="22"/>
        </w:rPr>
      </w:pPr>
      <w:r>
        <w:rPr>
          <w:color w:val="000000"/>
          <w:sz w:val="22"/>
          <w:szCs w:val="22"/>
        </w:rPr>
        <w:t xml:space="preserve">Demographic variables included age, ethnicity (</w:t>
      </w:r>
      <w:r>
        <w:rPr>
          <w:color w:val="000000"/>
          <w:sz w:val="22"/>
          <w:szCs w:val="22"/>
        </w:rPr>
        <w:t xml:space="preserve">I</w:t>
      </w:r>
      <w:r>
        <w:rPr>
          <w:color w:val="000000"/>
          <w:sz w:val="22"/>
          <w:szCs w:val="22"/>
        </w:rPr>
        <w:t xml:space="preserve">ndigenous</w:t>
      </w:r>
      <w:r>
        <w:rPr>
          <w:color w:val="000000"/>
          <w:sz w:val="22"/>
          <w:szCs w:val="22"/>
        </w:rPr>
        <w:t xml:space="preserve">, </w:t>
      </w:r>
      <w:r>
        <w:rPr>
          <w:color w:val="000000"/>
          <w:sz w:val="22"/>
          <w:szCs w:val="22"/>
        </w:rPr>
        <w:t xml:space="preserve">M</w:t>
      </w:r>
      <w:r>
        <w:rPr>
          <w:color w:val="000000"/>
          <w:sz w:val="22"/>
          <w:szCs w:val="22"/>
        </w:rPr>
        <w:t xml:space="preserve">estizo</w:t>
      </w:r>
      <w:r>
        <w:rPr>
          <w:color w:val="000000"/>
          <w:sz w:val="22"/>
          <w:szCs w:val="22"/>
        </w:rPr>
        <w:t xml:space="preserve">, White, and other</w:t>
      </w:r>
      <w:r>
        <w:rPr>
          <w:color w:val="000000"/>
          <w:sz w:val="22"/>
          <w:szCs w:val="22"/>
        </w:rPr>
        <w:t xml:space="preserve">), parental education in years and cohabitating with an </w:t>
      </w:r>
      <w:commentRangeStart w:id="30"/>
      <w:commentRangeStart w:id="31"/>
      <w:commentRangeStart w:id="32"/>
      <w:r>
        <w:rPr>
          <w:color w:val="000000"/>
          <w:sz w:val="22"/>
          <w:szCs w:val="22"/>
        </w:rPr>
        <w:t xml:space="preserve">agricultural </w:t>
      </w:r>
      <w:r>
        <w:rPr>
          <w:color w:val="000000"/>
          <w:sz w:val="22"/>
          <w:szCs w:val="22"/>
        </w:rPr>
        <w:t xml:space="preserve">or floricultural </w:t>
      </w:r>
      <w:r>
        <w:rPr>
          <w:color w:val="000000"/>
          <w:sz w:val="22"/>
          <w:szCs w:val="22"/>
        </w:rPr>
        <w:t xml:space="preserve">worker</w:t>
      </w:r>
      <w:commentRangeEnd w:id="30"/>
      <w:commentRangeEnd w:id="31"/>
      <w:commentRangeEnd w:id="32"/>
      <w:r>
        <w:commentReference w:id="30"/>
        <w:commentReference w:id="31"/>
        <w:commentReference w:id="32"/>
      </w:r>
      <w:r>
        <w:rPr>
          <w:color w:val="000000"/>
          <w:sz w:val="22"/>
          <w:szCs w:val="22"/>
        </w:rPr>
        <w:t xml:space="preserve">. Days after </w:t>
      </w:r>
      <w:commentRangeStart w:id="33"/>
      <w:commentRangeStart w:id="34"/>
      <w:commentRangeStart w:id="35"/>
      <w:r>
        <w:rPr>
          <w:color w:val="000000"/>
          <w:sz w:val="22"/>
          <w:szCs w:val="22"/>
        </w:rPr>
        <w:t xml:space="preserve">Mother’s Day harvest </w:t>
      </w:r>
      <w:commentRangeEnd w:id="33"/>
      <w:commentRangeEnd w:id="34"/>
      <w:commentRangeEnd w:id="35"/>
      <w:r>
        <w:commentReference w:id="33"/>
        <w:commentReference w:id="34"/>
        <w:commentReference w:id="35"/>
      </w:r>
      <w:r>
        <w:rPr>
          <w:color w:val="000000"/>
          <w:sz w:val="22"/>
          <w:szCs w:val="22"/>
        </w:rPr>
        <w:t xml:space="preserve">was also collected</w:t>
      </w:r>
      <w:r>
        <w:rPr>
          <w:color w:val="000000"/>
          <w:sz w:val="22"/>
          <w:szCs w:val="22"/>
        </w:rPr>
        <w:t xml:space="preserve">, as the </w:t>
      </w:r>
      <w:r>
        <w:rPr>
          <w:color w:val="000000"/>
          <w:sz w:val="22"/>
          <w:szCs w:val="22"/>
        </w:rPr>
        <w:t xml:space="preserve">period prior to the </w:t>
      </w:r>
      <w:r>
        <w:rPr>
          <w:color w:val="000000"/>
          <w:sz w:val="22"/>
          <w:szCs w:val="22"/>
        </w:rPr>
        <w:t xml:space="preserve">Mother’s Day harvest is a peak pesticide spray period</w:t>
      </w:r>
      <w:r>
        <w:rPr>
          <w:color w:val="000000"/>
          <w:sz w:val="22"/>
          <w:szCs w:val="22"/>
        </w:rPr>
        <w:t xml:space="preserve">. </w:t>
      </w:r>
      <w:r>
        <w:rPr>
          <w:color w:val="000000" w:themeColor="text1"/>
          <w:sz w:val="22"/>
          <w:szCs w:val="22"/>
        </w:rPr>
        <w:t xml:space="preserve">S</w:t>
      </w:r>
      <w:r>
        <w:rPr>
          <w:color w:val="000000" w:themeColor="text1"/>
          <w:sz w:val="22"/>
          <w:szCs w:val="22"/>
        </w:rPr>
        <w:t xml:space="preserve">ocioeconomic status, demographic characteristics, health, and pesticide exposures of household members</w:t>
      </w:r>
      <w:r>
        <w:rPr>
          <w:color w:val="000000" w:themeColor="text1"/>
          <w:sz w:val="22"/>
          <w:szCs w:val="22"/>
        </w:rPr>
        <w:t xml:space="preserve"> were obtained from household surveys conducted with the children’s parents or adult residents of their household. </w:t>
      </w:r>
      <w:r>
        <w:rPr>
          <w:color w:val="000000"/>
          <w:sz w:val="22"/>
          <w:szCs w:val="22"/>
        </w:rPr>
      </w:r>
    </w:p>
    <w:p>
      <w:pPr>
        <w:pBdr/>
        <w:spacing/>
        <w:ind w:firstLine="720"/>
        <w:jc w:val="both"/>
        <w:rPr>
          <w:sz w:val="22"/>
          <w:szCs w:val="22"/>
        </w:rPr>
      </w:pPr>
      <w:r>
        <w:rPr>
          <w:sz w:val="22"/>
          <w:szCs w:val="22"/>
        </w:rPr>
      </w:r>
      <w:r>
        <w:rPr>
          <w:sz w:val="22"/>
          <w:szCs w:val="22"/>
        </w:rPr>
      </w:r>
    </w:p>
    <w:p>
      <w:pPr>
        <w:pBdr/>
        <w:spacing/>
        <w:ind/>
        <w:jc w:val="both"/>
        <w:rPr>
          <w:sz w:val="22"/>
          <w:szCs w:val="22"/>
        </w:rPr>
      </w:pPr>
      <w:r>
        <w:rPr>
          <w:sz w:val="22"/>
          <w:szCs w:val="22"/>
        </w:rPr>
        <w:t xml:space="preserve">2.</w:t>
      </w:r>
      <w:r>
        <w:rPr>
          <w:sz w:val="22"/>
          <w:szCs w:val="22"/>
        </w:rPr>
        <w:t xml:space="preserve">6</w:t>
      </w:r>
      <w:r>
        <w:rPr>
          <w:sz w:val="22"/>
          <w:szCs w:val="22"/>
        </w:rPr>
        <w:t xml:space="preserve"> </w:t>
      </w:r>
      <w:commentRangeStart w:id="36"/>
      <w:commentRangeStart w:id="37"/>
      <w:r>
        <w:rPr>
          <w:sz w:val="22"/>
          <w:szCs w:val="22"/>
        </w:rPr>
        <w:t xml:space="preserve">Statistical Analysis</w:t>
      </w:r>
      <w:commentRangeEnd w:id="36"/>
      <w:commentRangeEnd w:id="37"/>
      <w:r>
        <w:commentReference w:id="36"/>
        <w:commentReference w:id="37"/>
      </w:r>
      <w:r>
        <w:rPr>
          <w:rStyle w:val="768"/>
          <w:sz w:val="22"/>
          <w:szCs w:val="22"/>
        </w:rPr>
      </w:r>
      <w:r>
        <w:rPr>
          <w:sz w:val="22"/>
          <w:szCs w:val="22"/>
        </w:rPr>
      </w:r>
    </w:p>
    <w:p>
      <w:pPr>
        <w:pBdr/>
        <w:spacing/>
        <w:ind/>
        <w:jc w:val="both"/>
        <w:rPr>
          <w:sz w:val="22"/>
          <w:szCs w:val="22"/>
        </w:rPr>
      </w:pPr>
      <w:r>
        <w:rPr>
          <w:sz w:val="22"/>
          <w:szCs w:val="22"/>
        </w:rPr>
        <w:tab/>
      </w:r>
      <w:r>
        <w:rPr>
          <w:sz w:val="22"/>
          <w:szCs w:val="22"/>
        </w:rPr>
        <w:t xml:space="preserve">Descriptive statistics </w:t>
      </w:r>
      <w:r>
        <w:rPr>
          <w:sz w:val="22"/>
          <w:szCs w:val="22"/>
        </w:rPr>
        <w:t xml:space="preserve">for covariates and NEPSY-II scores for each visit </w:t>
      </w:r>
      <w:r>
        <w:rPr>
          <w:sz w:val="22"/>
          <w:szCs w:val="22"/>
        </w:rPr>
        <w:t xml:space="preserve">are</w:t>
      </w:r>
      <w:r>
        <w:rPr>
          <w:sz w:val="22"/>
          <w:szCs w:val="22"/>
        </w:rPr>
        <w:t xml:space="preserve"> </w:t>
      </w:r>
      <w:r>
        <w:rPr>
          <w:sz w:val="22"/>
          <w:szCs w:val="22"/>
        </w:rPr>
        <w:t xml:space="preserve">presented with </w:t>
      </w:r>
      <w:r>
        <w:rPr>
          <w:sz w:val="22"/>
          <w:szCs w:val="22"/>
        </w:rPr>
        <w:t xml:space="preserve">the mean and standard deviation (SD) for continuous variables or counts and percentages for categorical variables</w:t>
      </w:r>
      <w:r>
        <w:rPr>
          <w:sz w:val="22"/>
          <w:szCs w:val="22"/>
        </w:rPr>
        <w:t xml:space="preserve"> (</w:t>
      </w:r>
      <w:r>
        <w:rPr>
          <w:sz w:val="22"/>
          <w:szCs w:val="22"/>
        </w:rPr>
        <w:t xml:space="preserve">T</w:t>
      </w:r>
      <w:r>
        <w:rPr>
          <w:sz w:val="22"/>
          <w:szCs w:val="22"/>
        </w:rPr>
        <w:t xml:space="preserve">able 2). </w:t>
      </w:r>
      <w:r>
        <w:rPr>
          <w:sz w:val="22"/>
          <w:szCs w:val="22"/>
        </w:rPr>
        <w:t xml:space="preserve">We </w:t>
      </w:r>
      <w:r>
        <w:rPr>
          <w:sz w:val="22"/>
          <w:szCs w:val="22"/>
        </w:rPr>
        <w:t xml:space="preserve">then</w:t>
      </w:r>
      <w:r>
        <w:rPr>
          <w:sz w:val="22"/>
          <w:szCs w:val="22"/>
        </w:rPr>
        <w:t xml:space="preserve"> reported </w:t>
      </w:r>
      <w:r>
        <w:rPr>
          <w:sz w:val="22"/>
          <w:szCs w:val="22"/>
        </w:rPr>
        <w:t xml:space="preserve">the same </w:t>
      </w:r>
      <w:r>
        <w:rPr>
          <w:sz w:val="22"/>
          <w:szCs w:val="22"/>
        </w:rPr>
        <w:t xml:space="preserve">descriptive statistics </w:t>
      </w:r>
      <w:r>
        <w:rPr>
          <w:sz w:val="22"/>
          <w:szCs w:val="22"/>
        </w:rPr>
        <w:t xml:space="preserve">after </w:t>
      </w:r>
      <w:r>
        <w:rPr>
          <w:sz w:val="22"/>
          <w:szCs w:val="22"/>
        </w:rPr>
        <w:t xml:space="preserve">stratifying by quartiles of home distance to the nearest floricultural field</w:t>
      </w:r>
      <w:r>
        <w:rPr>
          <w:sz w:val="22"/>
          <w:szCs w:val="22"/>
        </w:rPr>
        <w:t xml:space="preserve"> </w:t>
      </w:r>
      <w:r>
        <w:rPr>
          <w:sz w:val="22"/>
          <w:szCs w:val="22"/>
        </w:rPr>
        <w:t xml:space="preserve">(Table 3).</w:t>
      </w:r>
      <w:r>
        <w:rPr>
          <w:sz w:val="22"/>
          <w:szCs w:val="22"/>
        </w:rPr>
        <w:t xml:space="preserve"> </w:t>
      </w:r>
      <w:r>
        <w:rPr>
          <w:sz w:val="22"/>
          <w:szCs w:val="22"/>
        </w:rPr>
        <w:t xml:space="preserve">Furthermore, </w:t>
      </w:r>
      <w:r>
        <w:rPr>
          <w:sz w:val="22"/>
          <w:szCs w:val="22"/>
        </w:rPr>
        <w:t xml:space="preserve">we conducted</w:t>
      </w:r>
      <w:r>
        <w:rPr>
          <w:sz w:val="22"/>
          <w:szCs w:val="22"/>
        </w:rPr>
        <w:t xml:space="preserve"> </w:t>
      </w:r>
      <w:r>
        <w:rPr>
          <w:sz w:val="22"/>
          <w:szCs w:val="22"/>
        </w:rPr>
        <w:t xml:space="preserve">a</w:t>
      </w:r>
      <w:r>
        <w:rPr>
          <w:sz w:val="22"/>
          <w:szCs w:val="22"/>
        </w:rPr>
        <w:t xml:space="preserve">n </w:t>
      </w:r>
      <w:commentRangeStart w:id="38"/>
      <w:commentRangeStart w:id="39"/>
      <w:r>
        <w:rPr>
          <w:sz w:val="22"/>
          <w:szCs w:val="22"/>
        </w:rPr>
        <w:t xml:space="preserve">analysis of variance (ANOVA) </w:t>
      </w:r>
      <w:commentRangeEnd w:id="38"/>
      <w:commentRangeEnd w:id="39"/>
      <w:r>
        <w:commentReference w:id="38"/>
        <w:commentReference w:id="39"/>
      </w:r>
      <w:r>
        <w:rPr>
          <w:sz w:val="22"/>
          <w:szCs w:val="22"/>
        </w:rPr>
        <w:t xml:space="preserve">test </w:t>
      </w:r>
      <w:r>
        <w:rPr>
          <w:sz w:val="22"/>
          <w:szCs w:val="22"/>
        </w:rPr>
        <w:t xml:space="preserve">or chi-squared goodness</w:t>
      </w:r>
      <w:r>
        <w:rPr>
          <w:sz w:val="22"/>
          <w:szCs w:val="22"/>
        </w:rPr>
        <w:t xml:space="preserve">-</w:t>
      </w:r>
      <w:r>
        <w:rPr>
          <w:sz w:val="22"/>
          <w:szCs w:val="22"/>
        </w:rPr>
        <w:t xml:space="preserve">of</w:t>
      </w:r>
      <w:r>
        <w:rPr>
          <w:sz w:val="22"/>
          <w:szCs w:val="22"/>
        </w:rPr>
        <w:t xml:space="preserve">-</w:t>
      </w:r>
      <w:r>
        <w:rPr>
          <w:sz w:val="22"/>
          <w:szCs w:val="22"/>
        </w:rPr>
        <w:t xml:space="preserve">fit test for continuous and </w:t>
      </w:r>
      <w:r>
        <w:rPr>
          <w:sz w:val="22"/>
          <w:szCs w:val="22"/>
        </w:rPr>
        <w:t xml:space="preserve">categorical</w:t>
      </w:r>
      <w:r>
        <w:rPr>
          <w:sz w:val="22"/>
          <w:szCs w:val="22"/>
        </w:rPr>
        <w:t xml:space="preserve"> covariates respectively to investigate </w:t>
      </w:r>
      <w:r>
        <w:rPr>
          <w:sz w:val="22"/>
          <w:szCs w:val="22"/>
        </w:rPr>
        <w:t xml:space="preserve">the associations between home distance quartile with the NEPSY-II scores.</w:t>
      </w:r>
      <w:r>
        <w:rPr>
          <w:sz w:val="22"/>
          <w:szCs w:val="22"/>
        </w:rPr>
        <w:t xml:space="preserve"> </w:t>
      </w:r>
      <w:r>
        <w:rPr>
          <w:sz w:val="22"/>
          <w:szCs w:val="22"/>
        </w:rPr>
        <w:t xml:space="preserve">We also produced an</w:t>
      </w:r>
      <w:r>
        <w:rPr>
          <w:sz w:val="22"/>
          <w:szCs w:val="22"/>
        </w:rPr>
        <w:t xml:space="preserve"> identical table</w:t>
      </w:r>
      <w:r>
        <w:rPr>
          <w:sz w:val="22"/>
          <w:szCs w:val="22"/>
        </w:rPr>
        <w:t xml:space="preserve"> for the NEPSY-II scores </w:t>
      </w:r>
      <w:r>
        <w:rPr>
          <w:sz w:val="22"/>
          <w:szCs w:val="22"/>
        </w:rPr>
        <w:t xml:space="preserve">(</w:t>
      </w:r>
      <w:r>
        <w:rPr>
          <w:sz w:val="22"/>
          <w:szCs w:val="22"/>
        </w:rPr>
        <w:t xml:space="preserve">Supplementary Table 1)</w:t>
      </w:r>
      <w:r>
        <w:rPr>
          <w:sz w:val="22"/>
          <w:szCs w:val="22"/>
        </w:rPr>
        <w:t xml:space="preserve">. </w:t>
      </w:r>
      <w:r>
        <w:rPr>
          <w:sz w:val="22"/>
          <w:szCs w:val="22"/>
        </w:rPr>
        <w:t xml:space="preserve">We modeled the </w:t>
      </w:r>
      <w:r>
        <w:rPr>
          <w:sz w:val="22"/>
          <w:szCs w:val="22"/>
        </w:rPr>
        <w:t xml:space="preserve">association between NEPSY-II scores and various measures </w:t>
      </w:r>
      <w:r>
        <w:rPr>
          <w:sz w:val="22"/>
          <w:szCs w:val="22"/>
        </w:rPr>
        <w:t xml:space="preserve">of</w:t>
      </w:r>
      <w:r>
        <w:rPr>
          <w:sz w:val="22"/>
          <w:szCs w:val="22"/>
        </w:rPr>
        <w:t xml:space="preserve"> pesticide exposure with a</w:t>
      </w:r>
      <w:r>
        <w:rPr>
          <w:sz w:val="22"/>
          <w:szCs w:val="22"/>
        </w:rPr>
        <w:t xml:space="preserve"> generalized estimating equation generalized linear model (</w:t>
      </w:r>
      <w:commentRangeStart w:id="40"/>
      <w:commentRangeStart w:id="41"/>
      <w:r>
        <w:rPr>
          <w:sz w:val="22"/>
          <w:szCs w:val="22"/>
        </w:rPr>
        <w:t xml:space="preserve">GEEGLM</w:t>
      </w:r>
      <w:commentRangeEnd w:id="40"/>
      <w:commentRangeEnd w:id="41"/>
      <w:r>
        <w:commentReference w:id="40"/>
        <w:commentReference w:id="41"/>
      </w:r>
      <w:r>
        <w:rPr>
          <w:sz w:val="22"/>
          <w:szCs w:val="22"/>
        </w:rPr>
        <w:t xml:space="preserve">) with an exchangeable covariance structure</w:t>
      </w:r>
      <w:r>
        <w:rPr>
          <w:rStyle w:val="768"/>
          <w:rFonts w:asciiTheme="minorHAnsi" w:hAnsiTheme="minorHAnsi" w:cstheme="minorBidi"/>
        </w:rPr>
        <w:t xml:space="preserve">.</w:t>
      </w:r>
      <w:r>
        <w:rPr>
          <w:sz w:val="22"/>
          <w:szCs w:val="22"/>
        </w:rPr>
        <w:t xml:space="preserve"> Measurements of pesticide exposure included distance from household to nearest plantation and area of plan</w:t>
      </w:r>
      <w:r>
        <w:rPr>
          <w:sz w:val="22"/>
          <w:szCs w:val="22"/>
        </w:rPr>
        <w:t xml:space="preserve">t</w:t>
      </w:r>
      <w:r>
        <w:rPr>
          <w:sz w:val="22"/>
          <w:szCs w:val="22"/>
        </w:rPr>
        <w:t xml:space="preserve">ation within a given radius ranging from </w:t>
      </w:r>
      <w:commentRangeStart w:id="42"/>
      <w:r>
        <w:rPr>
          <w:sz w:val="22"/>
          <w:szCs w:val="22"/>
        </w:rPr>
        <w:t xml:space="preserve">50</w:t>
      </w:r>
      <w:r>
        <w:rPr>
          <w:sz w:val="22"/>
          <w:szCs w:val="22"/>
        </w:rPr>
        <w:t xml:space="preserve"> </w:t>
      </w:r>
      <w:r>
        <w:rPr>
          <w:sz w:val="22"/>
          <w:szCs w:val="22"/>
        </w:rPr>
        <w:t xml:space="preserve">m to 1000</w:t>
      </w:r>
      <w:r>
        <w:rPr>
          <w:sz w:val="22"/>
          <w:szCs w:val="22"/>
        </w:rPr>
        <w:t xml:space="preserve"> </w:t>
      </w:r>
      <w:r>
        <w:rPr>
          <w:sz w:val="22"/>
          <w:szCs w:val="22"/>
        </w:rPr>
        <w:t xml:space="preserve">m</w:t>
      </w:r>
      <w:commentRangeEnd w:id="42"/>
      <w:r>
        <w:commentReference w:id="42"/>
      </w:r>
      <w:r>
        <w:rPr>
          <w:sz w:val="22"/>
          <w:szCs w:val="22"/>
        </w:rPr>
        <w:t xml:space="preserve">, all of which were </w:t>
      </w:r>
      <w:commentRangeStart w:id="43"/>
      <w:commentRangeStart w:id="44"/>
      <w:r>
        <w:rPr>
          <w:sz w:val="22"/>
          <w:szCs w:val="22"/>
        </w:rPr>
        <w:t xml:space="preserve">log-normalized</w:t>
      </w:r>
      <w:r>
        <w:rPr>
          <w:sz w:val="22"/>
          <w:szCs w:val="22"/>
        </w:rPr>
        <w:t xml:space="preserve">. </w:t>
      </w:r>
      <w:commentRangeEnd w:id="43"/>
      <w:commentRangeEnd w:id="44"/>
      <w:r>
        <w:commentReference w:id="43"/>
        <w:commentReference w:id="44"/>
      </w:r>
      <w:r>
        <w:rPr>
          <w:sz w:val="22"/>
          <w:szCs w:val="22"/>
        </w:rPr>
        <w:t xml:space="preserve">Log refers to natural log throughout this paper. </w:t>
      </w:r>
      <w:r>
        <w:rPr>
          <w:sz w:val="22"/>
          <w:szCs w:val="22"/>
        </w:rPr>
        <w:t xml:space="preserve">Each model also included the following covariates: age, race, gender, </w:t>
      </w:r>
      <w:r>
        <w:rPr>
          <w:sz w:val="22"/>
          <w:szCs w:val="22"/>
        </w:rPr>
        <w:t xml:space="preserve">time period</w:t>
      </w:r>
      <w:r>
        <w:rPr>
          <w:sz w:val="22"/>
          <w:szCs w:val="22"/>
        </w:rPr>
        <w:t xml:space="preserve"> of NEPSY</w:t>
      </w:r>
      <w:r>
        <w:rPr>
          <w:sz w:val="22"/>
          <w:szCs w:val="22"/>
        </w:rPr>
        <w:t xml:space="preserve">-II</w:t>
      </w:r>
      <w:r>
        <w:rPr>
          <w:sz w:val="22"/>
          <w:szCs w:val="22"/>
        </w:rPr>
        <w:t xml:space="preserve"> assessment, days after Mother’s Day harvest, age-for-height z-score (</w:t>
      </w:r>
      <w:r>
        <w:rPr>
          <w:sz w:val="22"/>
          <w:szCs w:val="22"/>
        </w:rPr>
        <w:t xml:space="preserve">zha</w:t>
      </w:r>
      <w:r>
        <w:rPr>
          <w:sz w:val="22"/>
          <w:szCs w:val="22"/>
        </w:rPr>
        <w:t xml:space="preserve">), parental salary, parental education, and cohabitation with an agricultural worker. For each GEEGLM model, observations with any missing values were dropped. </w:t>
      </w:r>
      <w:r>
        <w:rPr>
          <w:sz w:val="22"/>
          <w:szCs w:val="22"/>
        </w:rPr>
        <w:t xml:space="preserve">Distance and area variables </w:t>
      </w:r>
      <w:r>
        <w:rPr>
          <w:sz w:val="22"/>
          <w:szCs w:val="22"/>
        </w:rPr>
        <w:t xml:space="preserve">were </w:t>
      </w:r>
      <w:r>
        <w:rPr>
          <w:sz w:val="22"/>
          <w:szCs w:val="22"/>
        </w:rPr>
        <w:t xml:space="preserve">log-transformed, so to interpret their effects, the </w:t>
      </w:r>
      <w:r>
        <w:rPr>
          <w:sz w:val="22"/>
          <w:szCs w:val="22"/>
        </w:rPr>
        <w:t xml:space="preserve">GEEGLM </w:t>
      </w:r>
      <w:r>
        <w:rPr>
          <w:sz w:val="22"/>
          <w:szCs w:val="22"/>
        </w:rPr>
        <w:t xml:space="preserve">β </w:t>
      </w:r>
      <w:r>
        <w:rPr>
          <w:sz w:val="22"/>
          <w:szCs w:val="22"/>
        </w:rPr>
        <w:t xml:space="preserve">coefficients </w:t>
      </w:r>
      <w:r>
        <w:rPr>
          <w:sz w:val="22"/>
          <w:szCs w:val="22"/>
        </w:rPr>
        <w:t xml:space="preserve">were </w:t>
      </w:r>
      <w:r>
        <w:rPr>
          <w:sz w:val="22"/>
          <w:szCs w:val="22"/>
        </w:rPr>
        <w:t xml:space="preserve">multiplied by </w:t>
      </w:r>
      <w:r>
        <w:rPr>
          <w:sz w:val="22"/>
          <w:szCs w:val="22"/>
        </w:rPr>
        <w:t xml:space="preserve">log(</w:t>
      </w:r>
      <w:r>
        <w:rPr>
          <w:sz w:val="22"/>
          <w:szCs w:val="22"/>
        </w:rPr>
        <w:t xml:space="preserve">2)</w:t>
      </w:r>
      <w:r>
        <w:rPr>
          <w:sz w:val="22"/>
          <w:szCs w:val="22"/>
        </w:rPr>
        <w:t xml:space="preserve">. </w:t>
      </w:r>
      <w:r>
        <w:rPr>
          <w:sz w:val="22"/>
          <w:szCs w:val="22"/>
        </w:rPr>
        <w:t xml:space="preserve">The</w:t>
      </w:r>
      <w:r>
        <w:rPr>
          <w:sz w:val="22"/>
          <w:szCs w:val="22"/>
        </w:rPr>
        <w:t xml:space="preserve"> model</w:t>
      </w:r>
      <w:r>
        <w:rPr>
          <w:sz w:val="22"/>
          <w:szCs w:val="22"/>
        </w:rPr>
        <w:t xml:space="preserve"> estimate</w:t>
      </w:r>
      <w:r>
        <w:rPr>
          <w:sz w:val="22"/>
          <w:szCs w:val="22"/>
        </w:rPr>
        <w:t xml:space="preserve">s</w:t>
      </w:r>
      <w:r>
        <w:rPr>
          <w:sz w:val="22"/>
          <w:szCs w:val="22"/>
        </w:rPr>
        <w:t xml:space="preserve"> the additive effects of </w:t>
      </w:r>
      <w:r>
        <w:rPr>
          <w:sz w:val="22"/>
          <w:szCs w:val="22"/>
        </w:rPr>
        <w:t xml:space="preserve">neurobehavioral outcomes </w:t>
      </w:r>
      <w:r>
        <w:rPr>
          <w:sz w:val="22"/>
          <w:szCs w:val="22"/>
        </w:rPr>
        <w:t xml:space="preserve">due to</w:t>
      </w:r>
      <w:r>
        <w:rPr>
          <w:sz w:val="22"/>
          <w:szCs w:val="22"/>
        </w:rPr>
        <w:t xml:space="preserve"> doubling the respective distance or area variable. </w:t>
      </w:r>
      <w:r>
        <w:rPr>
          <w:color w:val="000000"/>
          <w:sz w:val="22"/>
          <w:szCs w:val="22"/>
        </w:rPr>
        <w:t xml:space="preserve">For</w:t>
      </w:r>
      <w:commentRangeStart w:id="45"/>
      <w:commentRangeStart w:id="46"/>
      <w:commentRangeStart w:id="47"/>
      <w:r>
        <w:rPr>
          <w:color w:val="000000"/>
          <w:sz w:val="22"/>
          <w:szCs w:val="22"/>
        </w:rPr>
        <w:t xml:space="preserve"> each </w:t>
      </w:r>
      <w:commentRangeStart w:id="48"/>
      <w:r>
        <w:rPr>
          <w:color w:val="000000"/>
          <w:sz w:val="22"/>
          <w:szCs w:val="22"/>
        </w:rPr>
        <w:t xml:space="preserve">time point</w:t>
      </w:r>
      <w:commentRangeEnd w:id="45"/>
      <w:commentRangeEnd w:id="46"/>
      <w:commentRangeEnd w:id="47"/>
      <w:r>
        <w:commentReference w:id="45"/>
        <w:commentReference w:id="46"/>
        <w:commentReference w:id="47"/>
      </w:r>
      <w:r>
        <w:rPr>
          <w:color w:val="000000"/>
          <w:sz w:val="22"/>
          <w:szCs w:val="22"/>
        </w:rPr>
        <w:t xml:space="preserve">, we performed </w:t>
      </w:r>
      <w:commentRangeStart w:id="49"/>
      <w:commentRangeStart w:id="50"/>
      <w:r>
        <w:rPr>
          <w:color w:val="000000"/>
          <w:sz w:val="22"/>
          <w:szCs w:val="22"/>
        </w:rPr>
        <w:t xml:space="preserve">ANOVA</w:t>
      </w:r>
      <w:commentRangeEnd w:id="49"/>
      <w:commentRangeEnd w:id="50"/>
      <w:r>
        <w:commentReference w:id="49"/>
        <w:commentReference w:id="50"/>
      </w:r>
      <w:r>
        <w:rPr>
          <w:color w:val="000000"/>
          <w:sz w:val="22"/>
          <w:szCs w:val="22"/>
        </w:rPr>
        <w:t xml:space="preserve"> tests to identify preliminary associations between distance from residency to nearest plantation quantiles with each NEPSY-II score</w:t>
      </w:r>
      <w:commentRangeEnd w:id="48"/>
      <w:r>
        <w:commentReference w:id="48"/>
      </w:r>
      <w:r>
        <w:rPr>
          <w:color w:val="000000"/>
          <w:sz w:val="22"/>
          <w:szCs w:val="22"/>
        </w:rPr>
        <w:t xml:space="preserve">.</w:t>
      </w:r>
      <w:r>
        <w:rPr>
          <w:sz w:val="22"/>
          <w:szCs w:val="22"/>
        </w:rPr>
      </w:r>
    </w:p>
    <w:p>
      <w:pPr>
        <w:pBdr/>
        <w:spacing/>
        <w:ind/>
        <w:jc w:val="both"/>
        <w:rPr>
          <w:sz w:val="22"/>
          <w:szCs w:val="22"/>
        </w:rPr>
      </w:pPr>
      <w:r>
        <w:rPr>
          <w:sz w:val="22"/>
          <w:szCs w:val="22"/>
        </w:rPr>
      </w:r>
      <w:r>
        <w:rPr>
          <w:sz w:val="22"/>
          <w:szCs w:val="22"/>
        </w:rPr>
      </w:r>
    </w:p>
    <w:p>
      <w:pPr>
        <w:pBdr/>
        <w:spacing/>
        <w:ind/>
        <w:jc w:val="both"/>
        <w:rPr>
          <w:sz w:val="22"/>
          <w:szCs w:val="22"/>
        </w:rPr>
      </w:pPr>
      <w:r>
        <w:rPr>
          <w:sz w:val="22"/>
          <w:szCs w:val="22"/>
        </w:rPr>
      </w:r>
      <w:r>
        <w:rPr>
          <w:sz w:val="22"/>
          <w:szCs w:val="22"/>
        </w:rPr>
      </w:r>
    </w:p>
    <w:p>
      <w:pPr>
        <w:pBdr/>
        <w:spacing/>
        <w:ind w:firstLine="720"/>
        <w:jc w:val="both"/>
        <w:rPr>
          <w:sz w:val="22"/>
          <w:szCs w:val="22"/>
        </w:rPr>
      </w:pPr>
      <w:r>
        <w:rPr>
          <w:sz w:val="22"/>
          <w:szCs w:val="22"/>
        </w:rPr>
        <w:t xml:space="preserve">We performed additional analyses to gain further insights into NEPSY</w:t>
      </w:r>
      <w:r>
        <w:rPr>
          <w:sz w:val="22"/>
          <w:szCs w:val="22"/>
        </w:rPr>
        <w:t xml:space="preserve">-II</w:t>
      </w:r>
      <w:r>
        <w:rPr>
          <w:sz w:val="22"/>
          <w:szCs w:val="22"/>
        </w:rPr>
        <w:t xml:space="preserve"> score trend nuances</w:t>
      </w:r>
      <w:r>
        <w:rPr>
          <w:sz w:val="22"/>
          <w:szCs w:val="22"/>
        </w:rPr>
        <w:t xml:space="preserve">. One such analysis </w:t>
      </w:r>
      <w:r>
        <w:rPr>
          <w:sz w:val="22"/>
          <w:szCs w:val="22"/>
        </w:rPr>
        <w:t xml:space="preserve">is </w:t>
      </w:r>
      <w:r>
        <w:rPr>
          <w:sz w:val="22"/>
          <w:szCs w:val="22"/>
        </w:rPr>
        <w:t xml:space="preserve">GEEGLMs with binarized NEPSY</w:t>
      </w:r>
      <w:r>
        <w:rPr>
          <w:sz w:val="22"/>
          <w:szCs w:val="22"/>
        </w:rPr>
        <w:t xml:space="preserve">-II</w:t>
      </w:r>
      <w:r>
        <w:rPr>
          <w:sz w:val="22"/>
          <w:szCs w:val="22"/>
        </w:rPr>
        <w:t xml:space="preserve"> score outcomes</w:t>
      </w:r>
      <w:r>
        <w:rPr>
          <w:sz w:val="22"/>
          <w:szCs w:val="22"/>
        </w:rPr>
        <w:t xml:space="preserve">. </w:t>
      </w:r>
      <w:r>
        <w:rPr>
          <w:color w:val="000000"/>
          <w:sz w:val="22"/>
          <w:szCs w:val="22"/>
        </w:rPr>
        <w:t xml:space="preserve">The </w:t>
      </w:r>
      <w:r>
        <w:rPr>
          <w:color w:val="000000"/>
          <w:sz w:val="22"/>
          <w:szCs w:val="22"/>
        </w:rPr>
        <w:t xml:space="preserve">binary thresholds </w:t>
      </w:r>
      <w:r>
        <w:rPr>
          <w:color w:val="000000"/>
          <w:sz w:val="22"/>
          <w:szCs w:val="22"/>
        </w:rPr>
        <w:t xml:space="preserve">that determine high versus low </w:t>
      </w:r>
      <w:r>
        <w:rPr>
          <w:color w:val="000000"/>
          <w:sz w:val="22"/>
          <w:szCs w:val="22"/>
        </w:rPr>
        <w:t xml:space="preserve">NEPSY-II score</w:t>
      </w:r>
      <w:r>
        <w:rPr>
          <w:color w:val="000000"/>
          <w:sz w:val="22"/>
          <w:szCs w:val="22"/>
        </w:rPr>
        <w:t xml:space="preserve">s</w:t>
      </w:r>
      <w:r>
        <w:rPr>
          <w:color w:val="000000"/>
          <w:sz w:val="22"/>
          <w:szCs w:val="22"/>
        </w:rPr>
        <w:t xml:space="preserve"> </w:t>
      </w:r>
      <w:r>
        <w:rPr>
          <w:color w:val="000000"/>
          <w:sz w:val="22"/>
          <w:szCs w:val="22"/>
        </w:rPr>
        <w:t xml:space="preserve">were</w:t>
      </w:r>
      <w:r>
        <w:rPr>
          <w:color w:val="000000"/>
          <w:sz w:val="22"/>
          <w:szCs w:val="22"/>
        </w:rPr>
        <w:t xml:space="preserve"> </w:t>
      </w:r>
      <w:commentRangeStart w:id="51"/>
      <w:commentRangeStart w:id="52"/>
      <w:r>
        <w:rPr>
          <w:color w:val="000000"/>
          <w:sz w:val="22"/>
          <w:szCs w:val="22"/>
        </w:rPr>
        <w:t xml:space="preserve">pre-selected</w:t>
      </w:r>
      <w:r>
        <w:rPr>
          <w:color w:val="000000"/>
          <w:sz w:val="22"/>
          <w:szCs w:val="22"/>
        </w:rPr>
        <w:t xml:space="preserve"> for each score</w:t>
      </w:r>
      <w:commentRangeEnd w:id="51"/>
      <w:commentRangeEnd w:id="52"/>
      <w:r>
        <w:commentReference w:id="51"/>
        <w:commentReference w:id="52"/>
      </w:r>
      <w:r>
        <w:rPr>
          <w:color w:val="000000"/>
          <w:sz w:val="22"/>
          <w:szCs w:val="22"/>
        </w:rPr>
        <w:t xml:space="preserve">. </w:t>
      </w:r>
      <w:r>
        <w:rPr>
          <w:sz w:val="22"/>
          <w:szCs w:val="22"/>
        </w:rPr>
        <w:t xml:space="preserve">In this model, </w:t>
      </w:r>
      <w:r>
        <w:rPr>
          <w:sz w:val="22"/>
          <w:szCs w:val="22"/>
        </w:rPr>
        <w:t xml:space="preserve">the GEEGLM had a logit link function and exchangeable covariance structure</w:t>
      </w:r>
      <w:r>
        <w:rPr>
          <w:sz w:val="22"/>
          <w:szCs w:val="22"/>
        </w:rPr>
        <w:t xml:space="preserve">. Similar to the aforementioned GEEGLM model, β coefficients are multiplied by </w:t>
      </w:r>
      <w:r>
        <w:rPr>
          <w:sz w:val="22"/>
          <w:szCs w:val="22"/>
        </w:rPr>
        <w:t xml:space="preserve">log(</w:t>
      </w:r>
      <w:r>
        <w:rPr>
          <w:sz w:val="22"/>
          <w:szCs w:val="22"/>
        </w:rPr>
        <w:t xml:space="preserve">2), which </w:t>
      </w:r>
      <w:r>
        <w:rPr>
          <w:sz w:val="22"/>
          <w:szCs w:val="22"/>
        </w:rPr>
        <w:t xml:space="preserve">are then interpreted as the additive effects of the odds ratio of </w:t>
      </w:r>
      <w:r>
        <w:rPr>
          <w:sz w:val="22"/>
          <w:szCs w:val="22"/>
        </w:rPr>
        <w:t xml:space="preserve">a high NEPSY-II score due to doubling the respective pesticide exposure variable. </w:t>
      </w:r>
      <w:r>
        <w:rPr>
          <w:sz w:val="22"/>
          <w:szCs w:val="22"/>
        </w:rPr>
        <w:t xml:space="preserve">We also </w:t>
      </w:r>
      <w:r>
        <w:rPr>
          <w:sz w:val="22"/>
          <w:szCs w:val="22"/>
        </w:rPr>
        <w:t xml:space="preserve">estimated least-square means differences by </w:t>
      </w:r>
      <w:r>
        <w:rPr>
          <w:sz w:val="22"/>
          <w:szCs w:val="22"/>
        </w:rPr>
        <w:t xml:space="preserve">adjusting</w:t>
      </w:r>
      <w:r>
        <w:rPr>
          <w:sz w:val="22"/>
          <w:szCs w:val="22"/>
        </w:rPr>
        <w:t xml:space="preserve"> subjects by their measurements of pesticide exposure. </w:t>
      </w:r>
      <w:r>
        <w:rPr>
          <w:sz w:val="22"/>
          <w:szCs w:val="22"/>
        </w:rPr>
        <w:t xml:space="preserve">These values were then plotted using </w:t>
      </w:r>
      <w:r>
        <w:rPr>
          <w:sz w:val="22"/>
          <w:szCs w:val="22"/>
        </w:rPr>
        <w:t xml:space="preserve">locally weighted polynomial regression (</w:t>
      </w:r>
      <w:commentRangeStart w:id="53"/>
      <w:commentRangeStart w:id="54"/>
      <w:r>
        <w:rPr>
          <w:sz w:val="22"/>
          <w:szCs w:val="22"/>
        </w:rPr>
        <w:t xml:space="preserve">LOESS</w:t>
      </w:r>
      <w:commentRangeEnd w:id="53"/>
      <w:commentRangeEnd w:id="54"/>
      <w:r>
        <w:commentReference w:id="53"/>
        <w:commentReference w:id="54"/>
      </w:r>
      <w:r>
        <w:rPr>
          <w:sz w:val="22"/>
          <w:szCs w:val="22"/>
        </w:rPr>
        <w:t xml:space="preserve">)</w:t>
      </w:r>
      <w:r>
        <w:rPr>
          <w:sz w:val="22"/>
          <w:szCs w:val="22"/>
        </w:rPr>
        <w:t xml:space="preserve"> curves to graph associations between </w:t>
      </w:r>
      <w:r>
        <w:rPr>
          <w:sz w:val="22"/>
          <w:szCs w:val="22"/>
        </w:rPr>
        <w:t xml:space="preserve">pesticide exposure variables</w:t>
      </w:r>
      <w:r>
        <w:rPr>
          <w:sz w:val="22"/>
          <w:szCs w:val="22"/>
        </w:rPr>
        <w:t xml:space="preserve"> and the NEPSY</w:t>
      </w:r>
      <w:r>
        <w:rPr>
          <w:sz w:val="22"/>
          <w:szCs w:val="22"/>
        </w:rPr>
        <w:t xml:space="preserve">-</w:t>
      </w:r>
      <w:r>
        <w:rPr>
          <w:sz w:val="22"/>
          <w:szCs w:val="22"/>
        </w:rPr>
        <w:t xml:space="preserve">II domain</w:t>
      </w:r>
      <w:r>
        <w:rPr>
          <w:sz w:val="22"/>
          <w:szCs w:val="22"/>
        </w:rPr>
        <w:t xml:space="preserve"> scores</w:t>
      </w:r>
      <w:r>
        <w:rPr>
          <w:sz w:val="22"/>
          <w:szCs w:val="22"/>
        </w:rPr>
        <w:t xml:space="preserve">. </w:t>
      </w:r>
      <w:r>
        <w:rPr>
          <w:sz w:val="22"/>
          <w:szCs w:val="22"/>
        </w:rPr>
        <w:t xml:space="preserve">Throughout our analysis, we define </w:t>
      </w:r>
      <w:r>
        <w:rPr>
          <w:sz w:val="22"/>
          <w:szCs w:val="22"/>
        </w:rPr>
        <w:t xml:space="preserve">a</w:t>
      </w:r>
      <w:r>
        <w:rPr>
          <w:sz w:val="22"/>
          <w:szCs w:val="22"/>
        </w:rPr>
        <w:t xml:space="preserve"> statistically</w:t>
      </w:r>
      <w:r>
        <w:rPr>
          <w:sz w:val="22"/>
          <w:szCs w:val="22"/>
        </w:rPr>
        <w:t xml:space="preserve"> significant association</w:t>
      </w:r>
      <w:r>
        <w:rPr>
          <w:sz w:val="22"/>
          <w:szCs w:val="22"/>
        </w:rPr>
        <w:t xml:space="preserve"> with a p-value </w:t>
      </w:r>
      <w:r>
        <w:rPr>
          <w:sz w:val="22"/>
          <w:szCs w:val="22"/>
        </w:rPr>
        <w:t xml:space="preserve">&lt;</w:t>
      </w:r>
      <w:r>
        <w:rPr>
          <w:sz w:val="22"/>
          <w:szCs w:val="22"/>
        </w:rPr>
        <w:t xml:space="preserve"> </w:t>
      </w:r>
      <w:r>
        <w:rPr>
          <w:sz w:val="22"/>
          <w:szCs w:val="22"/>
        </w:rPr>
        <w:t xml:space="preserve">0.05</w:t>
      </w:r>
      <w:r>
        <w:rPr>
          <w:sz w:val="22"/>
          <w:szCs w:val="22"/>
        </w:rPr>
        <w:t xml:space="preserve">. </w:t>
      </w:r>
      <w:r>
        <w:rPr>
          <w:sz w:val="22"/>
          <w:szCs w:val="22"/>
        </w:rPr>
        <w:t xml:space="preserve">All analysis were preformed using R 4.1.1 statistical programming software. </w:t>
      </w:r>
      <w:r>
        <w:rPr>
          <w:sz w:val="22"/>
          <w:szCs w:val="22"/>
        </w:rPr>
      </w:r>
    </w:p>
    <w:p>
      <w:pPr>
        <w:pBdr/>
        <w:spacing/>
        <w:ind/>
        <w:jc w:val="both"/>
        <w:rPr>
          <w:sz w:val="22"/>
          <w:szCs w:val="22"/>
        </w:rPr>
      </w:pPr>
      <w:r>
        <w:rPr>
          <w:sz w:val="22"/>
          <w:szCs w:val="22"/>
        </w:rPr>
      </w:r>
      <w:r>
        <w:rPr>
          <w:sz w:val="22"/>
          <w:szCs w:val="22"/>
        </w:rPr>
      </w:r>
    </w:p>
    <w:p>
      <w:pPr>
        <w:pBdr/>
        <w:spacing/>
        <w:ind/>
        <w:jc w:val="both"/>
        <w:rPr>
          <w:sz w:val="22"/>
          <w:szCs w:val="22"/>
        </w:rPr>
      </w:pPr>
      <w:r>
        <w:rPr>
          <w:sz w:val="22"/>
          <w:szCs w:val="22"/>
        </w:rPr>
        <w:t xml:space="preserve">2.7 Ethical Approval</w:t>
      </w:r>
      <w:r>
        <w:rPr>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2"/>
          <w:szCs w:val="22"/>
        </w:rPr>
      </w:pPr>
      <w:r>
        <w:rPr>
          <w:sz w:val="22"/>
          <w:szCs w:val="22"/>
        </w:rPr>
        <w:tab/>
      </w:r>
      <w:r>
        <w:rPr>
          <w:color w:val="000000"/>
          <w:sz w:val="22"/>
          <w:szCs w:val="22"/>
        </w:rPr>
        <w:t xml:space="preserve">The ESPINA study was approved by the Institutional Review Boards of the University of Minnesota, The University of California San Diego, Universidad San Francisco de Quito</w:t>
      </w:r>
      <w:r>
        <w:rPr>
          <w:color w:val="000000"/>
          <w:sz w:val="22"/>
          <w:szCs w:val="22"/>
        </w:rPr>
        <w:t xml:space="preserve">, and </w:t>
      </w:r>
      <w:r>
        <w:rPr>
          <w:color w:val="000000"/>
          <w:sz w:val="22"/>
          <w:szCs w:val="22"/>
        </w:rPr>
        <w:t xml:space="preserve">approved by </w:t>
      </w:r>
      <w:r>
        <w:rPr>
          <w:color w:val="000000"/>
          <w:sz w:val="22"/>
          <w:szCs w:val="22"/>
        </w:rPr>
        <w:t xml:space="preserve">the Ministry of Public Health of </w:t>
      </w:r>
      <w:r>
        <w:rPr>
          <w:color w:val="000000"/>
          <w:sz w:val="22"/>
          <w:szCs w:val="22"/>
        </w:rPr>
        <w:t xml:space="preserve">Ecuador and</w:t>
      </w:r>
      <w:r>
        <w:rPr>
          <w:color w:val="000000"/>
          <w:sz w:val="22"/>
          <w:szCs w:val="22"/>
        </w:rPr>
        <w:t xml:space="preserve"> the Commonwealth of </w:t>
      </w:r>
      <w:r>
        <w:rPr>
          <w:color w:val="000000"/>
          <w:sz w:val="22"/>
          <w:szCs w:val="22"/>
        </w:rPr>
        <w:t xml:space="preserve">Rural Parishes of </w:t>
      </w:r>
      <w:r>
        <w:rPr>
          <w:color w:val="000000"/>
          <w:sz w:val="22"/>
          <w:szCs w:val="22"/>
        </w:rPr>
        <w:t xml:space="preserve">Pedro </w:t>
      </w:r>
      <w:r>
        <w:rPr>
          <w:color w:val="000000"/>
          <w:sz w:val="22"/>
          <w:szCs w:val="22"/>
        </w:rPr>
        <w:t xml:space="preserve">Moncayo</w:t>
      </w:r>
      <w:r>
        <w:rPr>
          <w:color w:val="000000"/>
          <w:sz w:val="22"/>
          <w:szCs w:val="22"/>
        </w:rPr>
        <w:t xml:space="preserve"> County</w:t>
      </w:r>
      <w:r>
        <w:rPr>
          <w:color w:val="000000"/>
          <w:sz w:val="22"/>
          <w:szCs w:val="22"/>
        </w:rPr>
        <w:t xml:space="preserve">, Ecuador.</w:t>
      </w:r>
      <w:r>
        <w:rPr>
          <w:color w:val="000000"/>
          <w:sz w:val="22"/>
          <w:szCs w:val="22"/>
        </w:rPr>
        <w:t xml:space="preserve"> </w:t>
      </w:r>
      <w:r>
        <w:rPr>
          <w:color w:val="000000"/>
          <w:sz w:val="22"/>
          <w:szCs w:val="22"/>
        </w:rPr>
      </w:r>
    </w:p>
    <w:p>
      <w:pPr>
        <w:pBdr/>
        <w:spacing/>
        <w:ind/>
        <w:jc w:val="both"/>
        <w:rPr>
          <w:sz w:val="22"/>
          <w:szCs w:val="22"/>
        </w:rPr>
      </w:pPr>
      <w:r>
        <w:rPr>
          <w:sz w:val="22"/>
          <w:szCs w:val="22"/>
        </w:rPr>
      </w:r>
      <w:r>
        <w:rPr>
          <w:sz w:val="22"/>
          <w:szCs w:val="22"/>
        </w:rPr>
      </w:r>
    </w:p>
    <w:p>
      <w:pPr>
        <w:pBdr/>
        <w:spacing/>
        <w:ind/>
        <w:jc w:val="both"/>
        <w:rPr>
          <w:color w:val="000000"/>
          <w:sz w:val="22"/>
          <w:szCs w:val="22"/>
        </w:rPr>
      </w:pPr>
      <w:r>
        <w:rPr>
          <w:color w:val="000000"/>
          <w:sz w:val="22"/>
          <w:szCs w:val="22"/>
        </w:rPr>
      </w:r>
      <w:r>
        <w:rPr>
          <w:color w:val="000000"/>
          <w:sz w:val="22"/>
          <w:szCs w:val="22"/>
        </w:rPr>
      </w:r>
    </w:p>
    <w:p>
      <w:pPr>
        <w:pStyle w:val="782"/>
        <w:numPr>
          <w:ilvl w:val="0"/>
          <w:numId w:val="1"/>
        </w:numPr>
        <w:pBdr/>
        <w:spacing/>
        <w:ind/>
        <w:jc w:val="both"/>
        <w:rPr>
          <w:b/>
          <w:bCs/>
        </w:rPr>
      </w:pPr>
      <w:r>
        <w:rPr>
          <w:b/>
          <w:bCs/>
        </w:rPr>
        <w:t xml:space="preserve">Results</w:t>
      </w:r>
      <w:r>
        <w:rPr>
          <w:b/>
          <w:bCs/>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3.1 </w:t>
      </w:r>
      <w:r>
        <w:rPr>
          <w:color w:val="000000"/>
          <w:sz w:val="22"/>
          <w:szCs w:val="22"/>
        </w:rPr>
        <w:t xml:space="preserve">Summary Statistics</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Of the </w:t>
      </w:r>
      <w:r>
        <w:rPr>
          <w:color w:val="000000"/>
          <w:sz w:val="22"/>
          <w:szCs w:val="22"/>
        </w:rPr>
        <w:t xml:space="preserve">629</w:t>
      </w:r>
      <w:r>
        <w:rPr>
          <w:color w:val="000000"/>
          <w:sz w:val="22"/>
          <w:szCs w:val="22"/>
        </w:rPr>
        <w:t xml:space="preserve"> children </w:t>
      </w:r>
      <w:r>
        <w:rPr>
          <w:color w:val="000000"/>
          <w:sz w:val="22"/>
          <w:szCs w:val="22"/>
        </w:rPr>
        <w:t xml:space="preserve">included </w:t>
      </w:r>
      <w:r>
        <w:rPr>
          <w:color w:val="000000"/>
          <w:sz w:val="22"/>
          <w:szCs w:val="22"/>
        </w:rPr>
        <w:t xml:space="preserve">in this study, </w:t>
      </w:r>
      <w:r>
        <w:rPr>
          <w:color w:val="000000"/>
          <w:sz w:val="22"/>
          <w:szCs w:val="22"/>
        </w:rPr>
        <w:t xml:space="preserve">50</w:t>
      </w:r>
      <w:r>
        <w:rPr>
          <w:color w:val="000000"/>
          <w:sz w:val="22"/>
          <w:szCs w:val="22"/>
        </w:rPr>
        <w:t xml:space="preserve">% (N=</w:t>
      </w:r>
      <w:commentRangeStart w:id="55"/>
      <w:commentRangeStart w:id="56"/>
      <w:r>
        <w:rPr>
          <w:color w:val="000000"/>
          <w:sz w:val="22"/>
          <w:szCs w:val="22"/>
        </w:rPr>
        <w:t xml:space="preserve">31</w:t>
      </w:r>
      <w:commentRangeEnd w:id="55"/>
      <w:commentRangeEnd w:id="56"/>
      <w:r>
        <w:commentReference w:id="55"/>
        <w:commentReference w:id="56"/>
      </w:r>
      <w:r>
        <w:rPr>
          <w:color w:val="000000"/>
          <w:sz w:val="22"/>
          <w:szCs w:val="22"/>
        </w:rPr>
        <w:t xml:space="preserve">3)</w:t>
      </w:r>
      <w:r>
        <w:rPr>
          <w:color w:val="000000"/>
          <w:sz w:val="22"/>
          <w:szCs w:val="22"/>
        </w:rPr>
        <w:t xml:space="preserve"> were examined in </w:t>
      </w:r>
      <w:r>
        <w:rPr>
          <w:color w:val="000000"/>
          <w:sz w:val="22"/>
          <w:szCs w:val="22"/>
        </w:rPr>
        <w:t xml:space="preserve">Summer 2008 (visit #1)</w:t>
      </w:r>
      <w:r>
        <w:rPr>
          <w:color w:val="000000"/>
          <w:sz w:val="22"/>
          <w:szCs w:val="22"/>
        </w:rPr>
        <w:t xml:space="preserve">, </w:t>
      </w:r>
      <w:r>
        <w:rPr>
          <w:color w:val="000000"/>
          <w:sz w:val="22"/>
          <w:szCs w:val="22"/>
        </w:rPr>
        <w:t xml:space="preserve">52</w:t>
      </w:r>
      <w:r>
        <w:rPr>
          <w:color w:val="000000"/>
          <w:sz w:val="22"/>
          <w:szCs w:val="22"/>
        </w:rPr>
        <w:t xml:space="preserve">% (N=33</w:t>
      </w:r>
      <w:r>
        <w:rPr>
          <w:color w:val="000000"/>
          <w:sz w:val="22"/>
          <w:szCs w:val="22"/>
        </w:rPr>
        <w:t xml:space="preserve">0</w:t>
      </w:r>
      <w:r>
        <w:rPr>
          <w:color w:val="000000"/>
          <w:sz w:val="22"/>
          <w:szCs w:val="22"/>
        </w:rPr>
        <w:t xml:space="preserve">)</w:t>
      </w:r>
      <w:r>
        <w:rPr>
          <w:color w:val="000000"/>
          <w:sz w:val="22"/>
          <w:szCs w:val="22"/>
        </w:rPr>
        <w:t xml:space="preserve"> in </w:t>
      </w:r>
      <w:r>
        <w:rPr>
          <w:color w:val="000000"/>
          <w:sz w:val="22"/>
          <w:szCs w:val="22"/>
        </w:rPr>
        <w:t xml:space="preserve">Spring 2016</w:t>
      </w:r>
      <w:r>
        <w:rPr>
          <w:color w:val="000000"/>
          <w:sz w:val="22"/>
          <w:szCs w:val="22"/>
        </w:rPr>
        <w:t xml:space="preserve"> </w:t>
      </w:r>
      <w:r>
        <w:rPr>
          <w:color w:val="000000"/>
          <w:sz w:val="22"/>
          <w:szCs w:val="22"/>
        </w:rPr>
        <w:t xml:space="preserve">(visit #</w:t>
      </w:r>
      <w:r>
        <w:rPr>
          <w:color w:val="000000"/>
          <w:sz w:val="22"/>
          <w:szCs w:val="22"/>
        </w:rPr>
        <w:t xml:space="preserve">2</w:t>
      </w:r>
      <w:r>
        <w:rPr>
          <w:color w:val="000000"/>
          <w:sz w:val="22"/>
          <w:szCs w:val="22"/>
        </w:rPr>
        <w:t xml:space="preserve">)</w:t>
      </w:r>
      <w:r>
        <w:rPr>
          <w:color w:val="000000"/>
          <w:sz w:val="22"/>
          <w:szCs w:val="22"/>
        </w:rPr>
        <w:t xml:space="preserve">, and </w:t>
      </w:r>
      <w:r>
        <w:rPr>
          <w:color w:val="000000"/>
          <w:sz w:val="22"/>
          <w:szCs w:val="22"/>
        </w:rPr>
        <w:t xml:space="preserve">85</w:t>
      </w:r>
      <w:r>
        <w:rPr>
          <w:color w:val="000000"/>
          <w:sz w:val="22"/>
          <w:szCs w:val="22"/>
        </w:rPr>
        <w:t xml:space="preserve">% (n=535) in </w:t>
      </w:r>
      <w:r>
        <w:rPr>
          <w:color w:val="000000"/>
          <w:sz w:val="22"/>
          <w:szCs w:val="22"/>
        </w:rPr>
        <w:t xml:space="preserve">Summer 2016 (visit #</w:t>
      </w:r>
      <w:r>
        <w:rPr>
          <w:color w:val="000000"/>
          <w:sz w:val="22"/>
          <w:szCs w:val="22"/>
        </w:rPr>
        <w:t xml:space="preserve">3</w:t>
      </w:r>
      <w:r>
        <w:rPr>
          <w:color w:val="000000"/>
          <w:sz w:val="22"/>
          <w:szCs w:val="22"/>
        </w:rPr>
        <w:t xml:space="preserve">)</w:t>
      </w:r>
      <w:r>
        <w:rPr>
          <w:color w:val="000000"/>
          <w:sz w:val="22"/>
          <w:szCs w:val="22"/>
        </w:rPr>
        <w:t xml:space="preserve"> (Table 2)</w:t>
      </w:r>
      <w:r>
        <w:rPr>
          <w:color w:val="000000"/>
          <w:sz w:val="22"/>
          <w:szCs w:val="22"/>
        </w:rPr>
        <w:t xml:space="preserve">. </w:t>
      </w:r>
      <w:r>
        <w:rPr>
          <w:color w:val="000000"/>
          <w:sz w:val="22"/>
          <w:szCs w:val="22"/>
        </w:rPr>
        <w:t xml:space="preserve">The mean age of participants was </w:t>
      </w:r>
      <w:r>
        <w:rPr>
          <w:color w:val="000000"/>
          <w:sz w:val="22"/>
          <w:szCs w:val="22"/>
        </w:rPr>
        <w:t xml:space="preserve">6.6 </w:t>
      </w:r>
      <w:r>
        <w:rPr>
          <w:color w:val="000000"/>
          <w:sz w:val="22"/>
          <w:szCs w:val="22"/>
        </w:rPr>
        <w:t xml:space="preserve">years old (</w:t>
      </w:r>
      <w:r>
        <w:rPr>
          <w:color w:val="000000"/>
          <w:sz w:val="22"/>
          <w:szCs w:val="22"/>
        </w:rPr>
        <w:t xml:space="preserve">±1.6</w:t>
      </w:r>
      <w:r>
        <w:rPr>
          <w:color w:val="000000"/>
          <w:sz w:val="22"/>
          <w:szCs w:val="22"/>
        </w:rPr>
        <w:t xml:space="preserve">)</w:t>
      </w:r>
      <w:r>
        <w:rPr>
          <w:color w:val="000000"/>
          <w:sz w:val="22"/>
          <w:szCs w:val="22"/>
        </w:rPr>
        <w:t xml:space="preserve"> for visit #1, 14.3 years old (±1.8) for visit #2</w:t>
      </w:r>
      <w:r>
        <w:rPr>
          <w:color w:val="000000"/>
          <w:sz w:val="22"/>
          <w:szCs w:val="22"/>
        </w:rPr>
        <w:t xml:space="preserve"> and </w:t>
      </w:r>
      <w:r>
        <w:rPr>
          <w:color w:val="000000"/>
          <w:sz w:val="22"/>
          <w:szCs w:val="22"/>
        </w:rPr>
        <w:t xml:space="preserve">14.5 years old (±1.8) for visit #3. </w:t>
      </w:r>
      <w:r>
        <w:rPr>
          <w:color w:val="000000"/>
          <w:sz w:val="22"/>
          <w:szCs w:val="22"/>
        </w:rPr>
        <w:t xml:space="preserve">Most participants identified as mestizo in all time points and approximately half of participants were female. </w:t>
      </w:r>
      <w:r>
        <w:rPr>
          <w:color w:val="000000"/>
          <w:sz w:val="22"/>
          <w:szCs w:val="22"/>
        </w:rPr>
        <w:t xml:space="preserve">T</w:t>
      </w:r>
      <w:r>
        <w:rPr>
          <w:color w:val="000000"/>
          <w:sz w:val="22"/>
          <w:szCs w:val="22"/>
        </w:rPr>
        <w:t xml:space="preserve">he mean z-score-height-for-age was </w:t>
      </w:r>
      <w:r>
        <w:rPr>
          <w:color w:val="000000"/>
          <w:sz w:val="22"/>
          <w:szCs w:val="22"/>
        </w:rPr>
        <w:t xml:space="preserve">-1.3 (1.0)</w:t>
      </w:r>
      <w:r>
        <w:rPr>
          <w:color w:val="000000"/>
          <w:sz w:val="22"/>
          <w:szCs w:val="22"/>
        </w:rPr>
        <w:t xml:space="preserve"> for visit #1</w:t>
      </w:r>
      <w:r>
        <w:rPr>
          <w:color w:val="000000"/>
          <w:sz w:val="22"/>
          <w:szCs w:val="22"/>
        </w:rPr>
        <w:t xml:space="preserve">, </w:t>
      </w:r>
      <w:r>
        <w:rPr>
          <w:color w:val="000000"/>
          <w:sz w:val="22"/>
          <w:szCs w:val="22"/>
        </w:rPr>
        <w:t xml:space="preserve">-1.</w:t>
      </w:r>
      <w:r>
        <w:rPr>
          <w:color w:val="000000"/>
          <w:sz w:val="22"/>
          <w:szCs w:val="22"/>
        </w:rPr>
        <w:t xml:space="preserve">6</w:t>
      </w:r>
      <w:r>
        <w:rPr>
          <w:color w:val="000000"/>
          <w:sz w:val="22"/>
          <w:szCs w:val="22"/>
        </w:rPr>
        <w:t xml:space="preserve"> (</w:t>
      </w:r>
      <w:r>
        <w:rPr>
          <w:color w:val="000000"/>
          <w:sz w:val="22"/>
          <w:szCs w:val="22"/>
        </w:rPr>
        <w:t xml:space="preserve">1.0</w:t>
      </w:r>
      <w:r>
        <w:rPr>
          <w:color w:val="000000"/>
          <w:sz w:val="22"/>
          <w:szCs w:val="22"/>
        </w:rPr>
        <w:t xml:space="preserve">)</w:t>
      </w:r>
      <w:r>
        <w:rPr>
          <w:color w:val="000000"/>
          <w:sz w:val="22"/>
          <w:szCs w:val="22"/>
        </w:rPr>
        <w:t xml:space="preserve"> for visit #2</w:t>
      </w:r>
      <w:r>
        <w:rPr>
          <w:color w:val="000000"/>
          <w:sz w:val="22"/>
          <w:szCs w:val="22"/>
        </w:rPr>
        <w:t xml:space="preserve">, and -1.5 (0.9) for visit</w:t>
      </w:r>
      <w:r>
        <w:rPr>
          <w:color w:val="000000"/>
          <w:sz w:val="22"/>
          <w:szCs w:val="22"/>
        </w:rPr>
        <w:t xml:space="preserve"> #3. </w:t>
      </w:r>
      <w:r>
        <w:rPr>
          <w:color w:val="000000"/>
          <w:sz w:val="22"/>
          <w:szCs w:val="22"/>
        </w:rPr>
        <w:t xml:space="preserve">P</w:t>
      </w:r>
      <w:r>
        <w:rPr>
          <w:color w:val="000000"/>
          <w:sz w:val="22"/>
          <w:szCs w:val="22"/>
        </w:rPr>
        <w:t xml:space="preserve">articipants cohabitat</w:t>
      </w:r>
      <w:r>
        <w:rPr>
          <w:color w:val="000000"/>
          <w:sz w:val="22"/>
          <w:szCs w:val="22"/>
        </w:rPr>
        <w:t xml:space="preserve">ing</w:t>
      </w:r>
      <w:r>
        <w:rPr>
          <w:color w:val="000000"/>
          <w:sz w:val="22"/>
          <w:szCs w:val="22"/>
        </w:rPr>
        <w:t xml:space="preserve"> with an agricultural worker</w:t>
      </w:r>
      <w:r>
        <w:rPr>
          <w:color w:val="000000"/>
          <w:sz w:val="22"/>
          <w:szCs w:val="22"/>
        </w:rPr>
        <w:t xml:space="preserve"> was reported by </w:t>
      </w:r>
      <w:r>
        <w:rPr>
          <w:color w:val="000000"/>
          <w:sz w:val="22"/>
          <w:szCs w:val="22"/>
        </w:rPr>
        <w:t xml:space="preserve">57</w:t>
      </w:r>
      <w:r>
        <w:rPr>
          <w:color w:val="000000"/>
          <w:sz w:val="22"/>
          <w:szCs w:val="22"/>
        </w:rPr>
        <w:t xml:space="preserve">% in visit #1, </w:t>
      </w:r>
      <w:r>
        <w:rPr>
          <w:color w:val="000000"/>
          <w:sz w:val="22"/>
          <w:szCs w:val="22"/>
        </w:rPr>
        <w:t xml:space="preserve">68</w:t>
      </w:r>
      <w:r>
        <w:rPr>
          <w:color w:val="000000"/>
          <w:sz w:val="22"/>
          <w:szCs w:val="22"/>
        </w:rPr>
        <w:t xml:space="preserve">% in visit #2, and </w:t>
      </w:r>
      <w:r>
        <w:rPr>
          <w:color w:val="000000"/>
          <w:sz w:val="22"/>
          <w:szCs w:val="22"/>
        </w:rPr>
        <w:t xml:space="preserve">68</w:t>
      </w:r>
      <w:r>
        <w:rPr>
          <w:color w:val="000000"/>
          <w:sz w:val="22"/>
          <w:szCs w:val="22"/>
        </w:rPr>
        <w:t xml:space="preserve">% in visit #3.</w:t>
      </w:r>
      <w:r>
        <w:rPr>
          <w:color w:val="000000"/>
          <w:sz w:val="22"/>
          <w:szCs w:val="22"/>
        </w:rPr>
        <w:t xml:space="preserve"> </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b/>
          <w:bCs/>
          <w:color w:val="000000"/>
          <w:sz w:val="22"/>
          <w:szCs w:val="22"/>
        </w:rPr>
      </w:pPr>
      <w:r>
        <w:rPr>
          <w:color w:val="000000"/>
          <w:sz w:val="22"/>
          <w:szCs w:val="22"/>
        </w:rPr>
        <w:t xml:space="preserve">The a</w:t>
      </w:r>
      <w:r>
        <w:rPr>
          <w:color w:val="000000"/>
          <w:sz w:val="22"/>
          <w:szCs w:val="22"/>
        </w:rPr>
        <w:t xml:space="preserve">verage </w:t>
      </w:r>
      <w:r>
        <w:rPr>
          <w:color w:val="000000"/>
          <w:sz w:val="22"/>
          <w:szCs w:val="22"/>
        </w:rPr>
        <w:t xml:space="preserve">residential </w:t>
      </w:r>
      <w:r>
        <w:rPr>
          <w:color w:val="000000"/>
          <w:sz w:val="22"/>
          <w:szCs w:val="22"/>
        </w:rPr>
        <w:t xml:space="preserve">distance </w:t>
      </w:r>
      <w:r>
        <w:rPr>
          <w:color w:val="000000"/>
          <w:sz w:val="22"/>
          <w:szCs w:val="22"/>
        </w:rPr>
        <w:t xml:space="preserve">to the </w:t>
      </w:r>
      <w:r>
        <w:rPr>
          <w:color w:val="000000"/>
          <w:sz w:val="22"/>
          <w:szCs w:val="22"/>
        </w:rPr>
        <w:t xml:space="preserve">nearest </w:t>
      </w:r>
      <w:r>
        <w:rPr>
          <w:color w:val="000000"/>
          <w:sz w:val="22"/>
          <w:szCs w:val="22"/>
        </w:rPr>
        <w:t xml:space="preserve">floricultural greenhouse </w:t>
      </w:r>
      <w:r>
        <w:rPr>
          <w:color w:val="000000"/>
          <w:sz w:val="22"/>
          <w:szCs w:val="22"/>
        </w:rPr>
        <w:t xml:space="preserve">was </w:t>
      </w:r>
      <w:r>
        <w:rPr>
          <w:color w:val="000000"/>
          <w:sz w:val="22"/>
          <w:szCs w:val="22"/>
        </w:rPr>
        <w:t xml:space="preserve">442</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348</w:t>
      </w:r>
      <w:r>
        <w:rPr>
          <w:color w:val="000000"/>
          <w:sz w:val="22"/>
          <w:szCs w:val="22"/>
        </w:rPr>
        <w:t xml:space="preserve">m</w:t>
      </w:r>
      <w:r>
        <w:rPr>
          <w:color w:val="000000"/>
          <w:sz w:val="22"/>
          <w:szCs w:val="22"/>
        </w:rPr>
        <w:t xml:space="preserve">)</w:t>
      </w:r>
      <w:r>
        <w:rPr>
          <w:color w:val="000000"/>
          <w:sz w:val="22"/>
          <w:szCs w:val="22"/>
        </w:rPr>
        <w:t xml:space="preserve">, </w:t>
      </w:r>
      <w:r>
        <w:rPr>
          <w:color w:val="000000"/>
          <w:sz w:val="22"/>
          <w:szCs w:val="22"/>
        </w:rPr>
        <w:t xml:space="preserve">50</w:t>
      </w:r>
      <w:r>
        <w:rPr>
          <w:color w:val="000000"/>
          <w:sz w:val="22"/>
          <w:szCs w:val="22"/>
        </w:rPr>
        <w:t xml:space="preserve">9</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6</w:t>
      </w:r>
      <w:r>
        <w:rPr>
          <w:color w:val="000000"/>
          <w:sz w:val="22"/>
          <w:szCs w:val="22"/>
        </w:rPr>
        <w:t xml:space="preserve">31</w:t>
      </w:r>
      <w:r>
        <w:rPr>
          <w:color w:val="000000"/>
          <w:sz w:val="22"/>
          <w:szCs w:val="22"/>
        </w:rPr>
        <w:t xml:space="preserve">m</w:t>
      </w:r>
      <w:r>
        <w:rPr>
          <w:color w:val="000000"/>
          <w:sz w:val="22"/>
          <w:szCs w:val="22"/>
        </w:rPr>
        <w:t xml:space="preserve">)</w:t>
      </w:r>
      <w:r>
        <w:rPr>
          <w:color w:val="000000"/>
          <w:sz w:val="22"/>
          <w:szCs w:val="22"/>
        </w:rPr>
        <w:t xml:space="preserve"> and </w:t>
      </w:r>
      <w:r>
        <w:rPr>
          <w:color w:val="000000"/>
          <w:sz w:val="22"/>
          <w:szCs w:val="22"/>
        </w:rPr>
        <w:t xml:space="preserve">567</w:t>
      </w:r>
      <w:r>
        <w:rPr>
          <w:color w:val="000000"/>
          <w:sz w:val="22"/>
          <w:szCs w:val="22"/>
        </w:rPr>
        <w:t xml:space="preserve">m</w:t>
      </w:r>
      <w:r>
        <w:rPr>
          <w:color w:val="000000"/>
          <w:sz w:val="22"/>
          <w:szCs w:val="22"/>
        </w:rPr>
        <w:t xml:space="preserve"> (</w:t>
      </w:r>
      <w:r>
        <w:rPr>
          <w:color w:val="000000"/>
          <w:sz w:val="22"/>
          <w:szCs w:val="22"/>
        </w:rPr>
        <w:t xml:space="preserve">±</w:t>
      </w:r>
      <w:r>
        <w:rPr>
          <w:color w:val="000000"/>
          <w:sz w:val="22"/>
          <w:szCs w:val="22"/>
        </w:rPr>
        <w:t xml:space="preserve">804</w:t>
      </w:r>
      <w:r>
        <w:rPr>
          <w:color w:val="000000"/>
          <w:sz w:val="22"/>
          <w:szCs w:val="22"/>
        </w:rPr>
        <w:t xml:space="preserve">m</w:t>
      </w:r>
      <w:r>
        <w:rPr>
          <w:color w:val="000000"/>
          <w:sz w:val="22"/>
          <w:szCs w:val="22"/>
        </w:rPr>
        <w:t xml:space="preserve">)</w:t>
      </w:r>
      <w:r>
        <w:rPr>
          <w:color w:val="000000"/>
          <w:sz w:val="22"/>
          <w:szCs w:val="22"/>
        </w:rPr>
        <w:t xml:space="preserve"> </w:t>
      </w:r>
      <w:r>
        <w:rPr>
          <w:color w:val="000000"/>
          <w:sz w:val="22"/>
          <w:szCs w:val="22"/>
        </w:rPr>
        <w:t xml:space="preserve">in Summer 2008, </w:t>
      </w:r>
      <w:r>
        <w:rPr>
          <w:color w:val="000000"/>
          <w:sz w:val="22"/>
          <w:szCs w:val="22"/>
        </w:rPr>
        <w:t xml:space="preserve">and </w:t>
      </w:r>
      <w:r>
        <w:rPr>
          <w:color w:val="000000"/>
          <w:sz w:val="22"/>
          <w:szCs w:val="22"/>
        </w:rPr>
        <w:t xml:space="preserve">Spring and Summer 2016 respectively</w:t>
      </w:r>
      <w:r>
        <w:rPr>
          <w:color w:val="000000"/>
          <w:sz w:val="22"/>
          <w:szCs w:val="22"/>
        </w:rPr>
        <w:t xml:space="preserve">.</w:t>
      </w:r>
      <w:r>
        <w:rPr>
          <w:color w:val="000000"/>
          <w:sz w:val="22"/>
          <w:szCs w:val="22"/>
        </w:rPr>
        <w:t xml:space="preserve"> </w:t>
      </w:r>
      <w:r>
        <w:rPr>
          <w:color w:val="000000"/>
          <w:sz w:val="22"/>
          <w:szCs w:val="22"/>
        </w:rPr>
        <w:t xml:space="preserve">Approximately</w:t>
      </w:r>
      <w:r>
        <w:rPr>
          <w:color w:val="000000"/>
          <w:sz w:val="22"/>
          <w:szCs w:val="22"/>
        </w:rPr>
        <w:t xml:space="preserve"> 63% of the cohort at the three time points had floricultural greenhouses</w:t>
      </w:r>
      <w:r>
        <w:rPr>
          <w:color w:val="000000"/>
          <w:sz w:val="22"/>
          <w:szCs w:val="22"/>
        </w:rPr>
        <w:t xml:space="preserve"> </w:t>
      </w:r>
      <w:r>
        <w:rPr>
          <w:color w:val="000000"/>
          <w:sz w:val="22"/>
          <w:szCs w:val="22"/>
        </w:rPr>
        <w:t xml:space="preserve">with</w:t>
      </w:r>
      <w:r>
        <w:rPr>
          <w:color w:val="000000"/>
          <w:sz w:val="22"/>
          <w:szCs w:val="22"/>
        </w:rPr>
        <w:t xml:space="preserve">in 500 m </w:t>
      </w:r>
      <w:r>
        <w:rPr>
          <w:color w:val="000000"/>
          <w:sz w:val="22"/>
          <w:szCs w:val="22"/>
        </w:rPr>
        <w:t xml:space="preserve">of their homes</w:t>
      </w:r>
      <w:r>
        <w:rPr>
          <w:color w:val="000000"/>
          <w:sz w:val="22"/>
          <w:szCs w:val="22"/>
        </w:rPr>
        <w:t xml:space="preserve">.</w:t>
      </w:r>
      <w:r>
        <w:rPr>
          <w:color w:val="000000"/>
          <w:sz w:val="22"/>
          <w:szCs w:val="22"/>
        </w:rPr>
        <w:t xml:space="preserve"> </w:t>
      </w:r>
      <w:r>
        <w:rPr>
          <w:color w:val="000000"/>
          <w:sz w:val="22"/>
          <w:szCs w:val="22"/>
        </w:rPr>
        <w:t xml:space="preserve">Scores of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w:t>
      </w:r>
      <w:r>
        <w:rPr>
          <w:color w:val="000000"/>
          <w:sz w:val="22"/>
          <w:szCs w:val="22"/>
        </w:rPr>
        <w:t xml:space="preserve">L</w:t>
      </w:r>
      <w:r>
        <w:rPr>
          <w:color w:val="000000"/>
          <w:sz w:val="22"/>
          <w:szCs w:val="22"/>
        </w:rPr>
        <w:t xml:space="preserve">anguage, </w:t>
      </w:r>
      <w:r>
        <w:rPr>
          <w:color w:val="000000"/>
          <w:sz w:val="22"/>
          <w:szCs w:val="22"/>
        </w:rPr>
        <w:t xml:space="preserve">V</w:t>
      </w:r>
      <w:r>
        <w:rPr>
          <w:color w:val="000000"/>
          <w:sz w:val="22"/>
          <w:szCs w:val="22"/>
        </w:rPr>
        <w:t xml:space="preserve">isuospatial </w:t>
      </w:r>
      <w:r>
        <w:rPr>
          <w:color w:val="000000"/>
          <w:sz w:val="22"/>
          <w:szCs w:val="22"/>
        </w:rPr>
        <w:t xml:space="preserve">P</w:t>
      </w:r>
      <w:r>
        <w:rPr>
          <w:color w:val="000000"/>
          <w:sz w:val="22"/>
          <w:szCs w:val="22"/>
        </w:rPr>
        <w:t xml:space="preserve">rocessing and </w:t>
      </w:r>
      <w:r>
        <w:rPr>
          <w:color w:val="000000"/>
          <w:sz w:val="22"/>
          <w:szCs w:val="22"/>
        </w:rPr>
        <w:t xml:space="preserve">S</w:t>
      </w:r>
      <w:r>
        <w:rPr>
          <w:color w:val="000000"/>
          <w:sz w:val="22"/>
          <w:szCs w:val="22"/>
        </w:rPr>
        <w:t xml:space="preserve">ocial </w:t>
      </w:r>
      <w:r>
        <w:rPr>
          <w:color w:val="000000"/>
          <w:sz w:val="22"/>
          <w:szCs w:val="22"/>
        </w:rPr>
        <w:t xml:space="preserve">P</w:t>
      </w:r>
      <w:r>
        <w:rPr>
          <w:color w:val="000000"/>
          <w:sz w:val="22"/>
          <w:szCs w:val="22"/>
        </w:rPr>
        <w:t xml:space="preserve">erception are described by visit in Table 2. </w:t>
      </w:r>
      <w:commentRangeStart w:id="57"/>
      <w:commentRangeStart w:id="58"/>
      <w:commentRangeStart w:id="59"/>
      <w:r>
        <w:rPr>
          <w:color w:val="000000"/>
          <w:sz w:val="22"/>
          <w:szCs w:val="22"/>
        </w:rPr>
        <w:t xml:space="preserve">In Summer 2008</w:t>
      </w:r>
      <w:r>
        <w:rPr>
          <w:color w:val="000000"/>
          <w:sz w:val="22"/>
          <w:szCs w:val="22"/>
        </w:rPr>
        <w:t xml:space="preserve"> and </w:t>
      </w:r>
      <w:r>
        <w:rPr>
          <w:color w:val="000000"/>
          <w:sz w:val="22"/>
          <w:szCs w:val="22"/>
        </w:rPr>
        <w:t xml:space="preserve">2016, </w:t>
      </w:r>
      <w:r>
        <w:rPr>
          <w:color w:val="000000"/>
          <w:sz w:val="22"/>
          <w:szCs w:val="22"/>
        </w:rPr>
        <w:t xml:space="preserve">below expected</w:t>
      </w:r>
      <w:r>
        <w:rPr>
          <w:color w:val="000000"/>
          <w:sz w:val="22"/>
          <w:szCs w:val="22"/>
        </w:rPr>
        <w:t xml:space="preserve"> </w:t>
      </w:r>
      <w:r>
        <w:rPr>
          <w:color w:val="000000"/>
          <w:sz w:val="22"/>
          <w:szCs w:val="22"/>
        </w:rPr>
        <w:t xml:space="preserve">NEPSY </w:t>
      </w:r>
      <w:r>
        <w:rPr>
          <w:color w:val="000000"/>
          <w:sz w:val="22"/>
          <w:szCs w:val="22"/>
        </w:rPr>
        <w:t xml:space="preserve">score</w:t>
      </w:r>
      <w:r>
        <w:rPr>
          <w:color w:val="000000"/>
          <w:sz w:val="22"/>
          <w:szCs w:val="22"/>
        </w:rPr>
        <w:t xml:space="preserve">s</w:t>
      </w:r>
      <w:r>
        <w:rPr>
          <w:color w:val="000000"/>
          <w:sz w:val="22"/>
          <w:szCs w:val="22"/>
        </w:rPr>
        <w:t xml:space="preserve"> w</w:t>
      </w:r>
      <w:r>
        <w:rPr>
          <w:color w:val="000000"/>
          <w:sz w:val="22"/>
          <w:szCs w:val="22"/>
        </w:rPr>
        <w:t xml:space="preserve">ere </w:t>
      </w:r>
      <w:r>
        <w:rPr>
          <w:color w:val="000000"/>
          <w:sz w:val="22"/>
          <w:szCs w:val="22"/>
        </w:rPr>
        <w:t xml:space="preserve">reported in </w:t>
      </w:r>
      <w:r>
        <w:rPr>
          <w:color w:val="000000"/>
          <w:sz w:val="22"/>
          <w:szCs w:val="22"/>
        </w:rPr>
        <w:t xml:space="preserve">Language</w:t>
      </w:r>
      <w:r>
        <w:rPr>
          <w:color w:val="000000"/>
          <w:sz w:val="22"/>
          <w:szCs w:val="22"/>
        </w:rPr>
        <w:t xml:space="preserve"> </w:t>
      </w:r>
      <w:r>
        <w:rPr>
          <w:color w:val="000000"/>
          <w:sz w:val="22"/>
          <w:szCs w:val="22"/>
        </w:rPr>
        <w:t xml:space="preserve">and Inhibition</w:t>
      </w:r>
      <w:r>
        <w:rPr>
          <w:color w:val="000000"/>
          <w:sz w:val="22"/>
          <w:szCs w:val="22"/>
        </w:rPr>
        <w:t xml:space="preserve">, while expected scores (8-12) were reported in many of the other categories </w:t>
      </w:r>
      <w:r>
        <w:rPr>
          <w:color w:val="000000"/>
          <w:sz w:val="22"/>
          <w:szCs w:val="22"/>
        </w:rPr>
        <w:t xml:space="preserve">(Table 2)</w:t>
      </w:r>
      <w:commentRangeEnd w:id="57"/>
      <w:commentRangeEnd w:id="58"/>
      <w:commentRangeEnd w:id="59"/>
      <w:r>
        <w:commentReference w:id="57"/>
        <w:commentReference w:id="58"/>
        <w:commentReference w:id="59"/>
      </w:r>
      <w:r>
        <w:rPr>
          <w:color w:val="000000"/>
          <w:sz w:val="22"/>
          <w:szCs w:val="22"/>
        </w:rPr>
        <w:t xml:space="preserve">. </w:t>
      </w:r>
      <w:commentRangeStart w:id="60"/>
      <w:r>
        <w:rPr>
          <w:color w:val="000000"/>
          <w:sz w:val="22"/>
          <w:szCs w:val="22"/>
        </w:rPr>
        <w:t xml:space="preserve">NEPSY-II subscale scores by residential proximity and visit time are described in Supplementary Table</w:t>
      </w:r>
      <w:r>
        <w:rPr>
          <w:color w:val="000000"/>
          <w:sz w:val="22"/>
          <w:szCs w:val="22"/>
        </w:rPr>
        <w:t xml:space="preserve"> 1</w:t>
      </w:r>
      <w:commentRangeEnd w:id="60"/>
      <w:r>
        <w:commentReference w:id="60"/>
      </w:r>
      <w:r>
        <w:rPr>
          <w:color w:val="000000"/>
          <w:sz w:val="22"/>
          <w:szCs w:val="22"/>
        </w:rPr>
        <w:t xml:space="preserve">.</w:t>
      </w:r>
      <w:r>
        <w:rPr>
          <w:b/>
          <w:bCs/>
          <w:color w:val="000000"/>
          <w:sz w:val="22"/>
          <w:szCs w:val="22"/>
        </w:rPr>
      </w:r>
    </w:p>
    <w:p>
      <w:pPr>
        <w:pBdr/>
        <w:spacing/>
        <w:ind/>
        <w:jc w:val="both"/>
        <w:rPr>
          <w:ins w:id="7" w:author=""/>
          <w:b/>
          <w:bCs/>
          <w:color w:val="000000"/>
          <w:sz w:val="22"/>
          <w:szCs w:val="22"/>
        </w:rPr>
      </w:pPr>
      <w:r/>
      <w:r>
        <w:rPr>
          <w:color w:val="000000"/>
          <w:sz w:val="22"/>
          <w:szCs w:val="22"/>
        </w:rPr>
      </w:r>
      <w:ins w:id="8">
        <w:r>
          <w:rPr>
            <w:b/>
            <w:bCs/>
            <w:color w:val="000000"/>
            <w:sz w:val="22"/>
            <w:szCs w:val="22"/>
          </w:rPr>
        </w:r>
      </w:ins>
    </w:p>
    <w:p>
      <w:pPr>
        <w:pBdr/>
        <w:spacing/>
        <w:ind/>
        <w:jc w:val="both"/>
        <w:rPr>
          <w:color w:val="000000"/>
          <w:sz w:val="22"/>
          <w:szCs w:val="22"/>
        </w:rPr>
      </w:pPr>
      <w:r>
        <w:rPr>
          <w:color w:val="000000"/>
          <w:sz w:val="22"/>
          <w:szCs w:val="22"/>
        </w:rPr>
        <w:t xml:space="preserve">In</w:t>
      </w:r>
      <w:commentRangeStart w:id="61"/>
      <w:r>
        <w:rPr>
          <w:color w:val="000000"/>
          <w:sz w:val="22"/>
          <w:szCs w:val="22"/>
        </w:rPr>
        <w:t xml:space="preserve"> our </w:t>
      </w:r>
      <w:commentRangeStart w:id="62"/>
      <w:ins w:id="9">
        <w:r/>
      </w:ins>
      <w:commentRangeEnd w:id="62"/>
      <w:r>
        <w:commentReference w:id="62"/>
      </w:r>
      <w:r>
        <w:rPr>
          <w:color w:val="000000"/>
          <w:sz w:val="22"/>
          <w:szCs w:val="22"/>
        </w:rPr>
        <w:t xml:space="preserve">data analysis, we found that distance from residency to nearest plantation was associated with a few covariates such as days after Mother’s Day harvest in all time periods, Indigenous children </w:t>
      </w:r>
      <w:r>
        <w:rPr>
          <w:color w:val="000000"/>
          <w:sz w:val="22"/>
          <w:szCs w:val="22"/>
        </w:rPr>
        <w:t xml:space="preserve">in </w:t>
      </w:r>
      <w:r>
        <w:rPr>
          <w:color w:val="000000"/>
          <w:sz w:val="22"/>
          <w:szCs w:val="22"/>
        </w:rPr>
        <w:t xml:space="preserve">S</w:t>
      </w:r>
      <w:r>
        <w:rPr>
          <w:color w:val="000000"/>
          <w:sz w:val="22"/>
          <w:szCs w:val="22"/>
        </w:rPr>
        <w:t xml:space="preserve">pring and </w:t>
      </w:r>
      <w:r>
        <w:rPr>
          <w:color w:val="000000"/>
          <w:sz w:val="22"/>
          <w:szCs w:val="22"/>
        </w:rPr>
        <w:t xml:space="preserve">S</w:t>
      </w:r>
      <w:r>
        <w:rPr>
          <w:color w:val="000000"/>
          <w:sz w:val="22"/>
          <w:szCs w:val="22"/>
        </w:rPr>
        <w:t xml:space="preserve">ummer 2016, scaled salary </w:t>
      </w:r>
      <w:r>
        <w:rPr>
          <w:color w:val="000000"/>
          <w:sz w:val="22"/>
          <w:szCs w:val="22"/>
        </w:rPr>
        <w:t xml:space="preserve">in </w:t>
      </w:r>
      <w:r>
        <w:rPr>
          <w:color w:val="000000"/>
          <w:sz w:val="22"/>
          <w:szCs w:val="22"/>
        </w:rPr>
        <w:t xml:space="preserve">Summer 2008, parental average education </w:t>
      </w:r>
      <w:r>
        <w:rPr>
          <w:color w:val="000000"/>
          <w:sz w:val="22"/>
          <w:szCs w:val="22"/>
        </w:rPr>
        <w:t xml:space="preserve">in </w:t>
      </w:r>
      <w:r>
        <w:rPr>
          <w:color w:val="000000"/>
          <w:sz w:val="22"/>
          <w:szCs w:val="22"/>
        </w:rPr>
        <w:t xml:space="preserve"> Summer</w:t>
      </w:r>
      <w:r>
        <w:rPr>
          <w:color w:val="000000"/>
          <w:sz w:val="22"/>
          <w:szCs w:val="22"/>
        </w:rPr>
        <w:t xml:space="preserve"> 2008 and cohabitating with an agricultural worker </w:t>
      </w:r>
      <w:r>
        <w:rPr>
          <w:color w:val="000000"/>
          <w:sz w:val="22"/>
          <w:szCs w:val="22"/>
        </w:rPr>
        <w:t xml:space="preserve">in</w:t>
      </w:r>
      <w:r>
        <w:rPr>
          <w:color w:val="000000"/>
          <w:sz w:val="22"/>
          <w:szCs w:val="22"/>
        </w:rPr>
        <w:t xml:space="preserve"> Spring 2016 (Table 3). </w:t>
      </w:r>
      <w:commentRangeEnd w:id="61"/>
      <w:r>
        <w:commentReference w:id="61"/>
      </w:r>
      <w:r>
        <w:rPr>
          <w:rStyle w:val="768"/>
          <w:color w:val="000000"/>
          <w:sz w:val="22"/>
          <w:szCs w:val="22"/>
        </w:rPr>
      </w:r>
      <w:r>
        <w:rPr>
          <w:color w:val="000000"/>
          <w:sz w:val="22"/>
          <w:szCs w:val="22"/>
        </w:rPr>
      </w:r>
    </w:p>
    <w:p>
      <w:pPr>
        <w:pBdr/>
        <w:spacing/>
        <w:ind/>
        <w:jc w:val="both"/>
        <w:rPr>
          <w:b/>
          <w:bCs/>
          <w:color w:val="000000"/>
          <w:sz w:val="22"/>
          <w:szCs w:val="22"/>
        </w:rPr>
      </w:pPr>
      <w:r/>
      <w:r/>
      <w:r>
        <w:rPr>
          <w:b/>
          <w:bCs/>
          <w:color w:val="000000"/>
          <w:sz w:val="22"/>
          <w:szCs w:val="22"/>
        </w:rPr>
      </w:r>
    </w:p>
    <w:p>
      <w:pPr>
        <w:pBdr/>
        <w:spacing/>
        <w:ind/>
        <w:jc w:val="both"/>
        <w:rPr>
          <w:color w:val="000000"/>
          <w:sz w:val="22"/>
          <w:szCs w:val="22"/>
        </w:rPr>
      </w:pPr>
      <w:r>
        <w:rPr>
          <w:color w:val="000000"/>
          <w:sz w:val="22"/>
          <w:szCs w:val="22"/>
        </w:rPr>
        <w:t xml:space="preserve">3.2 Associations</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commentRangeStart w:id="63"/>
      <w:commentRangeStart w:id="64"/>
      <w:commentRangeStart w:id="65"/>
      <w:commentRangeStart w:id="66"/>
      <w:ins w:id="10">
        <w:r/>
      </w:ins>
      <w:commentRangeEnd w:id="63"/>
      <w:commentRangeEnd w:id="64"/>
      <w:commentRangeEnd w:id="65"/>
      <w:r>
        <w:commentReference w:id="63"/>
        <w:commentReference w:id="64"/>
        <w:commentReference w:id="65"/>
      </w:r>
      <w:ins w:id="11">
        <w:r/>
      </w:ins>
      <w:commentRangeStart w:id="67"/>
      <w:commentRangeStart w:id="68"/>
      <w:ins w:id="12">
        <w:r/>
      </w:ins>
      <w:commentRangeEnd w:id="67"/>
      <w:commentRangeEnd w:id="68"/>
      <w:r>
        <w:commentReference w:id="67"/>
        <w:commentReference w:id="68"/>
      </w:r>
      <w:ins w:id="13">
        <w:r/>
      </w:ins>
      <w:commentRangeEnd w:id="66"/>
      <w:r>
        <w:commentReference w:id="66"/>
      </w:r>
      <w:ins w:id="14">
        <w:r/>
      </w:ins>
      <w:commentRangeStart w:id="69"/>
      <w:r>
        <w:rPr>
          <w:color w:val="000000"/>
          <w:sz w:val="22"/>
          <w:szCs w:val="22"/>
        </w:rPr>
        <w:t xml:space="preserve">.</w:t>
      </w:r>
      <w:commentRangeEnd w:id="69"/>
      <w:r>
        <w:commentReference w:id="69"/>
      </w:r>
      <w:r>
        <w:rPr>
          <w:rStyle w:val="768"/>
          <w:color w:val="000000"/>
          <w:sz w:val="22"/>
          <w:szCs w:val="22"/>
        </w:rPr>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In our longitudinal analyses,</w:t>
      </w:r>
      <w:r>
        <w:rPr>
          <w:color w:val="000000"/>
          <w:sz w:val="22"/>
          <w:szCs w:val="22"/>
        </w:rPr>
        <w:t xml:space="preserve"> </w:t>
      </w:r>
      <w:commentRangeStart w:id="70"/>
      <w:commentRangeStart w:id="71"/>
      <w:r>
        <w:rPr>
          <w:color w:val="000000"/>
          <w:sz w:val="22"/>
          <w:szCs w:val="22"/>
        </w:rPr>
        <w:t xml:space="preserve">statistically</w:t>
      </w:r>
      <w:r>
        <w:rPr>
          <w:color w:val="000000"/>
          <w:sz w:val="22"/>
          <w:szCs w:val="22"/>
        </w:rPr>
        <w:t xml:space="preserve"> s</w:t>
      </w:r>
      <w:r>
        <w:rPr>
          <w:color w:val="000000"/>
          <w:sz w:val="22"/>
          <w:szCs w:val="22"/>
        </w:rPr>
        <w:t xml:space="preserve">ignificant associations were found </w:t>
      </w:r>
      <w:r>
        <w:rPr>
          <w:color w:val="000000"/>
          <w:sz w:val="22"/>
          <w:szCs w:val="22"/>
        </w:rPr>
        <w:t xml:space="preserve">between our </w:t>
      </w:r>
      <w:r>
        <w:rPr>
          <w:color w:val="000000"/>
          <w:sz w:val="22"/>
          <w:szCs w:val="22"/>
        </w:rPr>
        <w:t xml:space="preserve">pesticide exposure</w:t>
      </w:r>
      <w:r>
        <w:rPr>
          <w:color w:val="000000"/>
          <w:sz w:val="22"/>
          <w:szCs w:val="22"/>
        </w:rPr>
        <w:t xml:space="preserve"> constructs </w:t>
      </w:r>
      <w:r>
        <w:rPr>
          <w:color w:val="000000"/>
          <w:sz w:val="22"/>
          <w:szCs w:val="22"/>
        </w:rPr>
        <w:t xml:space="preserve">with</w:t>
      </w:r>
      <w:r>
        <w:rPr>
          <w:color w:val="000000"/>
          <w:sz w:val="22"/>
          <w:szCs w:val="22"/>
        </w:rPr>
        <w:t xml:space="preserve"> </w:t>
      </w:r>
      <w:r>
        <w:rPr>
          <w:color w:val="000000"/>
          <w:sz w:val="22"/>
          <w:szCs w:val="22"/>
        </w:rPr>
        <w:t xml:space="preserve">Inhibition-Inhibition Combined, I</w:t>
      </w:r>
      <w:r>
        <w:rPr>
          <w:color w:val="000000"/>
          <w:sz w:val="22"/>
          <w:szCs w:val="22"/>
        </w:rPr>
        <w:t xml:space="preserve">nhibition-Switching Combined</w:t>
      </w:r>
      <w:r>
        <w:rPr>
          <w:color w:val="000000"/>
          <w:sz w:val="22"/>
          <w:szCs w:val="22"/>
        </w:rPr>
        <w:t xml:space="preserve">, </w:t>
      </w:r>
      <w:commentRangeStart w:id="72"/>
      <w:commentRangeStart w:id="73"/>
      <w:r>
        <w:rPr>
          <w:color w:val="000000"/>
          <w:sz w:val="22"/>
          <w:szCs w:val="22"/>
        </w:rPr>
        <w:t xml:space="preserve">I</w:t>
      </w:r>
      <w:r>
        <w:rPr>
          <w:color w:val="000000"/>
          <w:sz w:val="22"/>
          <w:szCs w:val="22"/>
        </w:rPr>
        <w:t xml:space="preserve">nhibition subdomain,</w:t>
      </w:r>
      <w:commentRangeEnd w:id="72"/>
      <w:commentRangeEnd w:id="73"/>
      <w:r>
        <w:commentReference w:id="72"/>
        <w:commentReference w:id="73"/>
      </w:r>
      <w:r>
        <w:rPr>
          <w:color w:val="000000"/>
          <w:sz w:val="22"/>
          <w:szCs w:val="22"/>
        </w:rPr>
        <w:t xml:space="preserve"> and the Attention/Inhibitory Control domain</w:t>
      </w:r>
      <w:r>
        <w:rPr>
          <w:color w:val="000000"/>
          <w:sz w:val="22"/>
          <w:szCs w:val="22"/>
        </w:rPr>
        <w:t xml:space="preserve"> (Figure </w:t>
      </w:r>
      <w:r>
        <w:rPr>
          <w:color w:val="000000"/>
          <w:sz w:val="22"/>
          <w:szCs w:val="22"/>
        </w:rPr>
        <w:t xml:space="preserve">2 and </w:t>
      </w:r>
      <w:commentRangeStart w:id="74"/>
      <w:r>
        <w:rPr>
          <w:color w:val="000000"/>
          <w:sz w:val="22"/>
          <w:szCs w:val="22"/>
        </w:rPr>
        <w:t xml:space="preserve">Supplementary Table 1</w:t>
      </w:r>
      <w:commentRangeEnd w:id="74"/>
      <w:r>
        <w:commentReference w:id="74"/>
      </w:r>
      <w:r>
        <w:rPr>
          <w:color w:val="000000"/>
          <w:sz w:val="22"/>
          <w:szCs w:val="22"/>
        </w:rPr>
        <w:t xml:space="preserve">)</w:t>
      </w:r>
      <w:r>
        <w:rPr>
          <w:color w:val="000000"/>
          <w:sz w:val="22"/>
          <w:szCs w:val="22"/>
        </w:rPr>
        <w:t xml:space="preserve">. </w:t>
      </w:r>
      <w:commentRangeEnd w:id="70"/>
      <w:commentRangeEnd w:id="71"/>
      <w:r>
        <w:commentReference w:id="70"/>
        <w:commentReference w:id="71"/>
      </w:r>
      <w:r>
        <w:rPr>
          <w:color w:val="000000"/>
          <w:sz w:val="22"/>
          <w:szCs w:val="22"/>
        </w:rPr>
        <w:t xml:space="preserve">The </w:t>
      </w:r>
      <w:r>
        <w:rPr>
          <w:color w:val="000000"/>
          <w:sz w:val="22"/>
          <w:szCs w:val="22"/>
        </w:rPr>
        <w:t xml:space="preserve">95% confidence intervals for </w:t>
      </w:r>
      <w:r>
        <w:rPr>
          <w:color w:val="000000"/>
          <w:sz w:val="22"/>
          <w:szCs w:val="22"/>
        </w:rPr>
        <w:t xml:space="preserve">the</w:t>
      </w:r>
      <w:r>
        <w:rPr>
          <w:color w:val="000000"/>
          <w:sz w:val="22"/>
          <w:szCs w:val="22"/>
        </w:rPr>
        <w:t xml:space="preserve"> association between distance or crop areas and </w:t>
      </w:r>
      <w:r>
        <w:rPr>
          <w:color w:val="000000"/>
          <w:sz w:val="22"/>
          <w:szCs w:val="22"/>
        </w:rPr>
        <w:t xml:space="preserve">these neurobehavioral</w:t>
      </w:r>
      <w:r>
        <w:rPr>
          <w:color w:val="000000"/>
          <w:sz w:val="22"/>
          <w:szCs w:val="22"/>
        </w:rPr>
        <w:t xml:space="preserve"> </w:t>
      </w:r>
      <w:commentRangeStart w:id="75"/>
      <w:commentRangeStart w:id="76"/>
      <w:r>
        <w:rPr>
          <w:color w:val="000000"/>
          <w:sz w:val="22"/>
          <w:szCs w:val="22"/>
        </w:rPr>
        <w:t xml:space="preserve">scores </w:t>
      </w:r>
      <w:commentRangeEnd w:id="75"/>
      <w:commentRangeEnd w:id="76"/>
      <w:r>
        <w:commentReference w:id="75"/>
        <w:commentReference w:id="76"/>
      </w:r>
      <w:r>
        <w:rPr>
          <w:color w:val="000000"/>
          <w:sz w:val="22"/>
          <w:szCs w:val="22"/>
        </w:rPr>
        <w:t xml:space="preserve">are </w:t>
      </w:r>
      <w:r>
        <w:rPr>
          <w:color w:val="000000"/>
          <w:sz w:val="22"/>
          <w:szCs w:val="22"/>
        </w:rPr>
        <w:t xml:space="preserve">shown</w:t>
      </w:r>
      <w:r>
        <w:rPr>
          <w:color w:val="000000"/>
          <w:sz w:val="22"/>
          <w:szCs w:val="22"/>
        </w:rPr>
        <w:t xml:space="preserve"> in </w:t>
      </w:r>
      <w:commentRangeStart w:id="77"/>
      <w:r>
        <w:rPr>
          <w:color w:val="000000"/>
          <w:sz w:val="22"/>
          <w:szCs w:val="22"/>
        </w:rPr>
        <w:t xml:space="preserve">Figure </w:t>
      </w:r>
      <w:r>
        <w:rPr>
          <w:color w:val="000000"/>
          <w:sz w:val="22"/>
          <w:szCs w:val="22"/>
        </w:rPr>
        <w:t xml:space="preserve">1</w:t>
      </w:r>
      <w:commentRangeEnd w:id="77"/>
      <w:r>
        <w:commentReference w:id="77"/>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b/>
          <w:bCs/>
          <w:color w:val="000000"/>
          <w:sz w:val="22"/>
          <w:szCs w:val="22"/>
        </w:rPr>
      </w:pPr>
      <w:r>
        <w:rPr>
          <w:b/>
          <w:bCs/>
          <w:color w:val="000000"/>
          <w:sz w:val="22"/>
          <w:szCs w:val="22"/>
        </w:rPr>
        <w:br w:type="page" w:clear="all"/>
      </w:r>
      <w:r>
        <w:rPr>
          <w:b/>
          <w:bCs/>
          <w:color w:val="000000"/>
          <w:sz w:val="22"/>
          <w:szCs w:val="22"/>
        </w:rPr>
      </w:r>
    </w:p>
    <w:p>
      <w:pPr>
        <w:pBdr/>
        <w:spacing/>
        <w:ind/>
        <w:rPr>
          <w:color w:val="000000"/>
          <w:sz w:val="22"/>
          <w:szCs w:val="22"/>
        </w:rPr>
      </w:pPr>
      <w:r>
        <w:rPr>
          <w:b/>
          <w:bCs/>
          <w:color w:val="000000"/>
          <w:sz w:val="22"/>
          <w:szCs w:val="22"/>
        </w:rPr>
        <w:t xml:space="preserve">Table 2:</w:t>
      </w:r>
      <w:r>
        <w:rPr>
          <w:color w:val="000000"/>
          <w:sz w:val="22"/>
          <w:szCs w:val="22"/>
        </w:rPr>
        <w:t xml:space="preserve"> Participant characteristics </w:t>
      </w:r>
      <w:r>
        <w:rPr>
          <w:color w:val="000000"/>
          <w:sz w:val="22"/>
          <w:szCs w:val="22"/>
        </w:rPr>
        <w:t xml:space="preserve">by visit</w:t>
      </w:r>
      <w:r>
        <w:rPr>
          <w:color w:val="000000"/>
          <w:sz w:val="22"/>
          <w:szCs w:val="22"/>
        </w:rPr>
      </w:r>
    </w:p>
    <w:tbl>
      <w:tblPr>
        <w:tblW w:w="0" w:type="auto"/>
        <w:tblBorders/>
        <w:tblLook w:val="04A0" w:firstRow="1" w:lastRow="0" w:firstColumn="1" w:lastColumn="0" w:noHBand="0" w:noVBand="1"/>
        <w:tblStyle w:val="780"/>
      </w:tblPr>
      <w:tblGrid>
        <w:gridCol w:w="4501"/>
        <w:gridCol w:w="1657"/>
        <w:gridCol w:w="1520"/>
        <w:gridCol w:w="1672"/>
      </w:tblGrid>
      <w:tr>
        <w:trPr>
          <w:trHeight w:val="520"/>
        </w:trPr>
        <w:tc>
          <w:tcPr>
            <w:tcBorders/>
            <w:tcW w:w="4501" w:type="dxa"/>
            <w:textDirection w:val="lrTb"/>
            <w:noWrap/>
          </w:tcPr>
          <w:p>
            <w:pPr>
              <w:pBdr/>
              <w:spacing/>
              <w:ind/>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 xml:space="preserve">Variable</w:t>
            </w:r>
            <w:r>
              <w:rPr>
                <w:rFonts w:ascii="Times New Roman" w:hAnsi="Times New Roman" w:cs="Times New Roman"/>
                <w:b/>
                <w:bCs/>
                <w:color w:val="000000"/>
                <w:sz w:val="18"/>
                <w:szCs w:val="18"/>
              </w:rPr>
            </w:r>
          </w:p>
        </w:tc>
        <w:tc>
          <w:tcPr>
            <w:tcBorders/>
            <w:tcW w:w="1657" w:type="dxa"/>
            <w:textDirection w:val="lrTb"/>
            <w:noWrap w:val="false"/>
          </w:tcPr>
          <w:p>
            <w:pPr>
              <w:pBdr/>
              <w:spacing/>
              <w:ind/>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 xml:space="preserve">Visit 1 (Summer 2008)</w:t>
            </w:r>
            <w:r>
              <w:rPr>
                <w:rFonts w:ascii="Times New Roman" w:hAnsi="Times New Roman" w:cs="Times New Roman"/>
                <w:b/>
                <w:bCs/>
                <w:color w:val="000000"/>
                <w:sz w:val="18"/>
                <w:szCs w:val="18"/>
              </w:rPr>
              <w:br/>
              <w:t xml:space="preserve">(n=313)</w:t>
            </w:r>
            <w:r>
              <w:rPr>
                <w:rFonts w:ascii="Times New Roman" w:hAnsi="Times New Roman" w:cs="Times New Roman"/>
                <w:b/>
                <w:bCs/>
                <w:color w:val="000000"/>
                <w:sz w:val="18"/>
                <w:szCs w:val="18"/>
              </w:rPr>
            </w:r>
          </w:p>
        </w:tc>
        <w:tc>
          <w:tcPr>
            <w:tcBorders/>
            <w:tcW w:w="1520" w:type="dxa"/>
            <w:textDirection w:val="lrTb"/>
            <w:noWrap w:val="false"/>
          </w:tcPr>
          <w:p>
            <w:pPr>
              <w:pBdr/>
              <w:spacing/>
              <w:ind/>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 xml:space="preserve">Visit 2 (Spring 2016)</w:t>
            </w:r>
            <w:r>
              <w:rPr>
                <w:rFonts w:ascii="Times New Roman" w:hAnsi="Times New Roman" w:cs="Times New Roman"/>
                <w:b/>
                <w:bCs/>
                <w:color w:val="000000"/>
                <w:sz w:val="18"/>
                <w:szCs w:val="18"/>
              </w:rPr>
              <w:br/>
              <w:t xml:space="preserve">(n=3</w:t>
            </w:r>
            <w:r>
              <w:rPr>
                <w:rFonts w:ascii="Times New Roman" w:hAnsi="Times New Roman" w:cs="Times New Roman"/>
                <w:b/>
                <w:bCs/>
                <w:color w:val="000000"/>
                <w:sz w:val="18"/>
                <w:szCs w:val="18"/>
              </w:rPr>
              <w:t xml:space="preserve">30</w:t>
            </w:r>
            <w:r>
              <w:rPr>
                <w:rFonts w:ascii="Times New Roman" w:hAnsi="Times New Roman" w:cs="Times New Roman"/>
                <w:b/>
                <w:bCs/>
                <w:color w:val="000000"/>
                <w:sz w:val="18"/>
                <w:szCs w:val="18"/>
              </w:rPr>
              <w:t xml:space="preserve">)</w:t>
            </w:r>
            <w:r>
              <w:rPr>
                <w:rFonts w:ascii="Times New Roman" w:hAnsi="Times New Roman" w:cs="Times New Roman"/>
                <w:b/>
                <w:bCs/>
                <w:color w:val="000000"/>
                <w:sz w:val="18"/>
                <w:szCs w:val="18"/>
              </w:rPr>
            </w:r>
          </w:p>
        </w:tc>
        <w:tc>
          <w:tcPr>
            <w:tcBorders/>
            <w:tcW w:w="1672" w:type="dxa"/>
            <w:textDirection w:val="lrTb"/>
            <w:noWrap w:val="false"/>
          </w:tcPr>
          <w:p>
            <w:pPr>
              <w:pBdr/>
              <w:spacing/>
              <w:ind/>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 xml:space="preserve">Visit 3 (Summer 2016)</w:t>
            </w:r>
            <w:r>
              <w:rPr>
                <w:rFonts w:ascii="Times New Roman" w:hAnsi="Times New Roman" w:cs="Times New Roman"/>
                <w:b/>
                <w:bCs/>
                <w:color w:val="000000"/>
                <w:sz w:val="18"/>
                <w:szCs w:val="18"/>
              </w:rPr>
              <w:br/>
              <w:t xml:space="preserve">(n=535)</w:t>
            </w:r>
            <w:r>
              <w:rPr>
                <w:rFonts w:ascii="Times New Roman" w:hAnsi="Times New Roman" w:cs="Times New Roman"/>
                <w:b/>
                <w:bCs/>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Age</w:t>
            </w:r>
            <w:r>
              <w:rPr>
                <w:rFonts w:ascii="Times New Roman" w:hAnsi="Times New Roman" w:cs="Times New Roman"/>
                <w:color w:val="000000"/>
                <w:sz w:val="18"/>
                <w:szCs w:val="18"/>
              </w:rPr>
              <w:t xml:space="preserve"> in</w:t>
            </w:r>
            <w:r>
              <w:rPr>
                <w:rFonts w:ascii="Times New Roman" w:hAnsi="Times New Roman" w:cs="Times New Roman"/>
                <w:color w:val="000000"/>
                <w:sz w:val="18"/>
                <w:szCs w:val="18"/>
              </w:rPr>
              <w:t xml:space="preserve"> years, mean (</w:t>
            </w:r>
            <w:r>
              <w:rPr>
                <w:rFonts w:ascii="Times New Roman" w:hAnsi="Times New Roman" w:cs="Times New Roman"/>
                <w:color w:val="000000"/>
                <w:sz w:val="18"/>
                <w:szCs w:val="18"/>
              </w:rPr>
              <w:t xml:space="preserve">SD</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6.6 (1.6)</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14.3 (1.8)</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14.5 (1.8)</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Race</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N</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Indigenous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66 (21.1)</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 (23.</w:t>
            </w: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115 (21.5)</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Mestizo</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24</w:t>
            </w: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 (7</w:t>
            </w:r>
            <w:r>
              <w:rPr>
                <w:rFonts w:ascii="Times New Roman" w:hAnsi="Times New Roman" w:cs="Times New Roman"/>
                <w:color w:val="000000"/>
                <w:sz w:val="18"/>
                <w:szCs w:val="18"/>
              </w:rPr>
              <w:t xml:space="preserve">8.9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25</w:t>
            </w:r>
            <w:r>
              <w:rPr>
                <w:rFonts w:ascii="Times New Roman" w:hAnsi="Times New Roman" w:cs="Times New Roman"/>
                <w:color w:val="000000"/>
                <w:sz w:val="18"/>
                <w:szCs w:val="18"/>
              </w:rPr>
              <w:t xml:space="preserve"> (7</w:t>
            </w:r>
            <w:r>
              <w:rPr>
                <w:rFonts w:ascii="Times New Roman" w:hAnsi="Times New Roman" w:cs="Times New Roman"/>
                <w:color w:val="000000"/>
                <w:sz w:val="18"/>
                <w:szCs w:val="18"/>
              </w:rPr>
              <w:t xml:space="preserve">6.4</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4</w:t>
            </w:r>
            <w:r>
              <w:rPr>
                <w:rFonts w:ascii="Times New Roman" w:hAnsi="Times New Roman" w:cs="Times New Roman"/>
                <w:color w:val="000000"/>
                <w:sz w:val="18"/>
                <w:szCs w:val="18"/>
              </w:rPr>
              <w:t xml:space="preserve">20</w:t>
            </w:r>
            <w:r>
              <w:rPr>
                <w:rFonts w:ascii="Times New Roman" w:hAnsi="Times New Roman" w:cs="Times New Roman"/>
                <w:color w:val="000000"/>
                <w:sz w:val="18"/>
                <w:szCs w:val="18"/>
              </w:rPr>
              <w:t xml:space="preserve"> (7</w:t>
            </w:r>
            <w:r>
              <w:rPr>
                <w:rFonts w:ascii="Times New Roman" w:hAnsi="Times New Roman" w:cs="Times New Roman"/>
                <w:color w:val="000000"/>
                <w:sz w:val="18"/>
                <w:szCs w:val="18"/>
              </w:rPr>
              <w:t xml:space="preserve">8.5</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Sex</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N</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Female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154 (49.</w:t>
            </w: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16</w:t>
            </w: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 (49.</w:t>
            </w: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272 (50.8)</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Male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159 (50.8)</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16</w:t>
            </w: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 (50.</w:t>
            </w:r>
            <w:r>
              <w:rPr>
                <w:rFonts w:ascii="Times New Roman" w:hAnsi="Times New Roman" w:cs="Times New Roman"/>
                <w:color w:val="000000"/>
                <w:sz w:val="18"/>
                <w:szCs w:val="18"/>
              </w:rPr>
              <w:t xml:space="preserve">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263 (49.2)</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Days after Mother's Day harvest, 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84.</w:t>
            </w:r>
            <w:r>
              <w:rPr>
                <w:rFonts w:ascii="Times New Roman" w:hAnsi="Times New Roman" w:cs="Times New Roman"/>
                <w:color w:val="000000"/>
                <w:sz w:val="18"/>
                <w:szCs w:val="18"/>
              </w:rPr>
              <w:t xml:space="preserve">5</w:t>
            </w:r>
            <w:r>
              <w:rPr>
                <w:rFonts w:ascii="Times New Roman" w:hAnsi="Times New Roman" w:cs="Times New Roman"/>
                <w:color w:val="000000"/>
                <w:sz w:val="18"/>
                <w:szCs w:val="18"/>
              </w:rPr>
              <w:t xml:space="preserve"> (10.</w:t>
            </w:r>
            <w:r>
              <w:rPr>
                <w:rFonts w:ascii="Times New Roman" w:hAnsi="Times New Roman" w:cs="Times New Roman"/>
                <w:color w:val="000000"/>
                <w:sz w:val="18"/>
                <w:szCs w:val="18"/>
              </w:rPr>
              <w:t xml:space="preserve">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-12.</w:t>
            </w: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 (5.5)</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w:t>
            </w:r>
            <w:r>
              <w:rPr>
                <w:rFonts w:ascii="Times New Roman" w:hAnsi="Times New Roman" w:cs="Times New Roman"/>
                <w:color w:val="000000"/>
                <w:sz w:val="18"/>
                <w:szCs w:val="18"/>
              </w:rPr>
              <w:t xml:space="preserve">2.3</w:t>
            </w:r>
            <w:r>
              <w:rPr>
                <w:rFonts w:ascii="Times New Roman" w:hAnsi="Times New Roman" w:cs="Times New Roman"/>
                <w:color w:val="000000"/>
                <w:sz w:val="18"/>
                <w:szCs w:val="18"/>
              </w:rPr>
              <w:t xml:space="preserve"> (18.6)</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Z-score-height-for-age, 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3</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1.0</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1.0</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5</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(0.9)</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Parental average education (years), 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7.6 (3.7)</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 (3.</w:t>
            </w: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 (3.</w:t>
            </w:r>
            <w:r>
              <w:rPr>
                <w:rFonts w:ascii="Times New Roman" w:hAnsi="Times New Roman" w:cs="Times New Roman"/>
                <w:color w:val="000000"/>
                <w:sz w:val="18"/>
                <w:szCs w:val="18"/>
              </w:rPr>
              <w:t xml:space="preserve">4</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Cohabitation with an agricultural worker</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n </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79</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57.2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223</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68.2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360</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67.5</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Distance from household to the nearest plantation (meters), 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44</w:t>
            </w:r>
            <w:r>
              <w:rPr>
                <w:rFonts w:ascii="Times New Roman" w:hAnsi="Times New Roman" w:cs="Times New Roman"/>
                <w:color w:val="000000"/>
                <w:sz w:val="18"/>
                <w:szCs w:val="18"/>
              </w:rPr>
              <w:t xml:space="preserve">1.8</w:t>
            </w:r>
            <w:r>
              <w:rPr>
                <w:rFonts w:ascii="Times New Roman" w:hAnsi="Times New Roman" w:cs="Times New Roman"/>
                <w:color w:val="000000"/>
                <w:sz w:val="18"/>
                <w:szCs w:val="18"/>
              </w:rPr>
              <w:t xml:space="preserve"> (348</w:t>
            </w:r>
            <w:r>
              <w:rPr>
                <w:rFonts w:ascii="Times New Roman" w:hAnsi="Times New Roman" w:cs="Times New Roman"/>
                <w:color w:val="000000"/>
                <w:sz w:val="18"/>
                <w:szCs w:val="18"/>
              </w:rPr>
              <w:t xml:space="preserve">.3</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50</w:t>
            </w:r>
            <w:r>
              <w:rPr>
                <w:rFonts w:ascii="Times New Roman" w:hAnsi="Times New Roman" w:cs="Times New Roman"/>
                <w:color w:val="000000"/>
                <w:sz w:val="18"/>
                <w:szCs w:val="18"/>
              </w:rPr>
              <w:t xml:space="preserve">8.8</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630.8</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5</w:t>
            </w:r>
            <w:r>
              <w:rPr>
                <w:rFonts w:ascii="Times New Roman" w:hAnsi="Times New Roman" w:cs="Times New Roman"/>
                <w:color w:val="000000"/>
                <w:sz w:val="18"/>
                <w:szCs w:val="18"/>
              </w:rPr>
              <w:t xml:space="preserve">66.9</w:t>
            </w:r>
            <w:r>
              <w:rPr>
                <w:rFonts w:ascii="Times New Roman" w:hAnsi="Times New Roman" w:cs="Times New Roman"/>
                <w:color w:val="000000"/>
                <w:sz w:val="18"/>
                <w:szCs w:val="18"/>
              </w:rPr>
              <w:t xml:space="preserve"> (80</w:t>
            </w:r>
            <w:r>
              <w:rPr>
                <w:rFonts w:ascii="Times New Roman" w:hAnsi="Times New Roman" w:cs="Times New Roman"/>
                <w:color w:val="000000"/>
                <w:sz w:val="18"/>
                <w:szCs w:val="18"/>
              </w:rPr>
              <w:t xml:space="preserve">3.6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commentRangeStart w:id="78"/>
            <w:commentRangeStart w:id="79"/>
            <w:commentRangeStart w:id="80"/>
            <w:r>
              <w:rPr>
                <w:rFonts w:ascii="Times New Roman" w:hAnsi="Times New Roman" w:cs="Times New Roman"/>
                <w:color w:val="000000"/>
                <w:sz w:val="18"/>
                <w:szCs w:val="18"/>
              </w:rPr>
              <w:t xml:space="preserve">Non-zero</w:t>
            </w:r>
            <w:r>
              <w:rPr>
                <w:rFonts w:ascii="Times New Roman" w:hAnsi="Times New Roman" w:cs="Times New Roman"/>
                <w:color w:val="000000"/>
                <w:sz w:val="18"/>
                <w:szCs w:val="18"/>
              </w:rPr>
              <w:t xml:space="preserve"> crop area</w:t>
            </w:r>
            <w:r>
              <w:rPr>
                <w:rFonts w:ascii="Times New Roman" w:hAnsi="Times New Roman" w:cs="Times New Roman"/>
                <w:color w:val="000000"/>
                <w:sz w:val="18"/>
                <w:szCs w:val="18"/>
              </w:rPr>
              <w:t xml:space="preserve"> within a certain radius</w:t>
            </w:r>
            <w:r>
              <w:rPr>
                <w:rFonts w:ascii="Times New Roman" w:hAnsi="Times New Roman" w:cs="Times New Roman"/>
                <w:color w:val="000000"/>
                <w:sz w:val="18"/>
                <w:szCs w:val="18"/>
              </w:rPr>
              <w:t xml:space="preserve"> (m</w:t>
            </w:r>
            <w:r>
              <w:rPr>
                <w:rFonts w:ascii="Times New Roman" w:hAnsi="Times New Roman" w:cs="Times New Roman"/>
                <w:color w:val="000000"/>
                <w:sz w:val="18"/>
                <w:szCs w:val="18"/>
                <w:vertAlign w:val="superscript"/>
              </w:rPr>
              <w:t xml:space="preserve">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N</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w:t>
            </w:r>
            <w:commentRangeEnd w:id="78"/>
            <w:commentRangeEnd w:id="79"/>
            <w:commentRangeEnd w:id="80"/>
            <w:r>
              <w:commentReference w:id="78"/>
              <w:commentReference w:id="79"/>
              <w:commentReference w:id="80"/>
            </w:r>
            <w:r>
              <w:rPr>
                <w:rStyle w:val="768"/>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50m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18 (5.8)</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9</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8.8</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55 (</w:t>
            </w:r>
            <w:r>
              <w:rPr>
                <w:rFonts w:ascii="Times New Roman" w:hAnsi="Times New Roman" w:cs="Times New Roman"/>
                <w:color w:val="000000"/>
                <w:sz w:val="18"/>
                <w:szCs w:val="18"/>
              </w:rPr>
              <w:t xml:space="preserve">10.3</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100m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43 (13.</w:t>
            </w:r>
            <w:r>
              <w:rPr>
                <w:rFonts w:ascii="Times New Roman" w:hAnsi="Times New Roman" w:cs="Times New Roman"/>
                <w:color w:val="000000"/>
                <w:sz w:val="18"/>
                <w:szCs w:val="18"/>
              </w:rPr>
              <w:t xml:space="preserve">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21.8</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117 (</w:t>
            </w:r>
            <w:r>
              <w:rPr>
                <w:rFonts w:ascii="Times New Roman" w:hAnsi="Times New Roman" w:cs="Times New Roman"/>
                <w:color w:val="000000"/>
                <w:sz w:val="18"/>
                <w:szCs w:val="18"/>
              </w:rPr>
              <w:t xml:space="preserve">21.9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150m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60 (19.</w:t>
            </w:r>
            <w:r>
              <w:rPr>
                <w:rFonts w:ascii="Times New Roman" w:hAnsi="Times New Roman" w:cs="Times New Roman"/>
                <w:color w:val="000000"/>
                <w:sz w:val="18"/>
                <w:szCs w:val="18"/>
              </w:rPr>
              <w:t xml:space="preserve">4</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106</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32.1</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181 (</w:t>
            </w:r>
            <w:r>
              <w:rPr>
                <w:rFonts w:ascii="Times New Roman" w:hAnsi="Times New Roman" w:cs="Times New Roman"/>
                <w:color w:val="000000"/>
                <w:sz w:val="18"/>
                <w:szCs w:val="18"/>
              </w:rPr>
              <w:t xml:space="preserve">33.8</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200m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84 (2</w:t>
            </w:r>
            <w:r>
              <w:rPr>
                <w:rFonts w:ascii="Times New Roman" w:hAnsi="Times New Roman" w:cs="Times New Roman"/>
                <w:color w:val="000000"/>
                <w:sz w:val="18"/>
                <w:szCs w:val="18"/>
              </w:rPr>
              <w:t xml:space="preserve">7.1</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33</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40.3</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216 (</w:t>
            </w:r>
            <w:r>
              <w:rPr>
                <w:rFonts w:ascii="Times New Roman" w:hAnsi="Times New Roman" w:cs="Times New Roman"/>
                <w:color w:val="000000"/>
                <w:sz w:val="18"/>
                <w:szCs w:val="18"/>
              </w:rPr>
              <w:t xml:space="preserve">40.4</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300m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135 (43.</w:t>
            </w:r>
            <w:r>
              <w:rPr>
                <w:rFonts w:ascii="Times New Roman" w:hAnsi="Times New Roman" w:cs="Times New Roman"/>
                <w:color w:val="000000"/>
                <w:sz w:val="18"/>
                <w:szCs w:val="18"/>
              </w:rPr>
              <w:t xml:space="preserve">5</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w:t>
            </w:r>
            <w:r>
              <w:rPr>
                <w:rFonts w:ascii="Times New Roman" w:hAnsi="Times New Roman" w:cs="Times New Roman"/>
                <w:color w:val="000000"/>
                <w:sz w:val="18"/>
                <w:szCs w:val="18"/>
              </w:rPr>
              <w:t xml:space="preserve">63</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49.4</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263 (</w:t>
            </w:r>
            <w:r>
              <w:rPr>
                <w:rFonts w:ascii="Times New Roman" w:hAnsi="Times New Roman" w:cs="Times New Roman"/>
                <w:color w:val="000000"/>
                <w:sz w:val="18"/>
                <w:szCs w:val="18"/>
              </w:rPr>
              <w:t xml:space="preserve">49.2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500m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194 (62.</w:t>
            </w: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204</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61.8</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340 (</w:t>
            </w:r>
            <w:r>
              <w:rPr>
                <w:rFonts w:ascii="Times New Roman" w:hAnsi="Times New Roman" w:cs="Times New Roman"/>
                <w:color w:val="000000"/>
                <w:sz w:val="18"/>
                <w:szCs w:val="18"/>
              </w:rPr>
              <w:t xml:space="preserve">63.6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1000m</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279 (</w:t>
            </w:r>
            <w:r>
              <w:rPr>
                <w:rFonts w:ascii="Times New Roman" w:hAnsi="Times New Roman" w:cs="Times New Roman"/>
                <w:color w:val="000000"/>
                <w:sz w:val="18"/>
                <w:szCs w:val="18"/>
              </w:rPr>
              <w:t xml:space="preserve">90.0</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2</w:t>
            </w:r>
            <w:r>
              <w:rPr>
                <w:rFonts w:ascii="Times New Roman" w:hAnsi="Times New Roman" w:cs="Times New Roman"/>
                <w:color w:val="000000"/>
                <w:sz w:val="18"/>
                <w:szCs w:val="18"/>
              </w:rPr>
              <w:t xml:space="preserve">89</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87.6</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461 (</w:t>
            </w:r>
            <w:r>
              <w:rPr>
                <w:rFonts w:ascii="Times New Roman" w:hAnsi="Times New Roman" w:cs="Times New Roman"/>
                <w:color w:val="000000"/>
                <w:sz w:val="18"/>
                <w:szCs w:val="18"/>
              </w:rPr>
              <w:t xml:space="preserve">86.2</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NEPSY-II </w:t>
            </w:r>
            <w:r>
              <w:rPr>
                <w:rFonts w:ascii="Times New Roman" w:hAnsi="Times New Roman" w:cs="Times New Roman"/>
                <w:color w:val="000000"/>
                <w:sz w:val="18"/>
                <w:szCs w:val="18"/>
              </w:rPr>
              <w:t xml:space="preserve">O</w:t>
            </w:r>
            <w:commentRangeStart w:id="81"/>
            <w:commentRangeStart w:id="82"/>
            <w:ins w:id="15">
              <w:r/>
            </w:ins>
            <w:commentRangeEnd w:id="81"/>
            <w:commentRangeEnd w:id="82"/>
            <w:r>
              <w:commentReference w:id="81"/>
              <w:commentReference w:id="82"/>
            </w:r>
            <w:r>
              <w:rPr>
                <w:rFonts w:ascii="Times New Roman" w:hAnsi="Times New Roman" w:cs="Times New Roman"/>
                <w:color w:val="000000"/>
                <w:sz w:val="18"/>
                <w:szCs w:val="18"/>
              </w:rPr>
              <w:t xml:space="preserve">verall</w:t>
            </w:r>
            <w:r>
              <w:rPr>
                <w:rFonts w:ascii="Times New Roman" w:hAnsi="Times New Roman" w:cs="Times New Roman"/>
                <w:color w:val="000000"/>
                <w:sz w:val="18"/>
                <w:szCs w:val="18"/>
              </w:rPr>
              <w:t xml:space="preserve"> score</w:t>
            </w:r>
            <w:r>
              <w:rPr>
                <w:rFonts w:ascii="Times New Roman" w:hAnsi="Times New Roman" w:cs="Times New Roman"/>
                <w:color w:val="000000"/>
                <w:sz w:val="18"/>
                <w:szCs w:val="18"/>
              </w:rPr>
              <w:t xml:space="preserve">, 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7.9 (1.9)</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7.7 (2.0)</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8.0 (1.5)</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rPr>
                <w:rFonts w:ascii="Times New Roman" w:hAnsi="Times New Roman" w:cs="Times New Roman"/>
                <w:color w:val="000000"/>
                <w:sz w:val="18"/>
                <w:szCs w:val="18"/>
              </w:rPr>
            </w:pP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Attention</w:t>
            </w:r>
            <w:r>
              <w:rPr>
                <w:rFonts w:ascii="Times New Roman" w:hAnsi="Times New Roman" w:cs="Times New Roman"/>
                <w:color w:val="000000"/>
                <w:sz w:val="18"/>
                <w:szCs w:val="18"/>
              </w:rPr>
              <w:t xml:space="preserve">/I</w:t>
            </w:r>
            <w:r>
              <w:rPr>
                <w:rFonts w:ascii="Times New Roman" w:hAnsi="Times New Roman" w:cs="Times New Roman"/>
                <w:color w:val="000000"/>
                <w:sz w:val="18"/>
                <w:szCs w:val="18"/>
              </w:rPr>
              <w:t xml:space="preserve">nhibitory </w:t>
            </w:r>
            <w:r>
              <w:rPr>
                <w:rFonts w:ascii="Times New Roman" w:hAnsi="Times New Roman" w:cs="Times New Roman"/>
                <w:color w:val="000000"/>
                <w:sz w:val="18"/>
                <w:szCs w:val="18"/>
              </w:rPr>
              <w:t xml:space="preserve">C</w:t>
            </w:r>
            <w:r>
              <w:rPr>
                <w:rFonts w:ascii="Times New Roman" w:hAnsi="Times New Roman" w:cs="Times New Roman"/>
                <w:color w:val="000000"/>
                <w:sz w:val="18"/>
                <w:szCs w:val="18"/>
              </w:rPr>
              <w:t xml:space="preserve">ontrol</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mean (SD)</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7.8 (2.2)</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8.0 (2.1)</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8.4 (2.2)</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Auditory attention combined (AAC)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8.2 (3.4)</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8.5 (3.8)</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9.6 (3.4)</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Response set combined (RSC)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8.8 (3.2)</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9.4 (3.0)</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9.7 (2.8)</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Inhibition-inhibition combined (IIC)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7.1 (3.1)</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6.6 (3.2)</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6.8 (3.2)</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Inhibition-naming combined (INC)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7.1 (3.7)</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6.3 (2.8)</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6.5 (3.0)</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Inhibition-switching combined (ISC)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0</w:t>
            </w:r>
            <w:r>
              <w:rPr>
                <w:rFonts w:ascii="Times New Roman" w:hAnsi="Times New Roman" w:cs="Times New Roman"/>
                <w:color w:val="000000"/>
                <w:sz w:val="18"/>
                <w:szCs w:val="18"/>
              </w:rPr>
              <w:t xml:space="preserve"> (2.6)</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5</w:t>
            </w:r>
            <w:r>
              <w:rPr>
                <w:rFonts w:ascii="Times New Roman" w:hAnsi="Times New Roman" w:cs="Times New Roman"/>
                <w:color w:val="000000"/>
                <w:sz w:val="18"/>
                <w:szCs w:val="18"/>
              </w:rPr>
              <w:t xml:space="preserve"> (2.7)</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7.5 (3.2)</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Language</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6.6 (2.4)</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7.0 (2.0)</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left="314"/>
              <w:rPr>
                <w:rFonts w:ascii="Times New Roman" w:hAnsi="Times New Roman" w:cs="Times New Roman"/>
                <w:color w:val="000000"/>
                <w:sz w:val="18"/>
                <w:szCs w:val="18"/>
              </w:rPr>
            </w:pPr>
            <w:r>
              <w:rPr>
                <w:rFonts w:ascii="Times New Roman" w:hAnsi="Times New Roman" w:cs="Times New Roman"/>
                <w:color w:val="000000"/>
                <w:sz w:val="18"/>
                <w:szCs w:val="18"/>
              </w:rPr>
              <w:t xml:space="preserve">Comprehension of instruction total score (CITS)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7.3 (</w:t>
            </w:r>
            <w:r>
              <w:rPr>
                <w:rFonts w:ascii="Times New Roman" w:hAnsi="Times New Roman" w:cs="Times New Roman"/>
                <w:color w:val="000000"/>
                <w:sz w:val="18"/>
                <w:szCs w:val="18"/>
              </w:rPr>
              <w:t xml:space="preserve">2.9</w:t>
            </w:r>
            <w:r>
              <w:rPr>
                <w:rFonts w:ascii="Times New Roman" w:hAnsi="Times New Roman" w:cs="Times New Roman"/>
                <w:color w:val="000000"/>
                <w:sz w:val="18"/>
                <w:szCs w:val="18"/>
              </w:rPr>
              <w:t xml:space="preserve">)</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3</w:t>
            </w:r>
            <w:r>
              <w:rPr>
                <w:rFonts w:ascii="Times New Roman" w:hAnsi="Times New Roman" w:cs="Times New Roman"/>
                <w:color w:val="000000"/>
                <w:sz w:val="18"/>
                <w:szCs w:val="18"/>
              </w:rPr>
              <w:t xml:space="preserve"> (2.6)</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left="314"/>
              <w:rPr>
                <w:rFonts w:ascii="Times New Roman" w:hAnsi="Times New Roman" w:cs="Times New Roman"/>
                <w:color w:val="000000"/>
                <w:sz w:val="18"/>
                <w:szCs w:val="18"/>
              </w:rPr>
            </w:pPr>
            <w:r>
              <w:rPr>
                <w:rFonts w:ascii="Times New Roman" w:hAnsi="Times New Roman" w:cs="Times New Roman"/>
                <w:color w:val="000000"/>
                <w:sz w:val="18"/>
                <w:szCs w:val="18"/>
              </w:rPr>
              <w:t xml:space="preserve">Speed naming combined (SNC)</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5.9 (3.0)</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7.7 (2.9)</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left="174"/>
              <w:rPr>
                <w:rFonts w:ascii="Times New Roman" w:hAnsi="Times New Roman" w:cs="Times New Roman"/>
                <w:color w:val="000000"/>
                <w:sz w:val="18"/>
                <w:szCs w:val="18"/>
              </w:rPr>
            </w:pPr>
            <w:r>
              <w:rPr>
                <w:rFonts w:ascii="Times New Roman" w:hAnsi="Times New Roman" w:cs="Times New Roman"/>
                <w:color w:val="000000"/>
                <w:sz w:val="18"/>
                <w:szCs w:val="18"/>
              </w:rPr>
              <w:t xml:space="preserve">Memory/Learning</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8.1 (2.3)</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8.3 (2.3)</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left="314"/>
              <w:rPr>
                <w:rFonts w:ascii="Times New Roman" w:hAnsi="Times New Roman" w:cs="Times New Roman"/>
                <w:color w:val="000000"/>
                <w:sz w:val="18"/>
                <w:szCs w:val="18"/>
              </w:rPr>
            </w:pPr>
            <w:r>
              <w:rPr>
                <w:rFonts w:ascii="Times New Roman" w:hAnsi="Times New Roman" w:cs="Times New Roman"/>
                <w:color w:val="000000"/>
                <w:sz w:val="18"/>
                <w:szCs w:val="18"/>
              </w:rPr>
              <w:t xml:space="preserve">Memory for faces total score (MFFTS)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7.4 (2.8)</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8.2 (2.7)</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left="314"/>
              <w:rPr>
                <w:rFonts w:ascii="Times New Roman" w:hAnsi="Times New Roman" w:cs="Times New Roman"/>
                <w:color w:val="000000"/>
                <w:sz w:val="18"/>
                <w:szCs w:val="18"/>
              </w:rPr>
            </w:pPr>
            <w:r>
              <w:rPr>
                <w:rFonts w:ascii="Times New Roman" w:hAnsi="Times New Roman" w:cs="Times New Roman"/>
                <w:color w:val="000000"/>
                <w:sz w:val="18"/>
                <w:szCs w:val="18"/>
              </w:rPr>
              <w:t xml:space="preserve">Memory for faces delayed total score (MFFDTS)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8.7 (3.0)</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8.4 (2.8)</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Visuospatial </w:t>
            </w:r>
            <w:r>
              <w:rPr>
                <w:rFonts w:ascii="Times New Roman" w:hAnsi="Times New Roman" w:cs="Times New Roman"/>
                <w:color w:val="000000"/>
                <w:sz w:val="18"/>
                <w:szCs w:val="18"/>
              </w:rPr>
              <w:t xml:space="preserve">P</w:t>
            </w:r>
            <w:r>
              <w:rPr>
                <w:rFonts w:ascii="Times New Roman" w:hAnsi="Times New Roman" w:cs="Times New Roman"/>
                <w:color w:val="000000"/>
                <w:sz w:val="18"/>
                <w:szCs w:val="18"/>
              </w:rPr>
              <w:t xml:space="preserve">rocessing</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9.6 (3.1)</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8.7 (2.3)</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Design copying process total score (DCGTS)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10.7 (4.9)</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9.5 (3.6)</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Geometric puzzles total score (GPTS)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6</w:t>
            </w:r>
            <w:r>
              <w:rPr>
                <w:rFonts w:ascii="Times New Roman" w:hAnsi="Times New Roman" w:cs="Times New Roman"/>
                <w:color w:val="000000"/>
                <w:sz w:val="18"/>
                <w:szCs w:val="18"/>
              </w:rPr>
              <w:t xml:space="preserve"> (3.2)</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7</w:t>
            </w:r>
            <w:r>
              <w:rPr>
                <w:rFonts w:ascii="Times New Roman" w:hAnsi="Times New Roman" w:cs="Times New Roman"/>
                <w:color w:val="000000"/>
                <w:sz w:val="18"/>
                <w:szCs w:val="18"/>
              </w:rPr>
              <w:t xml:space="preserve">.8</w:t>
            </w:r>
            <w:r>
              <w:rPr>
                <w:rFonts w:ascii="Times New Roman" w:hAnsi="Times New Roman" w:cs="Times New Roman"/>
                <w:color w:val="000000"/>
                <w:sz w:val="18"/>
                <w:szCs w:val="18"/>
              </w:rPr>
              <w:t xml:space="preserve"> (2.4)</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172"/>
              <w:rPr>
                <w:rFonts w:ascii="Times New Roman" w:hAnsi="Times New Roman" w:cs="Times New Roman"/>
                <w:color w:val="000000"/>
                <w:sz w:val="18"/>
                <w:szCs w:val="18"/>
              </w:rPr>
            </w:pPr>
            <w:r>
              <w:rPr>
                <w:rFonts w:ascii="Times New Roman" w:hAnsi="Times New Roman" w:cs="Times New Roman"/>
                <w:color w:val="000000"/>
                <w:sz w:val="18"/>
                <w:szCs w:val="18"/>
              </w:rPr>
              <w:t xml:space="preserve">Social </w:t>
            </w:r>
            <w:r>
              <w:rPr>
                <w:rFonts w:ascii="Times New Roman" w:hAnsi="Times New Roman" w:cs="Times New Roman"/>
                <w:color w:val="000000"/>
                <w:sz w:val="18"/>
                <w:szCs w:val="18"/>
              </w:rPr>
              <w:t xml:space="preserve">P</w:t>
            </w:r>
            <w:r>
              <w:rPr>
                <w:rFonts w:ascii="Times New Roman" w:hAnsi="Times New Roman" w:cs="Times New Roman"/>
                <w:color w:val="000000"/>
                <w:sz w:val="18"/>
                <w:szCs w:val="18"/>
              </w:rPr>
              <w:t xml:space="preserve">erception</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8.2 (2.3)</w:t>
            </w:r>
            <w:r>
              <w:rPr>
                <w:rFonts w:ascii="Times New Roman" w:hAnsi="Times New Roman" w:cs="Times New Roman"/>
                <w:color w:val="000000"/>
                <w:sz w:val="18"/>
                <w:szCs w:val="18"/>
              </w:rPr>
            </w:r>
          </w:p>
        </w:tc>
      </w:tr>
      <w:tr>
        <w:trPr>
          <w:trHeight w:val="260"/>
        </w:trPr>
        <w:tc>
          <w:tcPr>
            <w:tcBorders/>
            <w:tcW w:w="4501" w:type="dxa"/>
            <w:textDirection w:val="lrTb"/>
            <w:noWrap/>
          </w:tcPr>
          <w:p>
            <w:pPr>
              <w:pBdr/>
              <w:spacing/>
              <w:ind w:firstLine="314"/>
              <w:rPr>
                <w:rFonts w:ascii="Times New Roman" w:hAnsi="Times New Roman" w:cs="Times New Roman"/>
                <w:color w:val="000000"/>
                <w:sz w:val="18"/>
                <w:szCs w:val="18"/>
              </w:rPr>
            </w:pPr>
            <w:r>
              <w:rPr>
                <w:rFonts w:ascii="Times New Roman" w:hAnsi="Times New Roman" w:cs="Times New Roman"/>
                <w:color w:val="000000"/>
                <w:sz w:val="18"/>
                <w:szCs w:val="18"/>
              </w:rPr>
              <w:t xml:space="preserve">Affect recognition total score (ARTS)</w:t>
            </w:r>
            <w:r>
              <w:rPr>
                <w:rFonts w:ascii="Times New Roman" w:hAnsi="Times New Roman" w:cs="Times New Roman"/>
                <w:color w:val="000000"/>
                <w:sz w:val="18"/>
                <w:szCs w:val="18"/>
              </w:rPr>
            </w:r>
          </w:p>
        </w:tc>
        <w:tc>
          <w:tcPr>
            <w:tcBorders/>
            <w:tcW w:w="1657"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520"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NA</w:t>
            </w:r>
            <w:r>
              <w:rPr>
                <w:rFonts w:ascii="Times New Roman" w:hAnsi="Times New Roman" w:cs="Times New Roman"/>
                <w:color w:val="000000"/>
                <w:sz w:val="18"/>
                <w:szCs w:val="18"/>
              </w:rPr>
            </w:r>
          </w:p>
        </w:tc>
        <w:tc>
          <w:tcPr>
            <w:tcBorders/>
            <w:tcW w:w="1672" w:type="dxa"/>
            <w:textDirection w:val="lrTb"/>
            <w:noWrap/>
          </w:tcPr>
          <w:p>
            <w:pPr>
              <w:pBdr/>
              <w:spacing/>
              <w:ind/>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8.2 (2.3)</w:t>
            </w:r>
            <w:r>
              <w:rPr>
                <w:rFonts w:ascii="Times New Roman" w:hAnsi="Times New Roman" w:cs="Times New Roman"/>
                <w:color w:val="000000"/>
                <w:sz w:val="18"/>
                <w:szCs w:val="18"/>
              </w:rPr>
            </w:r>
          </w:p>
        </w:tc>
      </w:tr>
    </w:tbl>
    <w:p>
      <w:pPr>
        <w:pBdr/>
        <w:spacing/>
        <w:ind/>
        <w:rPr>
          <w:color w:val="000000"/>
          <w:sz w:val="16"/>
          <w:szCs w:val="16"/>
        </w:rPr>
      </w:pPr>
      <w:r>
        <w:rPr>
          <w:color w:val="000000"/>
          <w:sz w:val="16"/>
          <w:szCs w:val="16"/>
        </w:rPr>
        <w:t xml:space="preserve">For NEPSY-II, </w:t>
      </w:r>
      <w:commentRangeStart w:id="83"/>
      <w:commentRangeStart w:id="84"/>
      <w:commentRangeStart w:id="85"/>
      <w:r>
        <w:rPr>
          <w:color w:val="000000"/>
          <w:sz w:val="16"/>
          <w:szCs w:val="16"/>
        </w:rPr>
        <w:t xml:space="preserve">scores have the following classification label. 13-19 is above expected, 8-12 is at expected, 6-7 is slightly below expected, 4-5 is below expected, and 1-3 is well below expected</w:t>
      </w:r>
      <w:r>
        <w:rPr>
          <w:color w:val="000000"/>
          <w:sz w:val="16"/>
          <w:szCs w:val="16"/>
        </w:rPr>
        <w:t xml:space="preserve"> for each domain</w:t>
      </w:r>
      <w:r>
        <w:rPr>
          <w:color w:val="000000"/>
          <w:sz w:val="16"/>
          <w:szCs w:val="16"/>
        </w:rPr>
        <w:t xml:space="preserve">. </w:t>
      </w:r>
      <w:commentRangeEnd w:id="83"/>
      <w:commentRangeEnd w:id="84"/>
      <w:commentRangeEnd w:id="85"/>
      <w:r>
        <w:commentReference w:id="83"/>
        <w:commentReference w:id="84"/>
        <w:commentReference w:id="85"/>
      </w:r>
      <w:r>
        <w:rPr>
          <w:rStyle w:val="768"/>
          <w:color w:val="000000"/>
        </w:rPr>
      </w:r>
      <w:r>
        <w:rPr>
          <w:color w:val="000000"/>
          <w:sz w:val="16"/>
          <w:szCs w:val="16"/>
        </w:rPr>
      </w:r>
    </w:p>
    <w:p>
      <w:pPr>
        <w:pBdr/>
        <w:spacing/>
        <w:ind/>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rPr>
          <w:b/>
          <w:bCs/>
          <w:color w:val="000000"/>
          <w:sz w:val="22"/>
          <w:szCs w:val="22"/>
        </w:rPr>
      </w:pPr>
      <w:r>
        <w:rPr>
          <w:b/>
          <w:bCs/>
          <w:color w:val="000000"/>
          <w:sz w:val="22"/>
          <w:szCs w:val="22"/>
        </w:rPr>
        <w:br w:type="page" w:clear="all"/>
      </w:r>
      <w:r>
        <w:rPr>
          <w:b/>
          <w:bCs/>
          <w:color w:val="000000"/>
          <w:sz w:val="22"/>
          <w:szCs w:val="22"/>
        </w:rPr>
      </w:r>
    </w:p>
    <w:p>
      <w:pPr>
        <w:pBdr/>
        <w:spacing/>
        <w:ind/>
        <w:jc w:val="both"/>
        <w:rPr>
          <w:color w:val="000000"/>
          <w:sz w:val="22"/>
          <w:szCs w:val="22"/>
        </w:rPr>
      </w:pPr>
      <w:r>
        <w:rPr>
          <w:b/>
          <w:bCs/>
          <w:color w:val="000000"/>
          <w:sz w:val="22"/>
          <w:szCs w:val="22"/>
        </w:rPr>
        <w:t xml:space="preserve">Table 3:</w:t>
      </w:r>
      <w:r>
        <w:rPr>
          <w:color w:val="000000"/>
          <w:sz w:val="22"/>
          <w:szCs w:val="22"/>
        </w:rPr>
        <w:t xml:space="preserve"> Summary of covariates stratified by distance from residency to nearest plantation. Continuous variables have their mean (</w:t>
      </w:r>
      <w:r>
        <w:rPr>
          <w:color w:val="000000"/>
          <w:sz w:val="22"/>
          <w:szCs w:val="22"/>
        </w:rPr>
        <w:t xml:space="preserve">SD</w:t>
      </w:r>
      <w:r>
        <w:rPr>
          <w:color w:val="000000"/>
          <w:sz w:val="22"/>
          <w:szCs w:val="22"/>
        </w:rPr>
        <w:t xml:space="preserve">) reported, and categorical variables have their % (</w:t>
      </w:r>
      <w:r>
        <w:rPr>
          <w:color w:val="000000"/>
          <w:sz w:val="22"/>
          <w:szCs w:val="22"/>
        </w:rPr>
        <w:t xml:space="preserve">N</w:t>
      </w:r>
      <w:r>
        <w:rPr>
          <w:color w:val="000000"/>
          <w:sz w:val="22"/>
          <w:szCs w:val="22"/>
        </w:rPr>
        <w:t xml:space="preserve">) reported. </w:t>
      </w:r>
      <w:r>
        <w:rPr>
          <w:color w:val="000000"/>
          <w:sz w:val="22"/>
          <w:szCs w:val="22"/>
        </w:rPr>
        <w:t xml:space="preserve">One-way </w:t>
      </w:r>
      <w:commentRangeStart w:id="86"/>
      <w:commentRangeStart w:id="87"/>
      <w:commentRangeStart w:id="88"/>
      <w:r/>
      <w:commentRangeStart w:id="89"/>
      <w:commentRangeStart w:id="90"/>
      <w:r>
        <w:rPr>
          <w:color w:val="000000"/>
          <w:sz w:val="22"/>
          <w:szCs w:val="22"/>
        </w:rPr>
        <w:t xml:space="preserve">ANOVA tests </w:t>
      </w:r>
      <w:r>
        <w:rPr>
          <w:color w:val="000000"/>
          <w:sz w:val="22"/>
          <w:szCs w:val="22"/>
        </w:rPr>
        <w:t xml:space="preserve">and </w:t>
      </w:r>
      <w:r>
        <w:rPr>
          <w:color w:val="000000"/>
          <w:sz w:val="22"/>
          <w:szCs w:val="22"/>
        </w:rPr>
        <w:t xml:space="preserve">c</w:t>
      </w:r>
      <w:r>
        <w:rPr>
          <w:color w:val="000000"/>
          <w:sz w:val="22"/>
          <w:szCs w:val="22"/>
        </w:rPr>
        <w:t xml:space="preserve">hi-squared goodness</w:t>
      </w:r>
      <w:r>
        <w:rPr>
          <w:color w:val="000000"/>
          <w:sz w:val="22"/>
          <w:szCs w:val="22"/>
        </w:rPr>
        <w:t xml:space="preserve">-</w:t>
      </w:r>
      <w:r>
        <w:rPr>
          <w:color w:val="000000"/>
          <w:sz w:val="22"/>
          <w:szCs w:val="22"/>
        </w:rPr>
        <w:t xml:space="preserve">of</w:t>
      </w:r>
      <w:r>
        <w:rPr>
          <w:color w:val="000000"/>
          <w:sz w:val="22"/>
          <w:szCs w:val="22"/>
        </w:rPr>
        <w:t xml:space="preserve">-</w:t>
      </w:r>
      <w:r>
        <w:rPr>
          <w:color w:val="000000"/>
          <w:sz w:val="22"/>
          <w:szCs w:val="22"/>
        </w:rPr>
        <w:t xml:space="preserve">fit </w:t>
      </w:r>
      <w:r>
        <w:rPr>
          <w:color w:val="000000"/>
          <w:sz w:val="22"/>
          <w:szCs w:val="22"/>
        </w:rPr>
        <w:t xml:space="preserve">tests</w:t>
      </w:r>
      <w:commentRangeEnd w:id="86"/>
      <w:commentRangeEnd w:id="87"/>
      <w:commentRangeEnd w:id="88"/>
      <w:r>
        <w:commentReference w:id="86"/>
        <w:commentReference w:id="87"/>
        <w:commentReference w:id="88"/>
      </w:r>
      <w:r>
        <w:rPr>
          <w:color w:val="000000"/>
          <w:sz w:val="22"/>
          <w:szCs w:val="22"/>
        </w:rPr>
        <w:t xml:space="preserve"> </w:t>
      </w:r>
      <w:r>
        <w:rPr>
          <w:color w:val="000000"/>
          <w:sz w:val="22"/>
          <w:szCs w:val="22"/>
        </w:rPr>
        <w:t xml:space="preserve">and are used to calculate </w:t>
      </w:r>
      <w:r>
        <w:rPr>
          <w:color w:val="000000"/>
          <w:sz w:val="22"/>
          <w:szCs w:val="22"/>
        </w:rPr>
        <w:t xml:space="preserve">P-values </w:t>
      </w:r>
      <w:r>
        <w:rPr>
          <w:color w:val="000000"/>
          <w:sz w:val="22"/>
          <w:szCs w:val="22"/>
        </w:rPr>
        <w:t xml:space="preserve">for continuous and categorical variables respectively.</w:t>
      </w:r>
      <w:commentRangeEnd w:id="89"/>
      <w:commentRangeEnd w:id="90"/>
      <w:r>
        <w:commentReference w:id="89"/>
        <w:commentReference w:id="90"/>
      </w:r>
      <w:r>
        <w:rPr>
          <w:rStyle w:val="768"/>
          <w:color w:val="000000"/>
          <w:sz w:val="22"/>
          <w:szCs w:val="22"/>
        </w:rPr>
      </w:r>
      <w:r>
        <w:rPr>
          <w:color w:val="000000"/>
          <w:sz w:val="22"/>
          <w:szCs w:val="22"/>
        </w:rPr>
      </w:r>
    </w:p>
    <w:p>
      <w:pPr>
        <w:pBdr/>
        <w:spacing/>
        <w:ind/>
        <w:rPr>
          <w:color w:val="000000"/>
          <w:sz w:val="22"/>
          <w:szCs w:val="22"/>
        </w:rPr>
      </w:pPr>
      <w:r>
        <w:rPr>
          <w:color w:val="000000"/>
          <w:sz w:val="22"/>
          <w:szCs w:val="22"/>
        </w:rPr>
      </w:r>
      <w:r>
        <w:rPr>
          <w:color w:val="000000"/>
          <w:sz w:val="22"/>
          <w:szCs w:val="22"/>
        </w:rPr>
      </w:r>
    </w:p>
    <w:tbl>
      <w:tblPr>
        <w:tblInd w:w="-815" w:type="dxa"/>
        <w:tblW w:w="10278" w:type="dxa"/>
        <w:tblBorders/>
        <w:tblLook w:val="04A0" w:firstRow="1" w:lastRow="0" w:firstColumn="1" w:lastColumn="0" w:noHBand="0" w:noVBand="1"/>
        <w:tblStyle w:val="780"/>
      </w:tblPr>
      <w:tblGrid>
        <w:gridCol w:w="2174"/>
        <w:gridCol w:w="1321"/>
        <w:gridCol w:w="576"/>
        <w:gridCol w:w="1371"/>
        <w:gridCol w:w="1281"/>
        <w:gridCol w:w="1371"/>
        <w:gridCol w:w="1281"/>
        <w:gridCol w:w="903"/>
      </w:tblGrid>
      <w:tr>
        <w:trPr/>
        <w:tc>
          <w:tcPr>
            <w:tcBorders/>
            <w:tcW w:w="2174"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r>
            <w:r>
              <w:rPr>
                <w:rFonts w:cstheme="minorHAnsi"/>
                <w:b/>
                <w:bCs/>
                <w:color w:val="000000"/>
                <w:sz w:val="18"/>
                <w:szCs w:val="18"/>
              </w:rPr>
            </w:r>
          </w:p>
        </w:tc>
        <w:tc>
          <w:tcPr>
            <w:tcBorders/>
            <w:tcW w:w="132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r>
            <w:r>
              <w:rPr>
                <w:rFonts w:cstheme="minorHAnsi"/>
                <w:b/>
                <w:bCs/>
                <w:color w:val="000000"/>
                <w:sz w:val="18"/>
                <w:szCs w:val="18"/>
              </w:rPr>
            </w:r>
          </w:p>
        </w:tc>
        <w:tc>
          <w:tcPr>
            <w:tcBorders/>
            <w:tcW w:w="576"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r>
            <w:r>
              <w:rPr>
                <w:rFonts w:cstheme="minorHAnsi"/>
                <w:b/>
                <w:bCs/>
                <w:color w:val="000000"/>
                <w:sz w:val="18"/>
                <w:szCs w:val="18"/>
              </w:rPr>
            </w:r>
          </w:p>
        </w:tc>
        <w:tc>
          <w:tcPr>
            <w:gridSpan w:val="4"/>
            <w:tcBorders/>
            <w:tcW w:w="5304"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Residential distance to the nearest crop</w:t>
            </w:r>
            <w:r>
              <w:rPr>
                <w:rFonts w:cstheme="minorHAnsi"/>
                <w:b/>
                <w:bCs/>
                <w:color w:val="000000"/>
                <w:sz w:val="18"/>
                <w:szCs w:val="18"/>
              </w:rPr>
            </w:r>
          </w:p>
        </w:tc>
        <w:tc>
          <w:tcPr>
            <w:tcBorders/>
            <w:tcW w:w="903"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r>
            <w:r>
              <w:rPr>
                <w:rFonts w:cstheme="minorHAnsi"/>
                <w:b/>
                <w:bCs/>
                <w:color w:val="000000"/>
                <w:sz w:val="18"/>
                <w:szCs w:val="18"/>
              </w:rPr>
            </w:r>
          </w:p>
        </w:tc>
      </w:tr>
      <w:tr>
        <w:trPr/>
        <w:tc>
          <w:tcPr>
            <w:tcBorders/>
            <w:tcW w:w="2174"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Variable</w:t>
            </w:r>
            <w:r>
              <w:rPr>
                <w:rFonts w:cstheme="minorHAnsi"/>
                <w:b/>
                <w:bCs/>
                <w:color w:val="000000"/>
                <w:sz w:val="18"/>
                <w:szCs w:val="18"/>
              </w:rPr>
            </w:r>
          </w:p>
        </w:tc>
        <w:tc>
          <w:tcPr>
            <w:tcBorders/>
            <w:tcW w:w="132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Visit T</w:t>
            </w:r>
            <w:r>
              <w:rPr>
                <w:rFonts w:cstheme="minorHAnsi"/>
                <w:b/>
                <w:bCs/>
                <w:color w:val="000000"/>
                <w:sz w:val="18"/>
                <w:szCs w:val="18"/>
              </w:rPr>
              <w:t xml:space="preserve">ime</w:t>
            </w:r>
            <w:r>
              <w:rPr>
                <w:rFonts w:cstheme="minorHAnsi"/>
                <w:b/>
                <w:bCs/>
                <w:color w:val="000000"/>
                <w:sz w:val="18"/>
                <w:szCs w:val="18"/>
              </w:rPr>
            </w:r>
          </w:p>
        </w:tc>
        <w:tc>
          <w:tcPr>
            <w:tcBorders/>
            <w:tcW w:w="576"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N</w:t>
            </w:r>
            <w:r>
              <w:rPr>
                <w:rFonts w:cstheme="minorHAnsi"/>
                <w:b/>
                <w:bCs/>
                <w:color w:val="000000"/>
                <w:sz w:val="18"/>
                <w:szCs w:val="18"/>
              </w:rPr>
            </w:r>
          </w:p>
        </w:tc>
        <w:tc>
          <w:tcPr>
            <w:tcBorders/>
            <w:tcW w:w="137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1</w:t>
            </w:r>
            <w:r>
              <w:rPr>
                <w:rFonts w:cstheme="minorHAnsi"/>
                <w:b/>
                <w:bCs/>
                <w:color w:val="000000"/>
                <w:sz w:val="18"/>
                <w:szCs w:val="18"/>
                <w:vertAlign w:val="superscript"/>
              </w:rPr>
              <w:t xml:space="preserve">st</w:t>
            </w:r>
            <w:r>
              <w:rPr>
                <w:rFonts w:cstheme="minorHAnsi"/>
                <w:b/>
                <w:bCs/>
                <w:color w:val="000000"/>
                <w:sz w:val="18"/>
                <w:szCs w:val="18"/>
              </w:rPr>
              <w:t xml:space="preserve"> quartile</w:t>
            </w:r>
            <w:r>
              <w:rPr>
                <w:rFonts w:cstheme="minorHAnsi"/>
                <w:b/>
                <w:bCs/>
                <w:color w:val="000000"/>
                <w:sz w:val="18"/>
                <w:szCs w:val="18"/>
              </w:rPr>
            </w:r>
          </w:p>
        </w:tc>
        <w:tc>
          <w:tcPr>
            <w:tcBorders/>
            <w:tcW w:w="128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2</w:t>
            </w:r>
            <w:r>
              <w:rPr>
                <w:rFonts w:cstheme="minorHAnsi"/>
                <w:b/>
                <w:bCs/>
                <w:color w:val="000000"/>
                <w:sz w:val="18"/>
                <w:szCs w:val="18"/>
                <w:vertAlign w:val="superscript"/>
              </w:rPr>
              <w:t xml:space="preserve">nd</w:t>
            </w:r>
            <w:r>
              <w:rPr>
                <w:rFonts w:cstheme="minorHAnsi"/>
                <w:b/>
                <w:bCs/>
                <w:color w:val="000000"/>
                <w:sz w:val="18"/>
                <w:szCs w:val="18"/>
              </w:rPr>
              <w:t xml:space="preserve"> quartile</w:t>
            </w:r>
            <w:r>
              <w:rPr>
                <w:rFonts w:cstheme="minorHAnsi"/>
                <w:b/>
                <w:bCs/>
                <w:color w:val="000000"/>
                <w:sz w:val="18"/>
                <w:szCs w:val="18"/>
              </w:rPr>
            </w:r>
          </w:p>
        </w:tc>
        <w:tc>
          <w:tcPr>
            <w:tcBorders/>
            <w:tcW w:w="137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3</w:t>
            </w:r>
            <w:r>
              <w:rPr>
                <w:rFonts w:cstheme="minorHAnsi"/>
                <w:b/>
                <w:bCs/>
                <w:color w:val="000000"/>
                <w:sz w:val="18"/>
                <w:szCs w:val="18"/>
                <w:vertAlign w:val="superscript"/>
              </w:rPr>
              <w:t xml:space="preserve">rd</w:t>
            </w:r>
            <w:r>
              <w:rPr>
                <w:rFonts w:cstheme="minorHAnsi"/>
                <w:b/>
                <w:bCs/>
                <w:color w:val="000000"/>
                <w:sz w:val="18"/>
                <w:szCs w:val="18"/>
              </w:rPr>
              <w:t xml:space="preserve"> quartile</w:t>
            </w:r>
            <w:r>
              <w:rPr>
                <w:rFonts w:cstheme="minorHAnsi"/>
                <w:b/>
                <w:bCs/>
                <w:color w:val="000000"/>
                <w:sz w:val="18"/>
                <w:szCs w:val="18"/>
              </w:rPr>
            </w:r>
          </w:p>
        </w:tc>
        <w:tc>
          <w:tcPr>
            <w:tcBorders/>
            <w:tcW w:w="128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4</w:t>
            </w:r>
            <w:r>
              <w:rPr>
                <w:rFonts w:cstheme="minorHAnsi"/>
                <w:b/>
                <w:bCs/>
                <w:color w:val="000000"/>
                <w:sz w:val="18"/>
                <w:szCs w:val="18"/>
                <w:vertAlign w:val="superscript"/>
              </w:rPr>
              <w:t xml:space="preserve">th</w:t>
            </w:r>
            <w:r>
              <w:rPr>
                <w:rFonts w:cstheme="minorHAnsi"/>
                <w:b/>
                <w:bCs/>
                <w:color w:val="000000"/>
                <w:sz w:val="18"/>
                <w:szCs w:val="18"/>
              </w:rPr>
              <w:t xml:space="preserve"> quartile</w:t>
            </w:r>
            <w:r>
              <w:rPr>
                <w:rFonts w:cstheme="minorHAnsi"/>
                <w:b/>
                <w:bCs/>
                <w:color w:val="000000"/>
                <w:sz w:val="18"/>
                <w:szCs w:val="18"/>
              </w:rPr>
            </w:r>
          </w:p>
        </w:tc>
        <w:tc>
          <w:tcPr>
            <w:tcBorders/>
            <w:tcW w:w="903"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P-value</w:t>
            </w:r>
            <w:r>
              <w:rPr>
                <w:rFonts w:cstheme="minorHAnsi"/>
                <w:b/>
                <w:bCs/>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A</w:t>
            </w:r>
            <w:r>
              <w:rPr>
                <w:rFonts w:cstheme="minorHAnsi"/>
                <w:color w:val="000000"/>
                <w:sz w:val="18"/>
                <w:szCs w:val="18"/>
              </w:rPr>
              <w:t xml:space="preserve">ge, years, mean (</w:t>
            </w:r>
            <w:r>
              <w:rPr>
                <w:rFonts w:cstheme="minorHAnsi"/>
                <w:color w:val="000000"/>
                <w:sz w:val="18"/>
                <w:szCs w:val="18"/>
              </w:rPr>
              <w:t xml:space="preserve">SD</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6.59 (1.64)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6.41 (1.49)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6.93 (1.64)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6.43 (1.6)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0.157</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14.3 (1.8)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14.33 (1.88)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14.27 (1.91)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14.15 (1.81)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0.932</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14.23 (1.86)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14.51 (1.75)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14.57 (1.81)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14.55 (1.69)</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0.359</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R</w:t>
            </w:r>
            <w:r>
              <w:rPr>
                <w:rFonts w:cstheme="minorHAnsi"/>
                <w:color w:val="000000"/>
                <w:sz w:val="18"/>
                <w:szCs w:val="18"/>
              </w:rPr>
              <w:t xml:space="preserve">ace, </w:t>
            </w:r>
            <w:r>
              <w:rPr>
                <w:rFonts w:cstheme="minorHAnsi"/>
                <w:color w:val="000000"/>
                <w:sz w:val="18"/>
                <w:szCs w:val="18"/>
              </w:rPr>
              <w:t xml:space="preserve">Indigenous</w:t>
            </w:r>
            <w:r>
              <w:rPr>
                <w:rFonts w:cstheme="minorHAnsi"/>
                <w:color w:val="000000"/>
                <w:sz w:val="18"/>
                <w:szCs w:val="18"/>
              </w:rPr>
              <w:t xml:space="preserve">, % (n)</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0.25 (19)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0.27 (21)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0.17 (13)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0.16 (13)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0.279</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0.15 (12)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 (24)</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0.19 (16)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0.31 (26)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0.029</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 (14)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0.24 (32)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0.19 (26)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0.32 (43)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&lt;0.00</w:t>
            </w:r>
            <w:r>
              <w:rPr>
                <w:rFonts w:cstheme="minorHAnsi"/>
                <w:color w:val="000000"/>
                <w:sz w:val="18"/>
                <w:szCs w:val="18"/>
              </w:rPr>
              <w:t xml:space="preserve">1*</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Sex, female, % (n)</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0.46 (35)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0.48 (38)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 (39)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0.53 (42)</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0.815</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 (42)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0.49 (40)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0.52 (44)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0.43 (36)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0.659</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0.57 (77)</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0.52 (68)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 (70)</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0.43 (57)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0.106</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D</w:t>
            </w:r>
            <w:r>
              <w:rPr>
                <w:rFonts w:cstheme="minorHAnsi"/>
                <w:color w:val="000000"/>
                <w:sz w:val="18"/>
                <w:szCs w:val="18"/>
              </w:rPr>
              <w:t xml:space="preserve">ays after </w:t>
            </w:r>
            <w:r>
              <w:rPr>
                <w:rFonts w:cstheme="minorHAnsi"/>
                <w:color w:val="000000"/>
                <w:sz w:val="18"/>
                <w:szCs w:val="18"/>
              </w:rPr>
              <w:t xml:space="preserve">Mother’s Day</w:t>
            </w:r>
            <w:r>
              <w:rPr>
                <w:rFonts w:cstheme="minorHAnsi"/>
                <w:color w:val="000000"/>
                <w:sz w:val="18"/>
                <w:szCs w:val="18"/>
              </w:rPr>
              <w:t xml:space="preserve"> harvest, mean (</w:t>
            </w:r>
            <w:r>
              <w:rPr>
                <w:rFonts w:cstheme="minorHAnsi"/>
                <w:color w:val="000000"/>
                <w:sz w:val="18"/>
                <w:szCs w:val="18"/>
              </w:rPr>
              <w:t xml:space="preserve">SD</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84.82 (8.09)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83.41 (7.88)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88.22 (8.21)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81.76 (15.89)</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0.002</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-12.22 (5.83)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-12.26 (4.83)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-10.77 (6.04)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-15.49 (3.85)</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&lt;0.001</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102.35 (18.71)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97.56 (15.22)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103.44 (21.81)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105.6 (17.4)</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0.004</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Z</w:t>
            </w:r>
            <w:r>
              <w:rPr>
                <w:rFonts w:cstheme="minorHAnsi"/>
                <w:color w:val="000000"/>
                <w:sz w:val="18"/>
                <w:szCs w:val="18"/>
              </w:rPr>
              <w:t xml:space="preserve">-score-height-for-age, mean (</w:t>
            </w:r>
            <w:r>
              <w:rPr>
                <w:rFonts w:cstheme="minorHAnsi"/>
                <w:color w:val="000000"/>
                <w:sz w:val="18"/>
                <w:szCs w:val="18"/>
              </w:rPr>
              <w:t xml:space="preserve">SD</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309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-1.41 (0.98)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-1.22 (0.99)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-1.29 (0.92)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-1.1 (1.03)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0.26</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326</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-1.49 (1)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-1.66 (0.9)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-1.61 (0.86)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-1.58 (1.03)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0.716</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-1.38 (0.93)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-1.51 (0.94)</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-1.52 (0.83)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-1.53 (1.02)</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0.547</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S</w:t>
            </w:r>
            <w:r>
              <w:rPr>
                <w:rFonts w:cstheme="minorHAnsi"/>
                <w:color w:val="000000"/>
                <w:sz w:val="18"/>
                <w:szCs w:val="18"/>
              </w:rPr>
              <w:t xml:space="preserve">caled salary, mean (</w:t>
            </w:r>
            <w:r>
              <w:rPr>
                <w:rFonts w:cstheme="minorHAnsi"/>
                <w:color w:val="000000"/>
                <w:sz w:val="18"/>
                <w:szCs w:val="18"/>
              </w:rPr>
              <w:t xml:space="preserve">SD</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3.18 (0.73)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3.29 (0.94)</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3.19 (0.85)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2.81 (0.64)</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0.001</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4.34 (0.89)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4.27 (0.91)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4.37 (0.94)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4.16 (0.83)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0.426</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4.28 (0.91)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4.37 (0.84)</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4.43 (0.89)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4.16 (0.85)</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0.072</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P</w:t>
            </w:r>
            <w:r>
              <w:rPr>
                <w:rFonts w:cstheme="minorHAnsi"/>
                <w:color w:val="000000"/>
                <w:sz w:val="18"/>
                <w:szCs w:val="18"/>
              </w:rPr>
              <w:t xml:space="preserve">arental average education, years, mean (</w:t>
            </w:r>
            <w:r>
              <w:rPr>
                <w:rFonts w:cstheme="minorHAnsi"/>
                <w:color w:val="000000"/>
                <w:sz w:val="18"/>
                <w:szCs w:val="18"/>
              </w:rPr>
              <w:t xml:space="preserve">SD</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293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6.82 (2.96)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9.06 (3.98)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7.71 (3.65)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6.76 (3.54)</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&lt;0.001</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330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8.19 (3.46)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8.36 (4.12)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8.69 (3.69)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7.43 (3)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0.138</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 (3.46)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 (3.52)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8.57 (3.74)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7.72 (3.01)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0.236</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C</w:t>
            </w:r>
            <w:r>
              <w:rPr>
                <w:rFonts w:cstheme="minorHAnsi"/>
                <w:color w:val="000000"/>
                <w:sz w:val="18"/>
                <w:szCs w:val="18"/>
              </w:rPr>
              <w:t xml:space="preserve">ohabitating with an agricultural worker, % (n)</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310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0.64 (49)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0.54 (43)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 (39)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0.59 (47)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0.372</w:t>
            </w:r>
            <w:r>
              <w:rPr>
                <w:rFonts w:cstheme="minorHAnsi"/>
                <w:color w:val="000000"/>
                <w:sz w:val="18"/>
                <w:szCs w:val="18"/>
              </w:rPr>
            </w:r>
          </w:p>
        </w:tc>
      </w:tr>
      <w:tr>
        <w:trPr/>
        <w:tc>
          <w:tcPr>
            <w:tcBorders/>
            <w:tcW w:w="2174" w:type="dxa"/>
            <w:vAlign w:val="bottom"/>
            <w:vMerge w:val="continue"/>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0.54 (44)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0.76 (61)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0.71 (60)</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0.72 (58)</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0.011</w:t>
            </w:r>
            <w:r>
              <w:rPr>
                <w:rFonts w:cstheme="minorHAnsi"/>
                <w:color w:val="000000"/>
                <w:sz w:val="18"/>
                <w:szCs w:val="18"/>
              </w:rPr>
              <w:t xml:space="preserve">*</w:t>
            </w:r>
            <w:r>
              <w:rPr>
                <w:rFonts w:cstheme="minorHAnsi"/>
                <w:color w:val="000000"/>
                <w:sz w:val="18"/>
                <w:szCs w:val="18"/>
              </w:rPr>
            </w:r>
          </w:p>
        </w:tc>
      </w:tr>
      <w:tr>
        <w:trPr/>
        <w:tc>
          <w:tcPr>
            <w:tcBorders/>
            <w:tcW w:w="2174" w:type="dxa"/>
            <w:vAlign w:val="bottom"/>
            <w:vMerge w:val="continue"/>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0.59 (79)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 (92)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0.71 (97)</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 (92)</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0.107</w:t>
            </w:r>
            <w:r>
              <w:rPr>
                <w:rFonts w:cstheme="minorHAnsi"/>
                <w:color w:val="000000"/>
                <w:sz w:val="18"/>
                <w:szCs w:val="18"/>
              </w:rPr>
            </w:r>
          </w:p>
        </w:tc>
      </w:tr>
    </w:tbl>
    <w:p>
      <w:pPr>
        <w:pBdr/>
        <w:spacing/>
        <w:ind/>
        <w:rPr>
          <w:rFonts w:asciiTheme="minorHAnsi" w:hAnsiTheme="minorHAnsi" w:cstheme="minorHAnsi"/>
          <w:color w:val="000000"/>
          <w:sz w:val="20"/>
          <w:szCs w:val="20"/>
        </w:rPr>
      </w:pPr>
      <w:r>
        <w:rPr>
          <w:rFonts w:asciiTheme="minorHAnsi" w:hAnsiTheme="minorHAnsi" w:cstheme="minorHAnsi"/>
          <w:color w:val="000000"/>
          <w:sz w:val="20"/>
          <w:szCs w:val="20"/>
        </w:rPr>
        <w:t xml:space="preserve">* Significant value (p&lt;0.05)</w:t>
      </w:r>
      <w:r>
        <w:rPr>
          <w:rFonts w:asciiTheme="minorHAnsi" w:hAnsiTheme="minorHAnsi" w:cstheme="minorHAnsi"/>
          <w:color w:val="000000"/>
          <w:sz w:val="20"/>
          <w:szCs w:val="20"/>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w:rPr>
          <w:color w:val="000000"/>
          <w:sz w:val="22"/>
          <w:szCs w:val="22"/>
        </w:rPr>
        <w:br w:type="page" w:clear="all"/>
      </w:r>
      <w:r>
        <w:rPr>
          <w:color w:val="000000"/>
          <w:sz w:val="22"/>
          <w:szCs w:val="22"/>
        </w:rPr>
      </w:r>
    </w:p>
    <w:p>
      <w:pPr>
        <w:pBdr/>
        <w:spacing/>
        <w:ind/>
        <w:jc w:val="both"/>
        <w:rPr>
          <w:color w:val="000000"/>
          <w:sz w:val="22"/>
          <w:szCs w:val="22"/>
        </w:rPr>
      </w:pPr>
      <w:r>
        <w:rPr>
          <w:color w:val="000000"/>
          <w:sz w:val="22"/>
          <w:szCs w:val="22"/>
        </w:rPr>
        <w:t xml:space="preserve">The NEPSY-</w:t>
      </w:r>
      <w:r>
        <w:rPr>
          <w:color w:val="000000"/>
          <w:sz w:val="22"/>
          <w:szCs w:val="22"/>
        </w:rPr>
        <w:t xml:space="preserve">II</w:t>
      </w:r>
      <w:r>
        <w:rPr>
          <w:color w:val="000000"/>
          <w:sz w:val="22"/>
          <w:szCs w:val="22"/>
        </w:rPr>
        <w:t xml:space="preserve">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domain score was significantly associated with distance from residency to nearest plantation and all crop area variables </w:t>
      </w:r>
      <w:r>
        <w:rPr>
          <w:color w:val="000000"/>
          <w:sz w:val="22"/>
          <w:szCs w:val="22"/>
        </w:rPr>
        <w:t xml:space="preserve">between 100 and </w:t>
      </w:r>
      <w:r>
        <w:rPr>
          <w:color w:val="000000"/>
          <w:sz w:val="22"/>
          <w:szCs w:val="22"/>
        </w:rPr>
        <w:t xml:space="preserve">500m</w:t>
      </w:r>
      <w:r>
        <w:rPr>
          <w:color w:val="000000"/>
          <w:sz w:val="22"/>
          <w:szCs w:val="22"/>
        </w:rPr>
        <w:t xml:space="preserve"> </w:t>
      </w:r>
      <w:r>
        <w:rPr>
          <w:color w:val="000000"/>
          <w:sz w:val="22"/>
          <w:szCs w:val="22"/>
        </w:rPr>
        <w:t xml:space="preserve">(Figure </w:t>
      </w:r>
      <w:r>
        <w:rPr>
          <w:color w:val="000000"/>
          <w:sz w:val="22"/>
          <w:szCs w:val="22"/>
        </w:rPr>
        <w:t xml:space="preserve">2</w:t>
      </w:r>
      <w:r>
        <w:rPr>
          <w:color w:val="000000"/>
          <w:sz w:val="22"/>
          <w:szCs w:val="22"/>
        </w:rPr>
        <w:t xml:space="preserve">)</w:t>
      </w:r>
      <w:r>
        <w:rPr>
          <w:color w:val="000000"/>
          <w:sz w:val="22"/>
          <w:szCs w:val="22"/>
        </w:rPr>
        <w:t xml:space="preserve">.</w:t>
      </w:r>
      <w:r>
        <w:rPr>
          <w:color w:val="000000"/>
          <w:sz w:val="22"/>
          <w:szCs w:val="22"/>
        </w:rPr>
        <w:t xml:space="preserve"> </w:t>
      </w:r>
      <w:r>
        <w:rPr>
          <w:color w:val="000000"/>
          <w:sz w:val="22"/>
          <w:szCs w:val="22"/>
        </w:rPr>
        <w:t xml:space="preserve">Doubling the area</w:t>
      </w:r>
      <w:commentRangeStart w:id="91"/>
      <w:commentRangeStart w:id="92"/>
      <w:r>
        <w:rPr>
          <w:color w:val="000000"/>
          <w:sz w:val="22"/>
          <w:szCs w:val="22"/>
        </w:rPr>
        <w:t xml:space="preserve"> of plantation </w:t>
      </w:r>
      <w:commentRangeStart w:id="93"/>
      <w:ins w:id="16">
        <w:r/>
      </w:ins>
      <w:commentRangeEnd w:id="93"/>
      <w:r>
        <w:commentReference w:id="93"/>
      </w:r>
      <w:r>
        <w:rPr>
          <w:color w:val="000000"/>
          <w:sz w:val="22"/>
          <w:szCs w:val="22"/>
        </w:rPr>
        <w:t xml:space="preserve">is associated with</w:t>
      </w:r>
      <w:r>
        <w:rPr>
          <w:color w:val="000000"/>
          <w:sz w:val="22"/>
          <w:szCs w:val="22"/>
        </w:rPr>
        <w:t xml:space="preserve"> </w:t>
      </w:r>
      <w:r>
        <w:rPr>
          <w:color w:val="000000"/>
          <w:sz w:val="22"/>
          <w:szCs w:val="22"/>
        </w:rPr>
        <w:t xml:space="preserve">the largest decrease in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nhibition scores within </w:t>
      </w:r>
      <w:r>
        <w:rPr>
          <w:color w:val="000000"/>
          <w:sz w:val="22"/>
          <w:szCs w:val="22"/>
        </w:rPr>
        <w:t xml:space="preserve">100</w:t>
      </w:r>
      <w:r>
        <w:rPr>
          <w:color w:val="000000"/>
          <w:sz w:val="22"/>
          <w:szCs w:val="22"/>
        </w:rPr>
        <w:t xml:space="preserve">m of the home</w:t>
      </w:r>
      <w:r>
        <w:rPr>
          <w:color w:val="000000"/>
          <w:sz w:val="22"/>
          <w:szCs w:val="22"/>
        </w:rPr>
        <w:t xml:space="preserve">, as indicated by the lowest point estimate </w:t>
      </w:r>
      <w:commentRangeEnd w:id="91"/>
      <w:commentRangeEnd w:id="92"/>
      <w:r>
        <w:commentReference w:id="91"/>
        <w:commentReference w:id="92"/>
      </w:r>
      <w:r>
        <w:rPr>
          <w:color w:val="000000"/>
          <w:sz w:val="22"/>
          <w:szCs w:val="22"/>
        </w:rPr>
        <w:t xml:space="preserve">(Figure </w:t>
      </w:r>
      <w:r>
        <w:rPr>
          <w:color w:val="000000"/>
          <w:sz w:val="22"/>
          <w:szCs w:val="22"/>
        </w:rPr>
        <w:t xml:space="preserve">2</w:t>
      </w:r>
      <w:r>
        <w:rPr>
          <w:color w:val="000000"/>
          <w:sz w:val="22"/>
          <w:szCs w:val="22"/>
        </w:rPr>
        <w:t xml:space="preserve">)</w:t>
      </w:r>
      <w:r>
        <w:rPr>
          <w:color w:val="000000"/>
          <w:sz w:val="22"/>
          <w:szCs w:val="22"/>
        </w:rPr>
        <w:t xml:space="preserve">. </w:t>
      </w:r>
      <w:r>
        <w:rPr>
          <w:color w:val="000000"/>
          <w:sz w:val="22"/>
          <w:szCs w:val="22"/>
        </w:rPr>
        <w:t xml:space="preserve">Doubling distance </w:t>
      </w:r>
      <w:r>
        <w:rPr>
          <w:color w:val="000000"/>
          <w:sz w:val="22"/>
          <w:szCs w:val="22"/>
        </w:rPr>
        <w:t xml:space="preserve">from the child’s home to </w:t>
      </w:r>
      <w:r>
        <w:rPr>
          <w:color w:val="000000"/>
          <w:sz w:val="22"/>
          <w:szCs w:val="22"/>
        </w:rPr>
        <w:t xml:space="preserve">the nearest crop is estimated to </w:t>
      </w:r>
      <w:r>
        <w:rPr>
          <w:color w:val="000000"/>
          <w:sz w:val="22"/>
          <w:szCs w:val="22"/>
        </w:rPr>
        <w:t xml:space="preserve">increase </w:t>
      </w:r>
      <w:r>
        <w:rPr>
          <w:color w:val="000000"/>
          <w:sz w:val="22"/>
          <w:szCs w:val="22"/>
        </w:rPr>
        <w:t xml:space="preserve">the </w:t>
      </w:r>
      <w:r>
        <w:rPr>
          <w:color w:val="000000"/>
          <w:sz w:val="22"/>
          <w:szCs w:val="22"/>
        </w:rPr>
        <w:t xml:space="preserve">A</w:t>
      </w:r>
      <w:r>
        <w:rPr>
          <w:color w:val="000000"/>
          <w:sz w:val="22"/>
          <w:szCs w:val="22"/>
        </w:rPr>
        <w:t xml:space="preserve">ttentio</w:t>
      </w:r>
      <w:r>
        <w:rPr>
          <w:color w:val="000000"/>
          <w:sz w:val="22"/>
          <w:szCs w:val="22"/>
        </w:rPr>
        <w:t xml:space="preserve">n/I</w:t>
      </w:r>
      <w:r>
        <w:rPr>
          <w:color w:val="000000"/>
          <w:sz w:val="22"/>
          <w:szCs w:val="22"/>
        </w:rPr>
        <w:t xml:space="preserve">nhibitory </w:t>
      </w:r>
      <w:r>
        <w:rPr>
          <w:color w:val="000000"/>
          <w:sz w:val="22"/>
          <w:szCs w:val="22"/>
        </w:rPr>
        <w:t xml:space="preserve">C</w:t>
      </w:r>
      <w:r>
        <w:rPr>
          <w:color w:val="000000"/>
          <w:sz w:val="22"/>
          <w:szCs w:val="22"/>
        </w:rPr>
        <w:t xml:space="preserve">ontrol domain score by 0.086 (</w:t>
      </w:r>
      <w:r>
        <w:rPr>
          <w:color w:val="000000"/>
          <w:sz w:val="22"/>
          <w:szCs w:val="22"/>
        </w:rPr>
        <w:t xml:space="preserve">95% </w:t>
      </w:r>
      <w:r>
        <w:rPr>
          <w:color w:val="000000"/>
          <w:sz w:val="22"/>
          <w:szCs w:val="22"/>
        </w:rPr>
        <w:t xml:space="preserve">CI;</w:t>
      </w:r>
      <w:r>
        <w:rPr>
          <w:color w:val="000000"/>
          <w:sz w:val="22"/>
          <w:szCs w:val="22"/>
        </w:rPr>
        <w:t xml:space="preserve"> </w:t>
      </w:r>
      <w:r>
        <w:rPr>
          <w:color w:val="000000"/>
          <w:sz w:val="22"/>
          <w:szCs w:val="22"/>
        </w:rPr>
        <w:t xml:space="preserve">0.020, 0.152) points</w:t>
      </w:r>
      <w:r>
        <w:rPr>
          <w:color w:val="000000"/>
          <w:sz w:val="22"/>
          <w:szCs w:val="22"/>
        </w:rPr>
        <w:t xml:space="preserve">.</w:t>
      </w:r>
      <w:r>
        <w:rPr>
          <w:color w:val="000000"/>
          <w:sz w:val="22"/>
          <w:szCs w:val="22"/>
        </w:rPr>
        <w:t xml:space="preserve"> </w:t>
      </w:r>
      <w:r>
        <w:rPr>
          <w:color w:val="000000"/>
          <w:sz w:val="22"/>
          <w:szCs w:val="22"/>
        </w:rPr>
        <w:t xml:space="preserve">Similarly, </w:t>
      </w:r>
      <w:r>
        <w:rPr>
          <w:color w:val="000000"/>
          <w:sz w:val="22"/>
          <w:szCs w:val="22"/>
        </w:rPr>
        <w:t xml:space="preserve">doubling area </w:t>
      </w:r>
      <w:r>
        <w:rPr>
          <w:color w:val="000000"/>
          <w:sz w:val="22"/>
          <w:szCs w:val="22"/>
        </w:rPr>
        <w:t xml:space="preserve">of greenhouses within </w:t>
      </w:r>
      <w:r>
        <w:rPr>
          <w:color w:val="000000"/>
          <w:sz w:val="22"/>
          <w:szCs w:val="22"/>
        </w:rPr>
        <w:t xml:space="preserve">300m had the highest significance (p-value = 6</w:t>
      </w:r>
      <w:r>
        <w:rPr>
          <w:color w:val="000000"/>
          <w:sz w:val="22"/>
          <w:szCs w:val="22"/>
        </w:rPr>
        <w:t xml:space="preserve">.</w:t>
      </w:r>
      <w:r>
        <w:rPr>
          <w:color w:val="000000"/>
          <w:sz w:val="22"/>
          <w:szCs w:val="22"/>
        </w:rPr>
        <w:t xml:space="preserve">4</w:t>
      </w:r>
      <w:r>
        <w:rPr>
          <w:color w:val="000000"/>
          <w:sz w:val="22"/>
          <w:szCs w:val="22"/>
        </w:rPr>
        <w:t xml:space="preserve">0</w:t>
      </w:r>
      <w:r>
        <w:rPr>
          <w:color w:val="000000"/>
          <w:sz w:val="22"/>
          <w:szCs w:val="22"/>
        </w:rPr>
        <w:t xml:space="preserve">e-3</w:t>
      </w:r>
      <w:r>
        <w:rPr>
          <w:color w:val="000000"/>
          <w:sz w:val="22"/>
          <w:szCs w:val="22"/>
        </w:rPr>
        <w:t xml:space="preserve">) and </w:t>
      </w:r>
      <w:r>
        <w:rPr>
          <w:color w:val="000000"/>
          <w:sz w:val="22"/>
          <w:szCs w:val="22"/>
        </w:rPr>
        <w:t xml:space="preserve">decreased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domain score</w:t>
      </w:r>
      <w:r>
        <w:rPr>
          <w:color w:val="000000"/>
          <w:sz w:val="22"/>
          <w:szCs w:val="22"/>
        </w:rPr>
        <w:t xml:space="preserve">s</w:t>
      </w:r>
      <w:r>
        <w:rPr>
          <w:color w:val="000000"/>
          <w:sz w:val="22"/>
          <w:szCs w:val="22"/>
        </w:rPr>
        <w:t xml:space="preserve"> by 0.026 (</w:t>
      </w:r>
      <w:r>
        <w:rPr>
          <w:color w:val="000000"/>
          <w:sz w:val="22"/>
          <w:szCs w:val="22"/>
        </w:rPr>
        <w:t xml:space="preserve">95% CI; </w:t>
      </w:r>
      <w:r>
        <w:rPr>
          <w:color w:val="000000"/>
          <w:sz w:val="22"/>
          <w:szCs w:val="22"/>
        </w:rPr>
        <w:t xml:space="preserve">0.007</w:t>
      </w:r>
      <w:r>
        <w:rPr>
          <w:color w:val="000000"/>
          <w:sz w:val="22"/>
          <w:szCs w:val="22"/>
        </w:rPr>
        <w:t xml:space="preserve">, 0.045</w:t>
      </w:r>
      <w:r>
        <w:rPr>
          <w:color w:val="000000"/>
          <w:sz w:val="22"/>
          <w:szCs w:val="22"/>
        </w:rPr>
        <w:t xml:space="preserve">)</w:t>
      </w:r>
      <w:r>
        <w:rPr>
          <w:color w:val="000000"/>
          <w:sz w:val="22"/>
          <w:szCs w:val="22"/>
        </w:rPr>
        <w:t xml:space="preserve"> points</w:t>
      </w:r>
      <w:r>
        <w:rPr>
          <w:color w:val="000000"/>
          <w:sz w:val="22"/>
          <w:szCs w:val="22"/>
        </w:rPr>
        <w:t xml:space="preserve"> (Supplemental Table</w:t>
      </w:r>
      <w:r>
        <w:rPr>
          <w:color w:val="000000"/>
          <w:sz w:val="22"/>
          <w:szCs w:val="22"/>
        </w:rPr>
        <w:t xml:space="preserve"> 1)</w:t>
      </w:r>
      <w:r>
        <w:rPr>
          <w:color w:val="000000"/>
          <w:sz w:val="22"/>
          <w:szCs w:val="22"/>
        </w:rPr>
        <w:t xml:space="preserve">. </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The </w:t>
      </w:r>
      <w:r>
        <w:rPr>
          <w:color w:val="000000"/>
          <w:sz w:val="22"/>
          <w:szCs w:val="22"/>
        </w:rPr>
        <w:t xml:space="preserve">I</w:t>
      </w:r>
      <w:r>
        <w:rPr>
          <w:color w:val="000000"/>
          <w:sz w:val="22"/>
          <w:szCs w:val="22"/>
        </w:rPr>
        <w:t xml:space="preserve">nhibition-Inhibition </w:t>
      </w:r>
      <w:r>
        <w:rPr>
          <w:color w:val="000000"/>
          <w:sz w:val="22"/>
          <w:szCs w:val="22"/>
        </w:rPr>
        <w:t xml:space="preserve">C</w:t>
      </w:r>
      <w:r>
        <w:rPr>
          <w:color w:val="000000"/>
          <w:sz w:val="22"/>
          <w:szCs w:val="22"/>
        </w:rPr>
        <w:t xml:space="preserve">ombined</w:t>
      </w:r>
      <w:r>
        <w:rPr>
          <w:color w:val="000000"/>
          <w:sz w:val="22"/>
          <w:szCs w:val="22"/>
        </w:rPr>
        <w:t xml:space="preserve"> </w:t>
      </w:r>
      <w:r>
        <w:rPr>
          <w:color w:val="000000"/>
          <w:sz w:val="22"/>
          <w:szCs w:val="22"/>
        </w:rPr>
        <w:t xml:space="preserve">(IIC) </w:t>
      </w:r>
      <w:r>
        <w:rPr>
          <w:color w:val="000000"/>
          <w:sz w:val="22"/>
          <w:szCs w:val="22"/>
        </w:rPr>
        <w:t xml:space="preserve">score was found to be significantly associated with distance from residency to nearest plantation and all crop area variables except at 1000</w:t>
      </w:r>
      <w:r>
        <w:rPr>
          <w:color w:val="000000"/>
          <w:sz w:val="22"/>
          <w:szCs w:val="22"/>
        </w:rPr>
        <w:t xml:space="preserve"> </w:t>
      </w:r>
      <w:r>
        <w:rPr>
          <w:color w:val="000000"/>
          <w:sz w:val="22"/>
          <w:szCs w:val="22"/>
        </w:rPr>
        <w:t xml:space="preserve">m. </w:t>
      </w:r>
      <w:r>
        <w:rPr>
          <w:color w:val="000000"/>
          <w:sz w:val="22"/>
          <w:szCs w:val="22"/>
        </w:rPr>
        <w:t xml:space="preserve">Doubling distance</w:t>
      </w:r>
      <w:r>
        <w:rPr>
          <w:color w:val="000000"/>
          <w:sz w:val="22"/>
          <w:szCs w:val="22"/>
        </w:rPr>
        <w:t xml:space="preserve"> from the floriculture greenhouses</w:t>
      </w:r>
      <w:r>
        <w:rPr>
          <w:color w:val="000000"/>
          <w:sz w:val="22"/>
          <w:szCs w:val="22"/>
        </w:rPr>
        <w:t xml:space="preserve"> </w:t>
      </w:r>
      <w:r>
        <w:rPr>
          <w:color w:val="000000"/>
          <w:sz w:val="22"/>
          <w:szCs w:val="22"/>
        </w:rPr>
        <w:t xml:space="preserve">increased </w:t>
      </w:r>
      <w:r>
        <w:rPr>
          <w:color w:val="000000"/>
          <w:sz w:val="22"/>
          <w:szCs w:val="22"/>
        </w:rPr>
        <w:t xml:space="preserve">IIC</w:t>
      </w:r>
      <w:r>
        <w:rPr>
          <w:color w:val="000000"/>
          <w:sz w:val="22"/>
          <w:szCs w:val="22"/>
        </w:rPr>
        <w:t xml:space="preserve"> by 0.169 (95% </w:t>
      </w:r>
      <w:r>
        <w:rPr>
          <w:color w:val="000000"/>
          <w:sz w:val="22"/>
          <w:szCs w:val="22"/>
        </w:rPr>
        <w:t xml:space="preserve">CI;</w:t>
      </w:r>
      <w:r>
        <w:rPr>
          <w:color w:val="000000"/>
          <w:sz w:val="22"/>
          <w:szCs w:val="22"/>
        </w:rPr>
        <w:t xml:space="preserve"> 0.077, 0.262) points</w:t>
      </w:r>
      <w:r>
        <w:rPr>
          <w:color w:val="000000"/>
          <w:sz w:val="22"/>
          <w:szCs w:val="22"/>
        </w:rPr>
        <w:t xml:space="preserve">.</w:t>
      </w:r>
      <w:r>
        <w:rPr>
          <w:color w:val="000000"/>
          <w:sz w:val="22"/>
          <w:szCs w:val="22"/>
        </w:rPr>
        <w:t xml:space="preserve"> </w:t>
      </w:r>
      <w:r>
        <w:rPr>
          <w:color w:val="000000"/>
          <w:sz w:val="22"/>
          <w:szCs w:val="22"/>
        </w:rPr>
        <w:t xml:space="preserve">D</w:t>
      </w:r>
      <w:r>
        <w:rPr>
          <w:color w:val="000000"/>
          <w:sz w:val="22"/>
          <w:szCs w:val="22"/>
        </w:rPr>
        <w:t xml:space="preserve">oubling </w:t>
      </w:r>
      <w:r>
        <w:rPr>
          <w:color w:val="000000"/>
          <w:sz w:val="22"/>
          <w:szCs w:val="22"/>
        </w:rPr>
        <w:t xml:space="preserve">greenhouse </w:t>
      </w:r>
      <w:r>
        <w:rPr>
          <w:color w:val="000000"/>
          <w:sz w:val="22"/>
          <w:szCs w:val="22"/>
        </w:rPr>
        <w:t xml:space="preserve">area under 15</w:t>
      </w:r>
      <w:r>
        <w:rPr>
          <w:color w:val="000000"/>
          <w:sz w:val="22"/>
          <w:szCs w:val="22"/>
        </w:rPr>
        <w:t xml:space="preserve">0</w:t>
      </w:r>
      <w:r>
        <w:rPr>
          <w:color w:val="000000"/>
          <w:sz w:val="22"/>
          <w:szCs w:val="22"/>
        </w:rPr>
        <w:t xml:space="preserve">m had the highest significance (p-value = 5.81e-05) and </w:t>
      </w:r>
      <w:r>
        <w:rPr>
          <w:color w:val="000000"/>
          <w:sz w:val="22"/>
          <w:szCs w:val="22"/>
        </w:rPr>
        <w:t xml:space="preserve">decreased </w:t>
      </w:r>
      <w:r>
        <w:rPr>
          <w:color w:val="000000"/>
          <w:sz w:val="22"/>
          <w:szCs w:val="22"/>
        </w:rPr>
        <w:t xml:space="preserve">IIC</w:t>
      </w:r>
      <w:r>
        <w:rPr>
          <w:color w:val="000000"/>
          <w:sz w:val="22"/>
          <w:szCs w:val="22"/>
        </w:rPr>
        <w:t xml:space="preserve"> by 0.068 (</w:t>
      </w:r>
      <w:r>
        <w:rPr>
          <w:color w:val="000000"/>
          <w:sz w:val="22"/>
          <w:szCs w:val="22"/>
        </w:rPr>
        <w:t xml:space="preserve">95% CI;</w:t>
      </w:r>
      <w:r>
        <w:rPr>
          <w:color w:val="000000"/>
          <w:sz w:val="22"/>
          <w:szCs w:val="22"/>
        </w:rPr>
        <w:t xml:space="preserve"> 0.035,</w:t>
      </w:r>
      <w:r>
        <w:rPr>
          <w:color w:val="000000"/>
          <w:sz w:val="22"/>
          <w:szCs w:val="22"/>
        </w:rPr>
        <w:t xml:space="preserve"> </w:t>
      </w:r>
      <w:r>
        <w:rPr>
          <w:color w:val="000000"/>
          <w:sz w:val="22"/>
          <w:szCs w:val="22"/>
        </w:rPr>
        <w:t xml:space="preserve">0.101)</w:t>
      </w:r>
      <w:r>
        <w:rPr>
          <w:color w:val="000000"/>
          <w:sz w:val="22"/>
          <w:szCs w:val="22"/>
        </w:rPr>
        <w:t xml:space="preserve"> points</w:t>
      </w:r>
      <w:r>
        <w:rPr>
          <w:color w:val="000000"/>
          <w:sz w:val="22"/>
          <w:szCs w:val="22"/>
        </w:rPr>
        <w:t xml:space="preserve"> (Figure </w:t>
      </w:r>
      <w:r>
        <w:rPr>
          <w:color w:val="000000"/>
          <w:sz w:val="22"/>
          <w:szCs w:val="22"/>
        </w:rPr>
        <w:t xml:space="preserve">2</w:t>
      </w:r>
      <w:r>
        <w:rPr>
          <w:color w:val="000000"/>
          <w:sz w:val="22"/>
          <w:szCs w:val="22"/>
        </w:rPr>
        <w:t xml:space="preserve"> and Supplemental Figure 1)</w:t>
      </w:r>
      <w:r>
        <w:rPr>
          <w:color w:val="000000"/>
          <w:sz w:val="22"/>
          <w:szCs w:val="22"/>
        </w:rPr>
        <w:t xml:space="preserve">. The </w:t>
      </w:r>
      <w:r>
        <w:rPr>
          <w:color w:val="000000"/>
          <w:sz w:val="22"/>
          <w:szCs w:val="22"/>
        </w:rPr>
        <w:t xml:space="preserve">ISC</w:t>
      </w:r>
      <w:r>
        <w:rPr>
          <w:color w:val="000000"/>
          <w:sz w:val="22"/>
          <w:szCs w:val="22"/>
        </w:rPr>
        <w:t xml:space="preserve"> score was significantly associated with crop areas within 150m, 300m, and 500m</w:t>
      </w:r>
      <w:r>
        <w:rPr>
          <w:color w:val="000000"/>
          <w:sz w:val="22"/>
          <w:szCs w:val="22"/>
        </w:rPr>
        <w:t xml:space="preserve">.</w:t>
      </w:r>
      <w:r>
        <w:rPr>
          <w:color w:val="000000"/>
          <w:sz w:val="22"/>
          <w:szCs w:val="22"/>
        </w:rPr>
        <w:t xml:space="preserve"> </w:t>
      </w:r>
      <w:r>
        <w:rPr>
          <w:color w:val="000000"/>
          <w:sz w:val="22"/>
          <w:szCs w:val="22"/>
        </w:rPr>
        <w:t xml:space="preserve">Doubling greenhouse area under 500m had the highest significance (p-value = 0.010) and decreased ISC by 0.0</w:t>
      </w:r>
      <w:r>
        <w:rPr>
          <w:color w:val="000000"/>
          <w:sz w:val="22"/>
          <w:szCs w:val="22"/>
        </w:rPr>
        <w:t xml:space="preserve">32</w:t>
      </w:r>
      <w:r>
        <w:rPr>
          <w:color w:val="000000"/>
          <w:sz w:val="22"/>
          <w:szCs w:val="22"/>
        </w:rPr>
        <w:t xml:space="preserve"> (95% CI; 0.0</w:t>
      </w:r>
      <w:r>
        <w:rPr>
          <w:color w:val="000000"/>
          <w:sz w:val="22"/>
          <w:szCs w:val="22"/>
        </w:rPr>
        <w:t xml:space="preserve">08</w:t>
      </w:r>
      <w:r>
        <w:rPr>
          <w:color w:val="000000"/>
          <w:sz w:val="22"/>
          <w:szCs w:val="22"/>
        </w:rPr>
        <w:t xml:space="preserve">, 0.</w:t>
      </w:r>
      <w:r>
        <w:rPr>
          <w:color w:val="000000"/>
          <w:sz w:val="22"/>
          <w:szCs w:val="22"/>
        </w:rPr>
        <w:t xml:space="preserve">057</w:t>
      </w:r>
      <w:r>
        <w:rPr>
          <w:color w:val="000000"/>
          <w:sz w:val="22"/>
          <w:szCs w:val="22"/>
        </w:rPr>
        <w:t xml:space="preserve">) points</w:t>
      </w:r>
      <w:r>
        <w:rPr>
          <w:color w:val="000000"/>
          <w:sz w:val="22"/>
          <w:szCs w:val="22"/>
        </w:rPr>
        <w:t xml:space="preserve"> (Figure </w:t>
      </w:r>
      <w:r>
        <w:rPr>
          <w:color w:val="000000"/>
          <w:sz w:val="22"/>
          <w:szCs w:val="22"/>
        </w:rPr>
        <w:t xml:space="preserve">2</w:t>
      </w:r>
      <w:r>
        <w:rPr>
          <w:color w:val="000000"/>
          <w:sz w:val="22"/>
          <w:szCs w:val="22"/>
        </w:rPr>
        <w:t xml:space="preserve">).</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The </w:t>
      </w:r>
      <w:r>
        <w:rPr>
          <w:color w:val="000000"/>
          <w:sz w:val="22"/>
          <w:szCs w:val="22"/>
        </w:rPr>
        <w:t xml:space="preserve">I</w:t>
      </w:r>
      <w:r>
        <w:rPr>
          <w:color w:val="000000"/>
          <w:sz w:val="22"/>
          <w:szCs w:val="22"/>
        </w:rPr>
        <w:t xml:space="preserve">nhibition </w:t>
      </w:r>
      <w:commentRangeStart w:id="94"/>
      <w:r>
        <w:rPr>
          <w:color w:val="000000"/>
          <w:sz w:val="22"/>
          <w:szCs w:val="22"/>
        </w:rPr>
        <w:t xml:space="preserve">subdomain </w:t>
      </w:r>
      <w:commentRangeEnd w:id="94"/>
      <w:r>
        <w:commentReference w:id="94"/>
      </w:r>
      <w:r>
        <w:rPr>
          <w:color w:val="000000"/>
          <w:sz w:val="22"/>
          <w:szCs w:val="22"/>
        </w:rPr>
        <w:t xml:space="preserve">score</w:t>
      </w:r>
      <w:r>
        <w:rPr>
          <w:color w:val="000000"/>
          <w:sz w:val="22"/>
          <w:szCs w:val="22"/>
        </w:rPr>
        <w:t xml:space="preserve">—</w:t>
      </w:r>
      <w:r>
        <w:rPr>
          <w:color w:val="000000"/>
          <w:sz w:val="22"/>
          <w:szCs w:val="22"/>
        </w:rPr>
        <w:t xml:space="preserve">which</w:t>
      </w:r>
      <w:r>
        <w:rPr>
          <w:color w:val="000000"/>
          <w:sz w:val="22"/>
          <w:szCs w:val="22"/>
        </w:rPr>
        <w:t xml:space="preserve"> </w:t>
      </w:r>
      <w:r>
        <w:rPr>
          <w:color w:val="000000"/>
          <w:sz w:val="22"/>
          <w:szCs w:val="22"/>
        </w:rPr>
        <w:t xml:space="preserve">is </w:t>
      </w:r>
      <w:r>
        <w:rPr>
          <w:color w:val="000000"/>
          <w:sz w:val="22"/>
          <w:szCs w:val="22"/>
        </w:rPr>
        <w:t xml:space="preserve">the</w:t>
      </w:r>
      <w:r>
        <w:rPr>
          <w:color w:val="000000"/>
          <w:sz w:val="22"/>
          <w:szCs w:val="22"/>
        </w:rPr>
        <w:t xml:space="preserve"> average</w:t>
      </w:r>
      <w:r>
        <w:rPr>
          <w:color w:val="000000"/>
          <w:sz w:val="22"/>
          <w:szCs w:val="22"/>
        </w:rPr>
        <w:t xml:space="preserve"> of the</w:t>
      </w:r>
      <w:r>
        <w:rPr>
          <w:color w:val="000000"/>
          <w:sz w:val="22"/>
          <w:szCs w:val="22"/>
        </w:rPr>
        <w:t xml:space="preserve"> </w:t>
      </w:r>
      <w:r>
        <w:rPr>
          <w:color w:val="000000"/>
          <w:sz w:val="22"/>
          <w:szCs w:val="22"/>
        </w:rPr>
        <w:t xml:space="preserve">IIC</w:t>
      </w:r>
      <w:r>
        <w:rPr>
          <w:color w:val="000000"/>
          <w:sz w:val="22"/>
          <w:szCs w:val="22"/>
        </w:rPr>
        <w:t xml:space="preserve">, </w:t>
      </w:r>
      <w:r>
        <w:rPr>
          <w:color w:val="000000"/>
          <w:sz w:val="22"/>
          <w:szCs w:val="22"/>
        </w:rPr>
        <w:t xml:space="preserve">INC</w:t>
      </w:r>
      <w:r>
        <w:rPr>
          <w:color w:val="000000"/>
          <w:sz w:val="22"/>
          <w:szCs w:val="22"/>
        </w:rPr>
        <w:t xml:space="preserve"> and </w:t>
      </w:r>
      <w:r>
        <w:rPr>
          <w:color w:val="000000"/>
          <w:sz w:val="22"/>
          <w:szCs w:val="22"/>
        </w:rPr>
        <w:t xml:space="preserve">ISC subsets—</w:t>
      </w:r>
      <w:r>
        <w:rPr>
          <w:color w:val="000000"/>
          <w:sz w:val="22"/>
          <w:szCs w:val="22"/>
        </w:rPr>
        <w:t xml:space="preserve">was</w:t>
      </w:r>
      <w:r>
        <w:rPr>
          <w:color w:val="000000"/>
          <w:sz w:val="22"/>
          <w:szCs w:val="22"/>
        </w:rPr>
        <w:t xml:space="preserve"> </w:t>
      </w:r>
      <w:r>
        <w:rPr>
          <w:color w:val="000000"/>
          <w:sz w:val="22"/>
          <w:szCs w:val="22"/>
        </w:rPr>
        <w:t xml:space="preserve">significantly associated with distance from residency to nearest planation and all crop area variables except at 1000m. Doubling distance </w:t>
      </w:r>
      <w:r>
        <w:rPr>
          <w:color w:val="000000"/>
          <w:sz w:val="22"/>
          <w:szCs w:val="22"/>
        </w:rPr>
        <w:t xml:space="preserve">between the household and the greenhouse</w:t>
      </w:r>
      <w:r>
        <w:rPr>
          <w:color w:val="000000"/>
          <w:sz w:val="22"/>
          <w:szCs w:val="22"/>
        </w:rPr>
        <w:t xml:space="preserve"> (decreasing exposure)</w:t>
      </w:r>
      <w:r>
        <w:rPr>
          <w:color w:val="000000"/>
          <w:sz w:val="22"/>
          <w:szCs w:val="22"/>
        </w:rPr>
        <w:t xml:space="preserve"> increased </w:t>
      </w:r>
      <w:r>
        <w:rPr>
          <w:color w:val="000000"/>
          <w:sz w:val="22"/>
          <w:szCs w:val="22"/>
        </w:rPr>
        <w:t xml:space="preserve">the inhibition subdomain score by 0.135 (</w:t>
      </w:r>
      <w:r>
        <w:rPr>
          <w:color w:val="000000"/>
          <w:sz w:val="22"/>
          <w:szCs w:val="22"/>
        </w:rPr>
        <w:t xml:space="preserve">95% CI; </w:t>
      </w:r>
      <w:r>
        <w:rPr>
          <w:color w:val="000000"/>
          <w:sz w:val="22"/>
          <w:szCs w:val="22"/>
        </w:rPr>
        <w:t xml:space="preserve">0.060, 0.210) points</w:t>
      </w:r>
      <w:r>
        <w:rPr>
          <w:color w:val="000000"/>
          <w:sz w:val="22"/>
          <w:szCs w:val="22"/>
        </w:rPr>
        <w:t xml:space="preserve">.</w:t>
      </w:r>
      <w:r>
        <w:rPr>
          <w:color w:val="000000"/>
          <w:sz w:val="22"/>
          <w:szCs w:val="22"/>
        </w:rPr>
        <w:t xml:space="preserve"> </w:t>
      </w:r>
      <w:commentRangeStart w:id="95"/>
      <w:r>
        <w:rPr>
          <w:color w:val="000000"/>
          <w:sz w:val="22"/>
          <w:szCs w:val="22"/>
        </w:rPr>
        <w:t xml:space="preserve">D</w:t>
      </w:r>
      <w:r>
        <w:rPr>
          <w:color w:val="000000"/>
          <w:sz w:val="22"/>
          <w:szCs w:val="22"/>
        </w:rPr>
        <w:t xml:space="preserve">oubling area</w:t>
      </w:r>
      <w:r>
        <w:rPr>
          <w:color w:val="000000"/>
          <w:sz w:val="22"/>
          <w:szCs w:val="22"/>
        </w:rPr>
        <w:t xml:space="preserve"> of greenhouses</w:t>
      </w:r>
      <w:r>
        <w:rPr>
          <w:color w:val="000000"/>
          <w:sz w:val="22"/>
          <w:szCs w:val="22"/>
        </w:rPr>
        <w:t xml:space="preserve"> </w:t>
      </w:r>
      <w:r>
        <w:rPr>
          <w:color w:val="000000"/>
          <w:sz w:val="22"/>
          <w:szCs w:val="22"/>
        </w:rPr>
        <w:t xml:space="preserve">(increasing exposure) </w:t>
      </w:r>
      <w:r>
        <w:rPr>
          <w:color w:val="000000"/>
          <w:sz w:val="22"/>
          <w:szCs w:val="22"/>
        </w:rPr>
        <w:t xml:space="preserve">within</w:t>
      </w:r>
      <w:r>
        <w:rPr>
          <w:color w:val="000000"/>
          <w:sz w:val="22"/>
          <w:szCs w:val="22"/>
        </w:rPr>
        <w:t xml:space="preserve"> 150m had the highest significance (p-value = 3.59e-05) and </w:t>
      </w:r>
      <w:r>
        <w:rPr>
          <w:color w:val="000000"/>
          <w:sz w:val="22"/>
          <w:szCs w:val="22"/>
        </w:rPr>
        <w:t xml:space="preserve">decreased </w:t>
      </w:r>
      <w:r>
        <w:rPr>
          <w:color w:val="000000"/>
          <w:sz w:val="22"/>
          <w:szCs w:val="22"/>
        </w:rPr>
        <w:t xml:space="preserve">the inhibition subdomain score by 0.056 (</w:t>
      </w:r>
      <w:r>
        <w:rPr>
          <w:color w:val="000000"/>
          <w:sz w:val="22"/>
          <w:szCs w:val="22"/>
        </w:rPr>
        <w:t xml:space="preserve">95% CI; </w:t>
      </w:r>
      <w:r>
        <w:rPr>
          <w:color w:val="000000"/>
          <w:sz w:val="22"/>
          <w:szCs w:val="22"/>
        </w:rPr>
        <w:t xml:space="preserve">0.030, </w:t>
      </w:r>
      <w:r>
        <w:rPr>
          <w:color w:val="000000"/>
          <w:sz w:val="22"/>
          <w:szCs w:val="22"/>
        </w:rPr>
        <w:t xml:space="preserve">0.083)</w:t>
      </w:r>
      <w:r>
        <w:rPr>
          <w:color w:val="000000"/>
          <w:sz w:val="22"/>
          <w:szCs w:val="22"/>
        </w:rPr>
        <w:t xml:space="preserve"> points</w:t>
      </w:r>
      <w:r>
        <w:rPr>
          <w:color w:val="000000"/>
          <w:sz w:val="22"/>
          <w:szCs w:val="22"/>
        </w:rPr>
        <w:t xml:space="preserve">. </w:t>
      </w:r>
      <w:commentRangeEnd w:id="95"/>
      <w:r>
        <w:commentReference w:id="95"/>
      </w:r>
      <w:r>
        <w:rPr>
          <w:rStyle w:val="768"/>
          <w:color w:val="000000"/>
          <w:sz w:val="22"/>
          <w:szCs w:val="22"/>
        </w:rPr>
      </w:r>
      <w:r>
        <w:rPr>
          <w:color w:val="000000"/>
          <w:sz w:val="22"/>
          <w:szCs w:val="22"/>
        </w:rPr>
      </w:r>
    </w:p>
    <w:p>
      <w:pPr>
        <w:pBdr/>
        <w:spacing/>
        <w:ind/>
        <w:rPr>
          <w:color w:val="000000"/>
          <w:sz w:val="22"/>
          <w:szCs w:val="22"/>
        </w:rPr>
      </w:pPr>
      <w:r>
        <mc:AlternateContent>
          <mc:Choice Requires="wpg">
            <w:drawing>
              <wp:inline xmlns:wp="http://schemas.openxmlformats.org/drawingml/2006/wordprocessingDrawing" distT="0" distB="0" distL="0" distR="0">
                <wp:extent cx="5140710" cy="5153891"/>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a:picLocks noChangeAspect="1"/>
                        </pic:cNvPicPr>
                        <pic:nvPr/>
                      </pic:nvPicPr>
                      <pic:blipFill>
                        <a:blip r:embed="rId13"/>
                        <a:stretch/>
                      </pic:blipFill>
                      <pic:spPr bwMode="auto">
                        <a:xfrm>
                          <a:off x="0" y="0"/>
                          <a:ext cx="5146153" cy="5159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4.78pt;height:405.82pt;mso-wrap-distance-left:0.00pt;mso-wrap-distance-top:0.00pt;mso-wrap-distance-right:0.00pt;mso-wrap-distance-bottom:0.00pt;z-index:1;" stroked="false">
                <v:imagedata r:id="rId13" o:title=""/>
                <o:lock v:ext="edit" rotation="t"/>
              </v:shape>
            </w:pict>
          </mc:Fallback>
        </mc:AlternateContent>
      </w:r>
      <w:r>
        <w:rPr>
          <w:color w:val="000000"/>
          <w:sz w:val="22"/>
          <w:szCs w:val="22"/>
        </w:rPr>
      </w:r>
    </w:p>
    <w:p>
      <w:pPr>
        <w:pBdr/>
        <w:spacing/>
        <w:ind/>
        <w:rPr>
          <w:color w:val="000000"/>
          <w:sz w:val="22"/>
          <w:szCs w:val="22"/>
        </w:rPr>
      </w:pPr>
      <w:r/>
      <w:commentRangeStart w:id="96"/>
      <w:commentRangeStart w:id="97"/>
      <w:commentRangeStart w:id="98"/>
      <w:r>
        <w:rPr>
          <w:b/>
          <w:bCs/>
          <w:color w:val="000000"/>
          <w:sz w:val="22"/>
          <w:szCs w:val="22"/>
        </w:rPr>
        <w:t xml:space="preserve">Figure </w:t>
      </w:r>
      <w:r>
        <w:rPr>
          <w:b/>
          <w:bCs/>
          <w:color w:val="000000"/>
          <w:sz w:val="22"/>
          <w:szCs w:val="22"/>
        </w:rPr>
        <w:t xml:space="preserve">2</w:t>
      </w:r>
      <w:r>
        <w:rPr>
          <w:color w:val="000000"/>
          <w:sz w:val="22"/>
          <w:szCs w:val="22"/>
        </w:rPr>
        <w:t xml:space="preserve">: </w:t>
      </w:r>
      <w:commentRangeEnd w:id="96"/>
      <w:commentRangeEnd w:id="97"/>
      <w:commentRangeEnd w:id="98"/>
      <w:r>
        <w:commentReference w:id="96"/>
        <w:commentReference w:id="97"/>
        <w:commentReference w:id="98"/>
      </w:r>
      <w:r>
        <w:rPr>
          <w:color w:val="000000"/>
          <w:sz w:val="22"/>
          <w:szCs w:val="22"/>
        </w:rPr>
        <w:t xml:space="preserve">Estimates of the effect size of distance or area variable with respect to select NEPSY-</w:t>
      </w:r>
      <w:r>
        <w:rPr>
          <w:color w:val="000000"/>
          <w:sz w:val="22"/>
          <w:szCs w:val="22"/>
        </w:rPr>
        <w:t xml:space="preserve">II</w:t>
      </w:r>
      <w:r>
        <w:rPr>
          <w:color w:val="000000"/>
          <w:sz w:val="22"/>
          <w:szCs w:val="22"/>
        </w:rPr>
        <w:t xml:space="preserve"> scores and subdomain scores. The estimate is indicated by a point with a 95% confidence </w:t>
      </w:r>
      <w:commentRangeStart w:id="99"/>
      <w:commentRangeStart w:id="100"/>
      <w:r>
        <w:rPr>
          <w:color w:val="000000"/>
          <w:sz w:val="22"/>
          <w:szCs w:val="22"/>
        </w:rPr>
        <w:t xml:space="preserve">interval</w:t>
      </w:r>
      <w:commentRangeEnd w:id="99"/>
      <w:commentRangeEnd w:id="100"/>
      <w:r>
        <w:commentReference w:id="99"/>
        <w:commentReference w:id="100"/>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Style w:val="782"/>
        <w:numPr>
          <w:ilvl w:val="1"/>
          <w:numId w:val="15"/>
        </w:numPr>
        <w:pBdr/>
        <w:spacing/>
        <w:ind/>
        <w:rPr>
          <w:bCs/>
          <w:color w:val="000000"/>
          <w:sz w:val="22"/>
          <w:szCs w:val="22"/>
        </w:rPr>
      </w:pPr>
      <w:r/>
      <w:commentRangeStart w:id="101"/>
      <w:commentRangeStart w:id="102"/>
      <w:commentRangeStart w:id="103"/>
      <w:r>
        <w:rPr>
          <w:bCs/>
          <w:color w:val="000000"/>
          <w:sz w:val="22"/>
          <w:szCs w:val="22"/>
        </w:rPr>
        <w:t xml:space="preserve">Odds Ratio Model</w:t>
      </w:r>
      <w:commentRangeEnd w:id="101"/>
      <w:commentRangeEnd w:id="102"/>
      <w:commentRangeEnd w:id="103"/>
      <w:r>
        <w:commentReference w:id="101"/>
        <w:commentReference w:id="102"/>
        <w:commentReference w:id="103"/>
      </w:r>
      <w:r>
        <w:rPr>
          <w:rStyle w:val="768"/>
          <w:bCs/>
          <w:color w:val="000000"/>
          <w:sz w:val="22"/>
          <w:szCs w:val="22"/>
        </w:rPr>
      </w:r>
      <w:r>
        <w:rPr>
          <w:bCs/>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jc w:val="both"/>
        <w:rPr>
          <w:color w:val="000000"/>
          <w:sz w:val="22"/>
          <w:szCs w:val="22"/>
        </w:rPr>
      </w:pPr>
      <w:r/>
      <w:commentRangeStart w:id="104"/>
      <w:commentRangeStart w:id="105"/>
      <w:commentRangeStart w:id="106"/>
      <w:r>
        <w:rPr>
          <w:color w:val="000000"/>
          <w:sz w:val="22"/>
          <w:szCs w:val="22"/>
        </w:rPr>
        <w:t xml:space="preserve">In the odds ratio model</w:t>
      </w:r>
      <w:commentRangeEnd w:id="104"/>
      <w:commentRangeEnd w:id="105"/>
      <w:commentRangeEnd w:id="106"/>
      <w:r>
        <w:commentReference w:id="104"/>
        <w:commentReference w:id="105"/>
        <w:commentReference w:id="106"/>
      </w:r>
      <w:r>
        <w:rPr>
          <w:color w:val="000000"/>
          <w:sz w:val="22"/>
          <w:szCs w:val="22"/>
        </w:rPr>
        <w:t xml:space="preserve">, </w:t>
      </w:r>
      <w:r>
        <w:rPr>
          <w:color w:val="000000"/>
          <w:sz w:val="22"/>
          <w:szCs w:val="22"/>
        </w:rPr>
        <w:t xml:space="preserve">we decided on </w:t>
      </w:r>
      <w:r>
        <w:rPr>
          <w:color w:val="000000"/>
          <w:sz w:val="22"/>
          <w:szCs w:val="22"/>
        </w:rPr>
        <w:t xml:space="preserve">binarizing </w:t>
      </w:r>
      <w:r>
        <w:rPr>
          <w:color w:val="000000"/>
          <w:sz w:val="22"/>
          <w:szCs w:val="22"/>
        </w:rPr>
        <w:t xml:space="preserve">nearly all NEPSY</w:t>
      </w:r>
      <w:r>
        <w:rPr>
          <w:color w:val="000000"/>
          <w:sz w:val="22"/>
          <w:szCs w:val="22"/>
        </w:rPr>
        <w:t xml:space="preserve">-II</w:t>
      </w:r>
      <w:r>
        <w:rPr>
          <w:color w:val="000000"/>
          <w:sz w:val="22"/>
          <w:szCs w:val="22"/>
        </w:rPr>
        <w:t xml:space="preserve"> scores </w:t>
      </w:r>
      <w:r>
        <w:rPr>
          <w:color w:val="000000"/>
          <w:sz w:val="22"/>
          <w:szCs w:val="22"/>
        </w:rPr>
        <w:t xml:space="preserve">with a threshold</w:t>
      </w:r>
      <w:r>
        <w:rPr>
          <w:color w:val="000000"/>
          <w:sz w:val="22"/>
          <w:szCs w:val="22"/>
        </w:rPr>
        <w:t xml:space="preserve"> of greater than </w:t>
      </w:r>
      <w:r>
        <w:rPr>
          <w:color w:val="000000"/>
          <w:sz w:val="22"/>
          <w:szCs w:val="22"/>
        </w:rPr>
        <w:t xml:space="preserve">five</w:t>
      </w:r>
      <w:r>
        <w:rPr>
          <w:color w:val="000000"/>
          <w:sz w:val="22"/>
          <w:szCs w:val="22"/>
        </w:rPr>
        <w:t xml:space="preserve"> vs less than or equal to </w:t>
      </w:r>
      <w:r>
        <w:rPr>
          <w:color w:val="000000"/>
          <w:sz w:val="22"/>
          <w:szCs w:val="22"/>
        </w:rPr>
        <w:t xml:space="preserve">five</w:t>
      </w:r>
      <w:r>
        <w:rPr>
          <w:color w:val="000000"/>
          <w:sz w:val="22"/>
          <w:szCs w:val="22"/>
        </w:rPr>
        <w:t xml:space="preserve">, as this is </w:t>
      </w:r>
      <w:r>
        <w:rPr>
          <w:color w:val="000000"/>
          <w:sz w:val="22"/>
          <w:szCs w:val="22"/>
        </w:rPr>
        <w:t xml:space="preserve">‘</w:t>
      </w:r>
      <w:commentRangeStart w:id="107"/>
      <w:commentRangeStart w:id="108"/>
      <w:r>
        <w:rPr>
          <w:color w:val="000000"/>
          <w:sz w:val="22"/>
          <w:szCs w:val="22"/>
        </w:rPr>
        <w:t xml:space="preserve">below expected</w:t>
      </w:r>
      <w:commentRangeEnd w:id="107"/>
      <w:commentRangeEnd w:id="108"/>
      <w:r>
        <w:commentReference w:id="107"/>
        <w:commentReference w:id="108"/>
      </w:r>
      <w:r>
        <w:rPr>
          <w:color w:val="000000"/>
          <w:sz w:val="22"/>
          <w:szCs w:val="22"/>
        </w:rPr>
        <w:t xml:space="preserve">’</w:t>
      </w:r>
      <w:r>
        <w:rPr>
          <w:color w:val="000000"/>
          <w:sz w:val="22"/>
          <w:szCs w:val="22"/>
        </w:rPr>
        <w:t xml:space="preserve"> </w:t>
      </w:r>
      <w:r>
        <w:rPr>
          <w:color w:val="000000"/>
          <w:sz w:val="22"/>
          <w:szCs w:val="22"/>
        </w:rPr>
        <w:t xml:space="preserve">on the</w:t>
      </w:r>
      <w:r>
        <w:rPr>
          <w:color w:val="000000"/>
          <w:sz w:val="22"/>
          <w:szCs w:val="22"/>
        </w:rPr>
        <w:t xml:space="preserve"> NEPSY </w:t>
      </w:r>
      <w:r>
        <w:rPr>
          <w:color w:val="000000"/>
          <w:sz w:val="22"/>
          <w:szCs w:val="22"/>
        </w:rPr>
        <w:t xml:space="preserve">scale</w:t>
      </w:r>
      <w:r>
        <w:rPr>
          <w:color w:val="000000"/>
          <w:sz w:val="22"/>
          <w:szCs w:val="22"/>
        </w:rPr>
        <w:t xml:space="preserve">. </w:t>
      </w:r>
      <w:r>
        <w:rPr>
          <w:color w:val="000000"/>
          <w:sz w:val="22"/>
          <w:szCs w:val="22"/>
        </w:rPr>
        <w:t xml:space="preserve">For </w:t>
      </w:r>
      <w:r>
        <w:rPr>
          <w:color w:val="000000"/>
          <w:sz w:val="22"/>
          <w:szCs w:val="22"/>
        </w:rPr>
        <w:t xml:space="preserve">ISC</w:t>
      </w:r>
      <w:r>
        <w:rPr>
          <w:color w:val="000000"/>
          <w:sz w:val="22"/>
          <w:szCs w:val="22"/>
        </w:rPr>
        <w:t xml:space="preserve">, we chose a cutoff of greater than </w:t>
      </w:r>
      <w:commentRangeStart w:id="109"/>
      <w:r>
        <w:rPr>
          <w:color w:val="000000"/>
          <w:sz w:val="22"/>
          <w:szCs w:val="22"/>
        </w:rPr>
        <w:t xml:space="preserve">six versu</w:t>
      </w:r>
      <w:r>
        <w:rPr>
          <w:color w:val="000000"/>
          <w:sz w:val="22"/>
          <w:szCs w:val="22"/>
        </w:rPr>
        <w:t xml:space="preserve">s less than </w:t>
      </w:r>
      <w:r>
        <w:rPr>
          <w:color w:val="000000"/>
          <w:sz w:val="22"/>
          <w:szCs w:val="22"/>
        </w:rPr>
        <w:t xml:space="preserve">or equal</w:t>
      </w:r>
      <w:r>
        <w:rPr>
          <w:color w:val="000000"/>
          <w:sz w:val="22"/>
          <w:szCs w:val="22"/>
        </w:rPr>
        <w:t xml:space="preserve"> to</w:t>
      </w:r>
      <w:commentRangeEnd w:id="109"/>
      <w:r>
        <w:commentReference w:id="109"/>
      </w:r>
      <w:r>
        <w:rPr>
          <w:color w:val="000000"/>
          <w:sz w:val="22"/>
          <w:szCs w:val="22"/>
        </w:rPr>
        <w:t xml:space="preserve"> </w:t>
      </w:r>
      <w:r>
        <w:rPr>
          <w:color w:val="000000"/>
          <w:sz w:val="22"/>
          <w:szCs w:val="22"/>
        </w:rPr>
        <w:t xml:space="preserve">six </w:t>
      </w:r>
      <w:r>
        <w:rPr>
          <w:color w:val="000000"/>
          <w:sz w:val="22"/>
          <w:szCs w:val="22"/>
        </w:rPr>
        <w:t xml:space="preserve">get similar percentiles with those of </w:t>
      </w:r>
      <w:r>
        <w:rPr>
          <w:color w:val="000000"/>
          <w:sz w:val="22"/>
          <w:szCs w:val="22"/>
        </w:rPr>
        <w:t xml:space="preserve">IIC</w:t>
      </w:r>
      <w:r>
        <w:rPr>
          <w:color w:val="000000"/>
          <w:sz w:val="22"/>
          <w:szCs w:val="22"/>
        </w:rPr>
        <w:t xml:space="preserve"> and </w:t>
      </w:r>
      <w:r>
        <w:rPr>
          <w:color w:val="000000"/>
          <w:sz w:val="22"/>
          <w:szCs w:val="22"/>
        </w:rPr>
        <w:t xml:space="preserve">INC</w:t>
      </w:r>
      <w:r>
        <w:rPr>
          <w:color w:val="000000"/>
          <w:sz w:val="22"/>
          <w:szCs w:val="22"/>
        </w:rPr>
        <w:t xml:space="preserve">. </w:t>
      </w:r>
      <w:r>
        <w:rPr>
          <w:color w:val="000000"/>
          <w:sz w:val="22"/>
          <w:szCs w:val="22"/>
        </w:rPr>
        <w:t xml:space="preserve">We found </w:t>
      </w:r>
      <w:r>
        <w:rPr>
          <w:color w:val="000000"/>
          <w:sz w:val="22"/>
          <w:szCs w:val="22"/>
        </w:rPr>
        <w:t xml:space="preserve">statistically </w:t>
      </w:r>
      <w:r>
        <w:rPr>
          <w:color w:val="000000"/>
          <w:sz w:val="22"/>
          <w:szCs w:val="22"/>
        </w:rPr>
        <w:t xml:space="preserve">significant results for </w:t>
      </w:r>
      <w:r>
        <w:rPr>
          <w:color w:val="000000"/>
          <w:sz w:val="22"/>
          <w:szCs w:val="22"/>
        </w:rPr>
        <w:t xml:space="preserve">IIC</w:t>
      </w:r>
      <w:r>
        <w:rPr>
          <w:color w:val="000000"/>
          <w:sz w:val="22"/>
          <w:szCs w:val="22"/>
        </w:rPr>
        <w:t xml:space="preserve">, </w:t>
      </w:r>
      <w:r>
        <w:rPr>
          <w:color w:val="000000"/>
          <w:sz w:val="22"/>
          <w:szCs w:val="22"/>
        </w:rPr>
        <w:t xml:space="preserve">INC</w:t>
      </w:r>
      <w:r>
        <w:rPr>
          <w:color w:val="000000"/>
          <w:sz w:val="22"/>
          <w:szCs w:val="22"/>
        </w:rPr>
        <w:t xml:space="preserve">,</w:t>
      </w:r>
      <w:r>
        <w:rPr>
          <w:color w:val="000000"/>
          <w:sz w:val="22"/>
          <w:szCs w:val="22"/>
        </w:rPr>
        <w:t xml:space="preserve"> </w:t>
      </w:r>
      <w:r>
        <w:rPr>
          <w:color w:val="000000"/>
          <w:sz w:val="22"/>
          <w:szCs w:val="22"/>
        </w:rPr>
        <w:t xml:space="preserve">ISC</w:t>
      </w:r>
      <w:r>
        <w:rPr>
          <w:color w:val="000000"/>
          <w:sz w:val="22"/>
          <w:szCs w:val="22"/>
        </w:rPr>
        <w:t xml:space="preserve">,</w:t>
      </w:r>
      <w:r>
        <w:rPr>
          <w:color w:val="000000"/>
          <w:sz w:val="22"/>
          <w:szCs w:val="22"/>
        </w:rPr>
        <w:t xml:space="preserve"> </w:t>
      </w:r>
      <w:r>
        <w:rPr>
          <w:color w:val="000000"/>
          <w:sz w:val="22"/>
          <w:szCs w:val="22"/>
        </w:rPr>
        <w:t xml:space="preserve">CITS</w:t>
      </w:r>
      <w:r>
        <w:rPr>
          <w:color w:val="000000"/>
          <w:sz w:val="22"/>
          <w:szCs w:val="22"/>
        </w:rPr>
        <w:t xml:space="preserve"> and </w:t>
      </w:r>
      <w:r>
        <w:rPr>
          <w:color w:val="000000"/>
          <w:sz w:val="22"/>
          <w:szCs w:val="22"/>
        </w:rPr>
        <w:t xml:space="preserve">MFFTS</w:t>
      </w:r>
      <w:r>
        <w:rPr>
          <w:color w:val="000000"/>
          <w:sz w:val="22"/>
          <w:szCs w:val="22"/>
        </w:rPr>
        <w:t xml:space="preserve"> scores</w:t>
      </w:r>
      <w:r>
        <w:rPr>
          <w:color w:val="000000"/>
          <w:sz w:val="22"/>
          <w:szCs w:val="22"/>
        </w:rPr>
        <w:t xml:space="preserve"> (</w:t>
      </w:r>
      <w:commentRangeStart w:id="110"/>
      <w:r>
        <w:rPr>
          <w:color w:val="000000"/>
          <w:sz w:val="22"/>
          <w:szCs w:val="22"/>
        </w:rPr>
        <w:t xml:space="preserve">Figure </w:t>
      </w:r>
      <w:commentRangeEnd w:id="110"/>
      <w:r>
        <w:commentReference w:id="110"/>
      </w:r>
      <w:r>
        <w:rPr>
          <w:color w:val="000000"/>
          <w:sz w:val="22"/>
          <w:szCs w:val="22"/>
        </w:rPr>
        <w:t xml:space="preserve">2)</w:t>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mc:AlternateContent>
          <mc:Choice Requires="wpg">
            <w:drawing>
              <wp:inline xmlns:wp="http://schemas.openxmlformats.org/drawingml/2006/wordprocessingDrawing" distT="0" distB="0" distL="0" distR="0">
                <wp:extent cx="3827317" cy="1943100"/>
                <wp:effectExtent l="0" t="0" r="1905" b="0"/>
                <wp:docPr id="3" name="Picture 104717336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box and whisker chart&#10;&#10;Description automatically generated"/>
                        <pic:cNvPicPr>
                          <a:picLocks noChangeAspect="1"/>
                        </pic:cNvPicPr>
                        <pic:nvPr/>
                      </pic:nvPicPr>
                      <pic:blipFill>
                        <a:blip r:embed="rId14"/>
                        <a:stretch/>
                      </pic:blipFill>
                      <pic:spPr bwMode="auto">
                        <a:xfrm>
                          <a:off x="0" y="0"/>
                          <a:ext cx="3837213" cy="1948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1.36pt;height:153.00pt;mso-wrap-distance-left:0.00pt;mso-wrap-distance-top:0.00pt;mso-wrap-distance-right:0.00pt;mso-wrap-distance-bottom:0.00pt;z-index:1;" stroked="false">
                <v:imagedata r:id="rId14" o:title=""/>
                <o:lock v:ext="edit" rotation="t"/>
              </v:shape>
            </w:pict>
          </mc:Fallback>
        </mc:AlternateConten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1950720</wp:posOffset>
                </wp:positionH>
                <wp:positionV relativeFrom="paragraph">
                  <wp:posOffset>19050</wp:posOffset>
                </wp:positionV>
                <wp:extent cx="1794510" cy="1776730"/>
                <wp:effectExtent l="0" t="0" r="0" b="0"/>
                <wp:wrapNone/>
                <wp:docPr id="4" name="Picture 197717552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ox and whisker chart&#10;&#10;Description automatically generated"/>
                        <pic:cNvPicPr>
                          <a:picLocks noChangeAspect="1"/>
                        </pic:cNvPicPr>
                        <pic:nvPr/>
                      </pic:nvPicPr>
                      <pic:blipFill>
                        <a:blip r:embed="rId15"/>
                        <a:stretch/>
                      </pic:blipFill>
                      <pic:spPr bwMode="auto">
                        <a:xfrm>
                          <a:off x="0" y="0"/>
                          <a:ext cx="1794509" cy="17767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5408;o:allowoverlap:true;o:allowincell:true;mso-position-horizontal-relative:text;margin-left:153.60pt;mso-position-horizontal:absolute;mso-position-vertical-relative:text;margin-top:1.50pt;mso-position-vertical:absolute;width:141.30pt;height:139.90pt;mso-wrap-distance-left:9.00pt;mso-wrap-distance-top:0.00pt;mso-wrap-distance-right:9.00pt;mso-wrap-distance-bottom:0.00pt;z-index:1;" stroked="false">
                <v:imagedata r:id="rId15" o:title=""/>
                <o:lock v:ext="edit" rotation="t"/>
              </v:shape>
            </w:pict>
          </mc:Fallback>
        </mc:AlternateContent>
      </w:r>
      <w:r>
        <w:t xml:space="preserve"> </w:t>
      </w:r>
      <w:r>
        <mc:AlternateContent>
          <mc:Choice Requires="wpg">
            <w:drawing>
              <wp:inline xmlns:wp="http://schemas.openxmlformats.org/drawingml/2006/wordprocessingDrawing" distT="0" distB="0" distL="0" distR="0">
                <wp:extent cx="1855470" cy="3674648"/>
                <wp:effectExtent l="0" t="0" r="0" b="2540"/>
                <wp:docPr id="5" name="Picture 18906521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a:picLocks noChangeAspect="1"/>
                        </pic:cNvPicPr>
                        <pic:nvPr/>
                      </pic:nvPicPr>
                      <pic:blipFill>
                        <a:blip r:embed="rId16"/>
                        <a:stretch/>
                      </pic:blipFill>
                      <pic:spPr bwMode="auto">
                        <a:xfrm>
                          <a:off x="0" y="0"/>
                          <a:ext cx="1861577" cy="3686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6.10pt;height:289.34pt;mso-wrap-distance-left:0.00pt;mso-wrap-distance-top:0.00pt;mso-wrap-distance-right:0.00pt;mso-wrap-distance-bottom:0.00pt;z-index:1;" stroked="false">
                <v:imagedata r:id="rId16" o:title=""/>
                <o:lock v:ext="edit" rotation="t"/>
              </v:shape>
            </w:pict>
          </mc:Fallback>
        </mc:AlternateContent>
      </w:r>
      <w:r>
        <w:rPr>
          <w:color w:val="000000"/>
          <w:sz w:val="22"/>
          <w:szCs w:val="22"/>
        </w:rPr>
      </w:r>
    </w:p>
    <w:p>
      <w:pPr>
        <w:pBdr/>
        <w:spacing/>
        <w:ind/>
        <w:rPr>
          <w:color w:val="000000"/>
          <w:sz w:val="22"/>
          <w:szCs w:val="22"/>
        </w:rPr>
      </w:pPr>
      <w:r/>
      <w:commentRangeStart w:id="111"/>
      <w:commentRangeStart w:id="112"/>
      <w:r>
        <w:rPr>
          <w:b/>
          <w:bCs/>
          <w:color w:val="000000"/>
          <w:sz w:val="22"/>
          <w:szCs w:val="22"/>
        </w:rPr>
        <w:t xml:space="preserve">Figure </w:t>
      </w:r>
      <w:commentRangeEnd w:id="111"/>
      <w:commentRangeEnd w:id="112"/>
      <w:r>
        <w:commentReference w:id="111"/>
        <w:commentReference w:id="112"/>
      </w:r>
      <w:r>
        <w:rPr>
          <w:b/>
          <w:bCs/>
          <w:color w:val="000000"/>
          <w:sz w:val="22"/>
          <w:szCs w:val="22"/>
        </w:rPr>
        <w:t xml:space="preserve">2</w:t>
      </w:r>
      <w:r>
        <w:rPr>
          <w:color w:val="000000"/>
          <w:sz w:val="22"/>
          <w:szCs w:val="22"/>
        </w:rPr>
        <w:t xml:space="preserve">: </w:t>
      </w:r>
      <w:r>
        <w:rPr>
          <w:color w:val="000000"/>
          <w:sz w:val="22"/>
          <w:szCs w:val="22"/>
        </w:rPr>
        <w:t xml:space="preserve">Odds</w:t>
      </w:r>
      <w:r>
        <w:rPr>
          <w:color w:val="000000"/>
          <w:sz w:val="22"/>
          <w:szCs w:val="22"/>
        </w:rPr>
        <w:t xml:space="preserve"> </w:t>
      </w:r>
      <w:commentRangeStart w:id="113"/>
      <w:r>
        <w:rPr>
          <w:color w:val="000000"/>
          <w:sz w:val="22"/>
          <w:szCs w:val="22"/>
        </w:rPr>
        <w:t xml:space="preserve">ratio </w:t>
      </w:r>
      <w:commentRangeEnd w:id="113"/>
      <w:r>
        <w:commentReference w:id="113"/>
      </w:r>
      <w:r>
        <w:rPr>
          <w:color w:val="000000"/>
          <w:sz w:val="22"/>
          <w:szCs w:val="22"/>
        </w:rPr>
        <w:t xml:space="preserve">of having a </w:t>
      </w:r>
      <w:commentRangeStart w:id="114"/>
      <w:r>
        <w:rPr>
          <w:color w:val="000000"/>
          <w:sz w:val="22"/>
          <w:szCs w:val="22"/>
        </w:rPr>
        <w:t xml:space="preserve">high </w:t>
      </w:r>
      <w:commentRangeEnd w:id="114"/>
      <w:r>
        <w:commentReference w:id="114"/>
      </w:r>
      <w:r>
        <w:rPr>
          <w:color w:val="000000"/>
          <w:sz w:val="22"/>
          <w:szCs w:val="22"/>
        </w:rPr>
        <w:t xml:space="preserve">NEPSY</w:t>
      </w:r>
      <w:r>
        <w:rPr>
          <w:color w:val="000000"/>
          <w:sz w:val="22"/>
          <w:szCs w:val="22"/>
        </w:rPr>
        <w:t xml:space="preserve">-II </w:t>
      </w:r>
      <w:r>
        <w:rPr>
          <w:color w:val="000000"/>
          <w:sz w:val="22"/>
          <w:szCs w:val="22"/>
        </w:rPr>
        <w:t xml:space="preserve">score</w:t>
      </w:r>
      <w:r>
        <w:rPr>
          <w:color w:val="000000"/>
          <w:sz w:val="22"/>
          <w:szCs w:val="22"/>
        </w:rPr>
        <w:t xml:space="preserve"> (reference: low score) </w:t>
      </w:r>
      <w:r>
        <w:rPr>
          <w:color w:val="000000"/>
          <w:sz w:val="22"/>
          <w:szCs w:val="22"/>
        </w:rPr>
        <w:t xml:space="preserve">after doubling distance or area variable </w:t>
      </w:r>
      <w:r>
        <w:rPr>
          <w:color w:val="000000"/>
          <w:sz w:val="22"/>
          <w:szCs w:val="22"/>
        </w:rPr>
        <w:t xml:space="preserve">for</w:t>
      </w:r>
      <w:r>
        <w:rPr>
          <w:color w:val="000000"/>
          <w:sz w:val="22"/>
          <w:szCs w:val="22"/>
        </w:rPr>
        <w:t xml:space="preserve"> </w:t>
      </w:r>
      <w:r>
        <w:rPr>
          <w:color w:val="000000"/>
          <w:sz w:val="22"/>
          <w:szCs w:val="22"/>
        </w:rPr>
        <w:t xml:space="preserve">select NEPSY</w:t>
      </w:r>
      <w:r>
        <w:rPr>
          <w:color w:val="000000"/>
          <w:sz w:val="22"/>
          <w:szCs w:val="22"/>
        </w:rPr>
        <w:t xml:space="preserve">-II</w:t>
      </w:r>
      <w:r>
        <w:rPr>
          <w:color w:val="000000"/>
          <w:sz w:val="22"/>
          <w:szCs w:val="22"/>
        </w:rPr>
        <w:t xml:space="preserve"> scores and subdomain</w:t>
      </w:r>
      <w:r>
        <w:rPr>
          <w:color w:val="000000"/>
          <w:sz w:val="22"/>
          <w:szCs w:val="22"/>
        </w:rPr>
        <w:t xml:space="preserve">s</w:t>
      </w:r>
      <w:r>
        <w:rPr>
          <w:color w:val="000000"/>
          <w:sz w:val="22"/>
          <w:szCs w:val="22"/>
        </w:rPr>
        <w:t xml:space="preserve">. The </w:t>
      </w:r>
      <w:r>
        <w:rPr>
          <w:color w:val="000000"/>
          <w:sz w:val="22"/>
          <w:szCs w:val="22"/>
        </w:rPr>
        <w:t xml:space="preserve">odds ratio </w:t>
      </w:r>
      <w:r>
        <w:rPr>
          <w:color w:val="000000"/>
          <w:sz w:val="22"/>
          <w:szCs w:val="22"/>
        </w:rPr>
        <w:t xml:space="preserve">is indicated by a point with a 95% confidence interval. To binarize NEPSY</w:t>
      </w:r>
      <w:r>
        <w:rPr>
          <w:color w:val="000000"/>
          <w:sz w:val="22"/>
          <w:szCs w:val="22"/>
        </w:rPr>
        <w:t xml:space="preserve">-II</w:t>
      </w:r>
      <w:r>
        <w:rPr>
          <w:color w:val="000000"/>
          <w:sz w:val="22"/>
          <w:szCs w:val="22"/>
        </w:rPr>
        <w:t xml:space="preserve"> scores, a high score </w:t>
      </w:r>
      <w:r>
        <w:rPr>
          <w:color w:val="000000"/>
          <w:sz w:val="22"/>
          <w:szCs w:val="22"/>
        </w:rPr>
        <w:t xml:space="preserve">is </w:t>
      </w:r>
      <w:r>
        <w:rPr>
          <w:color w:val="000000"/>
          <w:sz w:val="22"/>
          <w:szCs w:val="22"/>
        </w:rPr>
        <w:t xml:space="preserve">a score that is greater than the value indicated in the title/axis label of each graph</w:t>
      </w:r>
      <w:r>
        <w:rPr>
          <w:color w:val="000000"/>
          <w:sz w:val="22"/>
          <w:szCs w:val="22"/>
        </w:rPr>
        <w:t xml:space="preserve"> (</w:t>
      </w:r>
      <w:r>
        <w:rPr>
          <w:color w:val="000000"/>
          <w:sz w:val="22"/>
          <w:szCs w:val="22"/>
        </w:rPr>
        <w:t xml:space="preserve">e.g.</w:t>
      </w:r>
      <w:r>
        <w:rPr>
          <w:color w:val="000000"/>
          <w:sz w:val="22"/>
          <w:szCs w:val="22"/>
        </w:rPr>
        <w:t xml:space="preserve"> 5 or 6)</w:t>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The </w:t>
      </w:r>
      <w:r>
        <w:rPr>
          <w:color w:val="000000"/>
          <w:sz w:val="22"/>
          <w:szCs w:val="22"/>
        </w:rPr>
        <w:t xml:space="preserve">IIC</w:t>
      </w:r>
      <w:r>
        <w:rPr>
          <w:color w:val="000000"/>
          <w:sz w:val="22"/>
          <w:szCs w:val="22"/>
        </w:rPr>
        <w:t xml:space="preserve"> score was found to be significantly associated with distance from residency to nearest plantation and all crop area variables </w:t>
      </w:r>
      <w:r>
        <w:rPr>
          <w:color w:val="000000"/>
          <w:sz w:val="22"/>
          <w:szCs w:val="22"/>
        </w:rPr>
        <w:t xml:space="preserve">between </w:t>
      </w:r>
      <w:commentRangeStart w:id="115"/>
      <w:r>
        <w:rPr>
          <w:color w:val="000000"/>
          <w:sz w:val="22"/>
          <w:szCs w:val="22"/>
        </w:rPr>
        <w:t xml:space="preserve">50m and 500m</w:t>
      </w:r>
      <w:commentRangeEnd w:id="115"/>
      <w:r>
        <w:commentReference w:id="115"/>
      </w:r>
      <w:r>
        <w:rPr>
          <w:color w:val="000000"/>
          <w:sz w:val="22"/>
          <w:szCs w:val="22"/>
        </w:rPr>
        <w:t xml:space="preserve">, to understand levels of proximity and differences in exposure</w:t>
      </w:r>
      <w:r>
        <w:rPr>
          <w:color w:val="000000"/>
          <w:sz w:val="22"/>
          <w:szCs w:val="22"/>
        </w:rPr>
        <w:t xml:space="preserve">. Doubling distance </w:t>
      </w:r>
      <w:r>
        <w:rPr>
          <w:color w:val="000000"/>
          <w:sz w:val="22"/>
          <w:szCs w:val="22"/>
        </w:rPr>
        <w:t xml:space="preserve">increased the odds of having</w:t>
      </w:r>
      <w:r>
        <w:rPr>
          <w:color w:val="000000"/>
          <w:sz w:val="22"/>
          <w:szCs w:val="22"/>
        </w:rPr>
        <w:t xml:space="preserve"> a high </w:t>
      </w:r>
      <w:r>
        <w:rPr>
          <w:color w:val="000000"/>
          <w:sz w:val="22"/>
          <w:szCs w:val="22"/>
        </w:rPr>
        <w:t xml:space="preserve">IIC</w:t>
      </w:r>
      <w:r>
        <w:rPr>
          <w:color w:val="000000"/>
          <w:sz w:val="22"/>
          <w:szCs w:val="22"/>
        </w:rPr>
        <w:t xml:space="preserve"> score by </w:t>
      </w:r>
      <w:r>
        <w:rPr>
          <w:color w:val="000000"/>
          <w:sz w:val="22"/>
          <w:szCs w:val="22"/>
        </w:rPr>
        <w:t xml:space="preserve">a factor of </w:t>
      </w:r>
      <w:r>
        <w:rPr>
          <w:color w:val="000000"/>
          <w:sz w:val="22"/>
          <w:szCs w:val="22"/>
        </w:rPr>
        <w:t xml:space="preserve">1.122 (</w:t>
      </w:r>
      <w:r>
        <w:rPr>
          <w:color w:val="000000"/>
          <w:sz w:val="22"/>
          <w:szCs w:val="22"/>
        </w:rPr>
        <w:t xml:space="preserve">95% CI: </w:t>
      </w:r>
      <w:r>
        <w:rPr>
          <w:color w:val="000000"/>
          <w:sz w:val="22"/>
          <w:szCs w:val="22"/>
        </w:rPr>
        <w:t xml:space="preserve">1.045, 1.204), while doubling </w:t>
      </w:r>
      <w:r>
        <w:rPr>
          <w:color w:val="000000"/>
          <w:sz w:val="22"/>
          <w:szCs w:val="22"/>
        </w:rPr>
        <w:t xml:space="preserve">greenhouse </w:t>
      </w:r>
      <w:r>
        <w:rPr>
          <w:color w:val="000000"/>
          <w:sz w:val="22"/>
          <w:szCs w:val="22"/>
        </w:rPr>
        <w:t xml:space="preserve">area under 150</w:t>
      </w:r>
      <w:r>
        <w:rPr>
          <w:color w:val="000000"/>
          <w:sz w:val="22"/>
          <w:szCs w:val="22"/>
        </w:rPr>
        <w:t xml:space="preserve"> </w:t>
      </w:r>
      <w:r>
        <w:rPr>
          <w:color w:val="000000"/>
          <w:sz w:val="22"/>
          <w:szCs w:val="22"/>
        </w:rPr>
        <w:t xml:space="preserve">m had the highest </w:t>
      </w:r>
      <w:r>
        <w:rPr>
          <w:color w:val="000000"/>
          <w:sz w:val="22"/>
          <w:szCs w:val="22"/>
        </w:rPr>
        <w:t xml:space="preserve">statistical </w:t>
      </w:r>
      <w:r>
        <w:rPr>
          <w:color w:val="000000"/>
          <w:sz w:val="22"/>
          <w:szCs w:val="22"/>
        </w:rPr>
        <w:t xml:space="preserve">significance (p-value = </w:t>
      </w:r>
      <w:r>
        <w:rPr>
          <w:color w:val="000000"/>
          <w:sz w:val="22"/>
          <w:szCs w:val="22"/>
        </w:rPr>
        <w:t xml:space="preserve">9</w:t>
      </w:r>
      <w:r>
        <w:rPr>
          <w:color w:val="000000"/>
          <w:sz w:val="22"/>
          <w:szCs w:val="22"/>
        </w:rPr>
        <w:t xml:space="preserve">.</w:t>
      </w:r>
      <w:r>
        <w:rPr>
          <w:color w:val="000000"/>
          <w:sz w:val="22"/>
          <w:szCs w:val="22"/>
        </w:rPr>
        <w:t xml:space="preserve">2</w:t>
      </w:r>
      <w:r>
        <w:rPr>
          <w:color w:val="000000"/>
          <w:sz w:val="22"/>
          <w:szCs w:val="22"/>
        </w:rPr>
        <w:t xml:space="preserve">5</w:t>
      </w:r>
      <w:r>
        <w:rPr>
          <w:color w:val="000000"/>
          <w:sz w:val="22"/>
          <w:szCs w:val="22"/>
        </w:rPr>
        <w:t xml:space="preserve">e-4</w:t>
      </w:r>
      <w:r>
        <w:rPr>
          <w:color w:val="000000"/>
          <w:sz w:val="22"/>
          <w:szCs w:val="22"/>
        </w:rPr>
        <w:t xml:space="preserve">) and changed </w:t>
      </w:r>
      <w:r>
        <w:rPr>
          <w:color w:val="000000"/>
          <w:sz w:val="22"/>
          <w:szCs w:val="22"/>
        </w:rPr>
        <w:t xml:space="preserve">the odds ratio of a high </w:t>
      </w:r>
      <w:r>
        <w:rPr>
          <w:color w:val="000000"/>
          <w:sz w:val="22"/>
          <w:szCs w:val="22"/>
        </w:rPr>
        <w:t xml:space="preserve">IIC</w:t>
      </w:r>
      <w:r>
        <w:rPr>
          <w:color w:val="000000"/>
          <w:sz w:val="22"/>
          <w:szCs w:val="22"/>
        </w:rPr>
        <w:t xml:space="preserve"> score by a factor of 0.959 (</w:t>
      </w:r>
      <w:r>
        <w:rPr>
          <w:color w:val="000000"/>
          <w:sz w:val="22"/>
          <w:szCs w:val="22"/>
        </w:rPr>
        <w:t xml:space="preserve">95% CI: </w:t>
      </w:r>
      <w:r>
        <w:rPr>
          <w:color w:val="000000"/>
          <w:sz w:val="22"/>
          <w:szCs w:val="22"/>
        </w:rPr>
        <w:t xml:space="preserve">0.935, 0.983).</w:t>
      </w:r>
      <w:r>
        <w:rPr>
          <w:color w:val="000000"/>
          <w:sz w:val="22"/>
          <w:szCs w:val="22"/>
        </w:rPr>
        <w:t xml:space="preserve"> </w:t>
      </w:r>
      <w:r>
        <w:rPr>
          <w:color w:val="000000"/>
          <w:sz w:val="22"/>
          <w:szCs w:val="22"/>
        </w:rPr>
        <w:t xml:space="preserve">The </w:t>
      </w:r>
      <w:r>
        <w:rPr>
          <w:color w:val="000000"/>
          <w:sz w:val="22"/>
          <w:szCs w:val="22"/>
        </w:rPr>
        <w:t xml:space="preserve">INC</w:t>
      </w:r>
      <w:r>
        <w:rPr>
          <w:color w:val="000000"/>
          <w:sz w:val="22"/>
          <w:szCs w:val="22"/>
        </w:rPr>
        <w:t xml:space="preserve"> score was found to be significantly associated with distance from residency to nearest plantation as well as areas under 100m, 200m, and 300m radii values. </w:t>
      </w:r>
      <w:r>
        <w:rPr>
          <w:color w:val="000000"/>
          <w:sz w:val="22"/>
          <w:szCs w:val="22"/>
        </w:rPr>
        <w:t xml:space="preserve">Doubling distance changed the odds ratio of a high </w:t>
      </w:r>
      <w:r>
        <w:rPr>
          <w:color w:val="000000"/>
          <w:sz w:val="22"/>
          <w:szCs w:val="22"/>
        </w:rPr>
        <w:t xml:space="preserve">INC</w:t>
      </w:r>
      <w:r>
        <w:rPr>
          <w:color w:val="000000"/>
          <w:sz w:val="22"/>
          <w:szCs w:val="22"/>
        </w:rPr>
        <w:t xml:space="preserve"> score by a factor of 1.084 (</w:t>
      </w:r>
      <w:r>
        <w:rPr>
          <w:color w:val="000000"/>
          <w:sz w:val="22"/>
          <w:szCs w:val="22"/>
        </w:rPr>
        <w:t xml:space="preserve">95% CI: </w:t>
      </w:r>
      <w:r>
        <w:rPr>
          <w:color w:val="000000"/>
          <w:sz w:val="22"/>
          <w:szCs w:val="22"/>
        </w:rPr>
        <w:t xml:space="preserve">1.013, 1.159), while doubling</w:t>
      </w:r>
      <w:r>
        <w:rPr>
          <w:color w:val="000000"/>
          <w:sz w:val="22"/>
          <w:szCs w:val="22"/>
        </w:rPr>
        <w:t xml:space="preserve"> greenhouse</w:t>
      </w:r>
      <w:r>
        <w:rPr>
          <w:color w:val="000000"/>
          <w:sz w:val="22"/>
          <w:szCs w:val="22"/>
        </w:rPr>
        <w:t xml:space="preserve"> area under 300m had the highest significance (p-value = 2.22e-3) and changed the odds ratio of a high </w:t>
      </w:r>
      <w:r>
        <w:rPr>
          <w:color w:val="000000"/>
          <w:sz w:val="22"/>
          <w:szCs w:val="22"/>
        </w:rPr>
        <w:t xml:space="preserve">INC</w:t>
      </w:r>
      <w:r>
        <w:rPr>
          <w:color w:val="000000"/>
          <w:sz w:val="22"/>
          <w:szCs w:val="22"/>
        </w:rPr>
        <w:t xml:space="preserve"> score by a factor of 0.971 (</w:t>
      </w:r>
      <w:r>
        <w:rPr>
          <w:color w:val="000000"/>
          <w:sz w:val="22"/>
          <w:szCs w:val="22"/>
        </w:rPr>
        <w:t xml:space="preserve">95% CI: </w:t>
      </w:r>
      <w:r>
        <w:rPr>
          <w:color w:val="000000"/>
          <w:sz w:val="22"/>
          <w:szCs w:val="22"/>
        </w:rPr>
        <w:t xml:space="preserve">0.953, 0.990).</w:t>
      </w:r>
      <w:r>
        <w:rPr>
          <w:color w:val="000000"/>
          <w:sz w:val="22"/>
          <w:szCs w:val="22"/>
        </w:rPr>
        <w:t xml:space="preserve"> </w:t>
      </w:r>
      <w:r>
        <w:rPr>
          <w:color w:val="000000"/>
          <w:sz w:val="22"/>
          <w:szCs w:val="22"/>
        </w:rPr>
        <w:t xml:space="preserve">The </w:t>
      </w:r>
      <w:r>
        <w:rPr>
          <w:color w:val="000000"/>
          <w:sz w:val="22"/>
          <w:szCs w:val="22"/>
        </w:rPr>
        <w:t xml:space="preserve">ISC</w:t>
      </w:r>
      <w:r>
        <w:rPr>
          <w:color w:val="000000"/>
          <w:sz w:val="22"/>
          <w:szCs w:val="22"/>
        </w:rPr>
        <w:t xml:space="preserve"> score was only found to be significant in crop areas under 500m. </w:t>
      </w:r>
      <w:r>
        <w:rPr>
          <w:color w:val="000000"/>
          <w:sz w:val="22"/>
          <w:szCs w:val="22"/>
        </w:rPr>
        <w:t xml:space="preserve">Doubling crop areas under 500m led to a change in the odds ratio of a high </w:t>
      </w:r>
      <w:r>
        <w:rPr>
          <w:color w:val="000000"/>
          <w:sz w:val="22"/>
          <w:szCs w:val="22"/>
        </w:rPr>
        <w:t xml:space="preserve">ISC</w:t>
      </w:r>
      <w:r>
        <w:rPr>
          <w:color w:val="000000"/>
          <w:sz w:val="22"/>
          <w:szCs w:val="22"/>
        </w:rPr>
        <w:t xml:space="preserve"> score by 0.981 (</w:t>
      </w:r>
      <w:r>
        <w:rPr>
          <w:color w:val="000000"/>
          <w:sz w:val="22"/>
          <w:szCs w:val="22"/>
        </w:rPr>
        <w:t xml:space="preserve">95% CI: </w:t>
      </w:r>
      <w:r>
        <w:rPr>
          <w:color w:val="000000"/>
          <w:sz w:val="22"/>
          <w:szCs w:val="22"/>
        </w:rPr>
        <w:t xml:space="preserve">0.962, 0.999).</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In the Language domain, t</w:t>
      </w:r>
      <w:r>
        <w:rPr>
          <w:color w:val="000000"/>
          <w:sz w:val="22"/>
          <w:szCs w:val="22"/>
        </w:rPr>
        <w:t xml:space="preserve">he </w:t>
      </w:r>
      <w:r>
        <w:rPr>
          <w:color w:val="000000"/>
          <w:sz w:val="22"/>
          <w:szCs w:val="22"/>
        </w:rPr>
        <w:t xml:space="preserve">CITS</w:t>
      </w:r>
      <w:r>
        <w:rPr>
          <w:color w:val="000000"/>
          <w:sz w:val="22"/>
          <w:szCs w:val="22"/>
        </w:rPr>
        <w:t xml:space="preserve"> score was found to be significantly associated with distance from residency to nearest plantation, and crop areas under 500m and 1000m. Doubling distance changed the odds ratio of a high </w:t>
      </w:r>
      <w:r>
        <w:rPr>
          <w:color w:val="000000"/>
          <w:sz w:val="22"/>
          <w:szCs w:val="22"/>
        </w:rPr>
        <w:t xml:space="preserve">CITS</w:t>
      </w:r>
      <w:r>
        <w:rPr>
          <w:color w:val="000000"/>
          <w:sz w:val="22"/>
          <w:szCs w:val="22"/>
        </w:rPr>
        <w:t xml:space="preserve"> score by a factor of 1.109 (</w:t>
      </w:r>
      <w:r>
        <w:rPr>
          <w:color w:val="000000"/>
          <w:sz w:val="22"/>
          <w:szCs w:val="22"/>
        </w:rPr>
        <w:t xml:space="preserve">95% CI: </w:t>
      </w:r>
      <w:r>
        <w:rPr>
          <w:color w:val="000000"/>
          <w:sz w:val="22"/>
          <w:szCs w:val="22"/>
        </w:rPr>
        <w:t xml:space="preserve">1.023, 1.202), while doubling area under 500m had the highest significance (p-value = 6.36e-3) and changed the odds ratio of a high </w:t>
      </w:r>
      <w:r>
        <w:rPr>
          <w:color w:val="000000"/>
          <w:sz w:val="22"/>
          <w:szCs w:val="22"/>
        </w:rPr>
        <w:t xml:space="preserve">CITS</w:t>
      </w:r>
      <w:r>
        <w:rPr>
          <w:color w:val="000000"/>
          <w:sz w:val="22"/>
          <w:szCs w:val="22"/>
        </w:rPr>
        <w:t xml:space="preserve"> score by a factor of 0.968 (</w:t>
      </w:r>
      <w:r>
        <w:rPr>
          <w:color w:val="000000"/>
          <w:sz w:val="22"/>
          <w:szCs w:val="22"/>
        </w:rPr>
        <w:t xml:space="preserve">95% CI: </w:t>
      </w:r>
      <w:r>
        <w:rPr>
          <w:color w:val="000000"/>
          <w:sz w:val="22"/>
          <w:szCs w:val="22"/>
        </w:rPr>
        <w:t xml:space="preserve">0.946, 0.991).</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In the Memory and Lea</w:t>
      </w:r>
      <w:r>
        <w:rPr>
          <w:color w:val="000000"/>
          <w:sz w:val="22"/>
          <w:szCs w:val="22"/>
        </w:rPr>
        <w:t xml:space="preserve">r</w:t>
      </w:r>
      <w:r>
        <w:rPr>
          <w:color w:val="000000"/>
          <w:sz w:val="22"/>
          <w:szCs w:val="22"/>
        </w:rPr>
        <w:t xml:space="preserve">ning domain, t</w:t>
      </w:r>
      <w:r>
        <w:rPr>
          <w:color w:val="000000"/>
          <w:sz w:val="22"/>
          <w:szCs w:val="22"/>
        </w:rPr>
        <w:t xml:space="preserve">he </w:t>
      </w:r>
      <w:r>
        <w:rPr>
          <w:color w:val="000000"/>
          <w:sz w:val="22"/>
          <w:szCs w:val="22"/>
        </w:rPr>
        <w:t xml:space="preserve">MFFTS</w:t>
      </w:r>
      <w:r>
        <w:rPr>
          <w:color w:val="000000"/>
          <w:sz w:val="22"/>
          <w:szCs w:val="22"/>
        </w:rPr>
        <w:t xml:space="preserve"> score was found to be significantly associated with distance from residency to nearest plantation and crop areas under 500m. Doubling distance </w:t>
      </w:r>
      <w:r>
        <w:rPr>
          <w:color w:val="000000"/>
          <w:sz w:val="22"/>
          <w:szCs w:val="22"/>
        </w:rPr>
        <w:t xml:space="preserve">and doubling area under 500m </w:t>
      </w:r>
      <w:r>
        <w:rPr>
          <w:color w:val="000000"/>
          <w:sz w:val="22"/>
          <w:szCs w:val="22"/>
        </w:rPr>
        <w:t xml:space="preserve">changed the odds ratio of a high </w:t>
      </w:r>
      <w:r>
        <w:rPr>
          <w:color w:val="000000"/>
          <w:sz w:val="22"/>
          <w:szCs w:val="22"/>
        </w:rPr>
        <w:t xml:space="preserve">MFFTS</w:t>
      </w:r>
      <w:r>
        <w:rPr>
          <w:color w:val="000000"/>
          <w:sz w:val="22"/>
          <w:szCs w:val="22"/>
        </w:rPr>
        <w:t xml:space="preserve"> score by a factor of 1.113 (</w:t>
      </w:r>
      <w:r>
        <w:rPr>
          <w:color w:val="000000"/>
          <w:sz w:val="22"/>
          <w:szCs w:val="22"/>
        </w:rPr>
        <w:t xml:space="preserve">95% CI: </w:t>
      </w:r>
      <w:r>
        <w:rPr>
          <w:color w:val="000000"/>
          <w:sz w:val="22"/>
          <w:szCs w:val="22"/>
        </w:rPr>
        <w:t xml:space="preserve">1.009, 1.227</w:t>
      </w:r>
      <w:r>
        <w:rPr>
          <w:color w:val="000000"/>
          <w:sz w:val="22"/>
          <w:szCs w:val="22"/>
        </w:rPr>
        <w:t xml:space="preserve">) and</w:t>
      </w:r>
      <w:r>
        <w:rPr>
          <w:color w:val="000000"/>
          <w:sz w:val="22"/>
          <w:szCs w:val="22"/>
        </w:rPr>
        <w:t xml:space="preserve"> 0.971 (</w:t>
      </w:r>
      <w:r>
        <w:rPr>
          <w:color w:val="000000"/>
          <w:sz w:val="22"/>
          <w:szCs w:val="22"/>
        </w:rPr>
        <w:t xml:space="preserve">95% CI: </w:t>
      </w:r>
      <w:r>
        <w:rPr>
          <w:color w:val="000000"/>
          <w:sz w:val="22"/>
          <w:szCs w:val="22"/>
        </w:rPr>
        <w:t xml:space="preserve">0.944, 0.999)</w:t>
      </w:r>
      <w:r>
        <w:rPr>
          <w:color w:val="000000"/>
          <w:sz w:val="22"/>
          <w:szCs w:val="22"/>
        </w:rPr>
        <w:t xml:space="preserve"> respectively. </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Style w:val="782"/>
        <w:numPr>
          <w:ilvl w:val="0"/>
          <w:numId w:val="1"/>
        </w:numPr>
        <w:pBdr/>
        <w:spacing/>
        <w:ind/>
        <w:rPr>
          <w:b/>
          <w:bCs/>
          <w:color w:val="000000"/>
          <w:sz w:val="22"/>
          <w:szCs w:val="22"/>
        </w:rPr>
      </w:pPr>
      <w:r>
        <w:rPr>
          <w:b/>
          <w:bCs/>
          <w:color w:val="000000"/>
          <w:sz w:val="22"/>
          <w:szCs w:val="22"/>
        </w:rPr>
        <w:t xml:space="preserve">Discussion</w:t>
      </w:r>
      <w:r>
        <w:rPr>
          <w:b/>
          <w:bCs/>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This study analyzed the neurobehavioral performance association</w:t>
      </w:r>
      <w:r>
        <w:rPr>
          <w:color w:val="000000"/>
          <w:sz w:val="22"/>
          <w:szCs w:val="22"/>
        </w:rPr>
        <w:t xml:space="preserve">s</w:t>
      </w:r>
      <w:r>
        <w:rPr>
          <w:color w:val="000000"/>
          <w:sz w:val="22"/>
          <w:szCs w:val="22"/>
        </w:rPr>
        <w:t xml:space="preserve"> with crop area around </w:t>
      </w:r>
      <w:r>
        <w:rPr>
          <w:color w:val="000000"/>
          <w:sz w:val="22"/>
          <w:szCs w:val="22"/>
        </w:rPr>
        <w:t xml:space="preserve">the </w:t>
      </w:r>
      <w:r>
        <w:rPr>
          <w:color w:val="000000"/>
          <w:sz w:val="22"/>
          <w:szCs w:val="22"/>
        </w:rPr>
        <w:t xml:space="preserve">household and </w:t>
      </w:r>
      <w:r>
        <w:rPr>
          <w:color w:val="000000"/>
          <w:sz w:val="22"/>
          <w:szCs w:val="22"/>
        </w:rPr>
        <w:t xml:space="preserve">home </w:t>
      </w:r>
      <w:r>
        <w:rPr>
          <w:color w:val="000000"/>
          <w:sz w:val="22"/>
          <w:szCs w:val="22"/>
        </w:rPr>
        <w:t xml:space="preserve">distance to nearest plantation</w:t>
      </w:r>
      <w:r>
        <w:rPr>
          <w:color w:val="000000"/>
          <w:sz w:val="22"/>
          <w:szCs w:val="22"/>
        </w:rPr>
        <w:t xml:space="preserve">.</w:t>
      </w:r>
      <w:r>
        <w:rPr>
          <w:color w:val="000000"/>
          <w:sz w:val="22"/>
          <w:szCs w:val="22"/>
        </w:rPr>
        <w:t xml:space="preserve"> </w:t>
      </w:r>
      <w:r>
        <w:rPr>
          <w:color w:val="000000"/>
          <w:sz w:val="22"/>
          <w:szCs w:val="22"/>
        </w:rPr>
        <w:t xml:space="preserve">Neurobehavioral performance was measured with</w:t>
      </w:r>
      <w:r>
        <w:rPr>
          <w:color w:val="000000"/>
          <w:sz w:val="22"/>
          <w:szCs w:val="22"/>
        </w:rPr>
        <w:t xml:space="preserve"> specific N</w:t>
      </w:r>
      <w:r>
        <w:rPr>
          <w:color w:val="000000"/>
          <w:sz w:val="22"/>
          <w:szCs w:val="22"/>
        </w:rPr>
        <w:t xml:space="preserve">E</w:t>
      </w:r>
      <w:r>
        <w:rPr>
          <w:color w:val="000000"/>
          <w:sz w:val="22"/>
          <w:szCs w:val="22"/>
        </w:rPr>
        <w:t xml:space="preserve">PSY-</w:t>
      </w:r>
      <w:r>
        <w:rPr>
          <w:color w:val="000000"/>
          <w:sz w:val="22"/>
          <w:szCs w:val="22"/>
        </w:rPr>
        <w:t xml:space="preserve">II</w:t>
      </w:r>
      <w:r>
        <w:rPr>
          <w:color w:val="000000"/>
          <w:sz w:val="22"/>
          <w:szCs w:val="22"/>
        </w:rPr>
        <w:t xml:space="preserve"> domains among children and adolescents in Pedro </w:t>
      </w:r>
      <w:r>
        <w:rPr>
          <w:color w:val="000000"/>
          <w:sz w:val="22"/>
          <w:szCs w:val="22"/>
        </w:rPr>
        <w:t xml:space="preserve">Moncayo</w:t>
      </w:r>
      <w:r>
        <w:rPr>
          <w:color w:val="000000"/>
          <w:sz w:val="22"/>
          <w:szCs w:val="22"/>
        </w:rPr>
        <w:t xml:space="preserve">, Ecuador. Crop areas </w:t>
      </w:r>
      <w:r>
        <w:rPr>
          <w:color w:val="000000"/>
          <w:sz w:val="22"/>
          <w:szCs w:val="22"/>
        </w:rPr>
        <w:t xml:space="preserve">around home </w:t>
      </w:r>
      <w:r>
        <w:rPr>
          <w:color w:val="000000"/>
          <w:sz w:val="22"/>
          <w:szCs w:val="22"/>
        </w:rPr>
        <w:t xml:space="preserve">and distance to nearest plantation were associated with </w:t>
      </w:r>
      <w:r>
        <w:rPr>
          <w:color w:val="000000"/>
          <w:sz w:val="22"/>
          <w:szCs w:val="22"/>
        </w:rPr>
        <w:t xml:space="preserve">subdomains related to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w:t>
      </w:r>
      <w:r>
        <w:rPr>
          <w:color w:val="000000"/>
          <w:sz w:val="22"/>
          <w:szCs w:val="22"/>
        </w:rPr>
        <w:t xml:space="preserve">L</w:t>
      </w:r>
      <w:r>
        <w:rPr>
          <w:color w:val="000000"/>
          <w:sz w:val="22"/>
          <w:szCs w:val="22"/>
        </w:rPr>
        <w:t xml:space="preserve">anguage, and </w:t>
      </w:r>
      <w:r>
        <w:rPr>
          <w:color w:val="000000"/>
          <w:sz w:val="22"/>
          <w:szCs w:val="22"/>
        </w:rPr>
        <w:t xml:space="preserve">M</w:t>
      </w:r>
      <w:r>
        <w:rPr>
          <w:color w:val="000000"/>
          <w:sz w:val="22"/>
          <w:szCs w:val="22"/>
        </w:rPr>
        <w:t xml:space="preserve">emory</w:t>
      </w:r>
      <w:r>
        <w:rPr>
          <w:color w:val="000000"/>
          <w:sz w:val="22"/>
          <w:szCs w:val="22"/>
        </w:rPr>
        <w:t xml:space="preserve">/L</w:t>
      </w:r>
      <w:r>
        <w:rPr>
          <w:color w:val="000000"/>
          <w:sz w:val="22"/>
          <w:szCs w:val="22"/>
        </w:rPr>
        <w:t xml:space="preserve">e</w:t>
      </w:r>
      <w:r>
        <w:rPr>
          <w:color w:val="000000"/>
          <w:sz w:val="22"/>
          <w:szCs w:val="22"/>
        </w:rPr>
        <w:t xml:space="preserve">arning performance. </w:t>
      </w:r>
      <w:r>
        <w:rPr>
          <w:color w:val="000000"/>
          <w:sz w:val="22"/>
          <w:szCs w:val="22"/>
        </w:rPr>
        <w:t xml:space="preserve">Our results</w:t>
      </w:r>
      <w:r>
        <w:rPr>
          <w:color w:val="000000"/>
          <w:sz w:val="22"/>
          <w:szCs w:val="22"/>
        </w:rPr>
        <w:t xml:space="preserve"> suggest geographical proximity to </w:t>
      </w:r>
      <w:r>
        <w:rPr>
          <w:color w:val="000000"/>
          <w:sz w:val="22"/>
          <w:szCs w:val="22"/>
        </w:rPr>
        <w:t xml:space="preserve">floriculture </w:t>
      </w:r>
      <w:r>
        <w:rPr>
          <w:color w:val="000000"/>
          <w:sz w:val="22"/>
          <w:szCs w:val="22"/>
        </w:rPr>
        <w:t xml:space="preserve">crops</w:t>
      </w:r>
      <w:r>
        <w:rPr>
          <w:color w:val="000000"/>
          <w:sz w:val="22"/>
          <w:szCs w:val="22"/>
        </w:rPr>
        <w:t xml:space="preserve"> where pesticides are sprayed</w:t>
      </w:r>
      <w:r>
        <w:rPr>
          <w:color w:val="000000"/>
          <w:sz w:val="22"/>
          <w:szCs w:val="22"/>
        </w:rPr>
        <w:t xml:space="preserve"> may </w:t>
      </w:r>
      <w:r>
        <w:rPr>
          <w:color w:val="000000"/>
          <w:sz w:val="22"/>
          <w:szCs w:val="22"/>
        </w:rPr>
        <w:t xml:space="preserve">create exposures that increase risk </w:t>
      </w:r>
      <w:r>
        <w:rPr>
          <w:color w:val="000000"/>
          <w:sz w:val="22"/>
          <w:szCs w:val="22"/>
        </w:rPr>
        <w:t xml:space="preserve">of worse </w:t>
      </w:r>
      <w:r>
        <w:rPr>
          <w:color w:val="000000"/>
          <w:sz w:val="22"/>
          <w:szCs w:val="22"/>
        </w:rPr>
        <w:t xml:space="preserve">neurobehavioral performance, specifically </w:t>
      </w:r>
      <w:r>
        <w:rPr>
          <w:color w:val="000000"/>
          <w:sz w:val="22"/>
          <w:szCs w:val="22"/>
        </w:rPr>
        <w:t xml:space="preserve">related to</w:t>
      </w:r>
      <w:r>
        <w:rPr>
          <w:color w:val="000000"/>
          <w:sz w:val="22"/>
          <w:szCs w:val="22"/>
        </w:rPr>
        <w:t xml:space="preserve"> impulsivity and cognitive flexibility, </w:t>
      </w:r>
      <w:r>
        <w:rPr>
          <w:color w:val="000000"/>
          <w:sz w:val="22"/>
          <w:szCs w:val="22"/>
        </w:rPr>
        <w:t xml:space="preserve">difficulties understanding complex verbal instructions that involve language and syntax</w:t>
      </w:r>
      <w:r>
        <w:rPr>
          <w:color w:val="000000"/>
          <w:sz w:val="22"/>
          <w:szCs w:val="22"/>
        </w:rPr>
        <w:t xml:space="preserve">, and </w:t>
      </w:r>
      <w:r>
        <w:rPr>
          <w:color w:val="000000"/>
          <w:sz w:val="22"/>
          <w:szCs w:val="22"/>
        </w:rPr>
        <w:t xml:space="preserve">challenges with verbal-visual associative learning</w:t>
      </w:r>
      <w:r>
        <w:rPr>
          <w:color w:val="000000"/>
          <w:sz w:val="22"/>
          <w:szCs w:val="22"/>
        </w:rPr>
        <w:t xml:space="preserve"> among study participants</w:t>
      </w:r>
      <w:r>
        <w:rPr>
          <w:color w:val="000000"/>
          <w:sz w:val="22"/>
          <w:szCs w:val="22"/>
        </w:rPr>
        <w:t xml:space="preserve"> </w:t>
      </w:r>
      <w:commentRangeStart w:id="116"/>
      <w:r>
        <w:rPr>
          <w:color w:val="000000"/>
          <w:sz w:val="22"/>
          <w:szCs w:val="22"/>
        </w:rPr>
        <w:fldChar w:fldCharType="begin"/>
      </w:r>
      <w:r>
        <w:rPr>
          <w:color w:val="000000"/>
          <w:sz w:val="22"/>
          <w:szCs w:val="22"/>
        </w:rPr>
        <w:instrText xml:space="preserve"> ADDIN ZOTERO_ITEM CSL_CITATION {"citationID":"UesjWlre","properties":{"formattedCitation":"(Miller, 2012)","plainCitation":"(Miller, 2012)","noteIndex":0},"citationItems":[{"id":4748,"uris":["http://zotero.org/users/5127433/items/X35QHNRD"],"itemData":{</w:instrText>
      </w:r>
      <w:r>
        <w:rPr>
          <w:color w:val="000000"/>
          <w:sz w:val="22"/>
          <w:szCs w:val="22"/>
        </w:rPr>
        <w:instrText xml:space="preserve">"id":4748,"type":"book","abstract":"How to Report and Interpret the NEPSY-II Scores Within A School Neuropsychological Framework Daniel C. Miller, Ph.D., ABPP, ABSNP, NCSP, LSSP Executive","edition":"Second Edition","event-place":"Texas","language":"en","p</w:instrText>
      </w:r>
      <w:r>
        <w:rPr>
          <w:rFonts w:hint="eastAsia"/>
          <w:color w:val="000000"/>
          <w:sz w:val="22"/>
          <w:szCs w:val="22"/>
        </w:rPr>
        <w:instrText xml:space="preserve">ublisher-place":"Texas","title":"How to Report and Interpret the NEPSY-</w:instrText>
      </w:r>
      <w:r>
        <w:rPr>
          <w:rFonts w:hint="eastAsia"/>
          <w:color w:val="000000"/>
          <w:sz w:val="22"/>
          <w:szCs w:val="22"/>
        </w:rPr>
        <w:instrText xml:space="preserve">‐</w:instrText>
      </w:r>
      <w:r>
        <w:rPr>
          <w:rFonts w:hint="eastAsia"/>
          <w:color w:val="000000"/>
          <w:sz w:val="22"/>
          <w:szCs w:val="22"/>
        </w:rPr>
        <w:instrText xml:space="preserve">II Scores Within a School Neuropsyc","URL":"https://docslib.org/doc/8718539/how-to-report-and-interpret-the-nepsy-ii-scores-within-a-school-neuropsyc","author":[{"family":"Miller","gi</w:instrText>
      </w:r>
      <w:r>
        <w:rPr>
          <w:color w:val="000000"/>
          <w:sz w:val="22"/>
          <w:szCs w:val="22"/>
        </w:rPr>
        <w:instrText xml:space="preserve">ven":"Daniel C."}],"accessed":{"date-parts":[["2024",6,20]]},"issued":{"date-parts":[["2012"]]}}}],"schema":"https://github.com/citation-style-language/schema/raw/master/csl-citation.json"} </w:instrText>
      </w:r>
      <w:r>
        <w:rPr>
          <w:color w:val="000000"/>
          <w:sz w:val="22"/>
          <w:szCs w:val="22"/>
        </w:rPr>
        <w:fldChar w:fldCharType="separate"/>
      </w:r>
      <w:r>
        <w:rPr>
          <w:sz w:val="22"/>
        </w:rPr>
        <w:t xml:space="preserve">(Miller, 2012)</w:t>
      </w:r>
      <w:r>
        <w:rPr>
          <w:color w:val="000000"/>
          <w:sz w:val="22"/>
          <w:szCs w:val="22"/>
        </w:rPr>
        <w:fldChar w:fldCharType="end"/>
      </w:r>
      <w:commentRangeEnd w:id="116"/>
      <w:r>
        <w:commentReference w:id="116"/>
      </w:r>
      <w:r>
        <w:rPr>
          <w:color w:val="000000"/>
          <w:sz w:val="22"/>
          <w:szCs w:val="22"/>
        </w:rPr>
        <w:t xml:space="preserve">.</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We saw significant </w:t>
      </w:r>
      <w:r>
        <w:rPr>
          <w:color w:val="000000"/>
          <w:sz w:val="22"/>
          <w:szCs w:val="22"/>
        </w:rPr>
        <w:t xml:space="preserve">associations</w:t>
      </w:r>
      <w:r>
        <w:rPr>
          <w:color w:val="000000"/>
          <w:sz w:val="22"/>
          <w:szCs w:val="22"/>
        </w:rPr>
        <w:t xml:space="preserve"> </w:t>
      </w:r>
      <w:r>
        <w:rPr>
          <w:color w:val="000000"/>
          <w:sz w:val="22"/>
          <w:szCs w:val="22"/>
        </w:rPr>
        <w:t xml:space="preserve">for many neurobehavioral variables with crop areas </w:t>
      </w:r>
      <w:r>
        <w:rPr>
          <w:color w:val="000000"/>
          <w:sz w:val="22"/>
          <w:szCs w:val="22"/>
        </w:rPr>
        <w:t xml:space="preserve">within</w:t>
      </w:r>
      <w:r>
        <w:rPr>
          <w:color w:val="000000"/>
          <w:sz w:val="22"/>
          <w:szCs w:val="22"/>
        </w:rPr>
        <w:t xml:space="preserve"> 500m</w:t>
      </w:r>
      <w:r>
        <w:rPr>
          <w:color w:val="000000"/>
          <w:sz w:val="22"/>
          <w:szCs w:val="22"/>
        </w:rPr>
        <w:t xml:space="preserve"> of the home</w:t>
      </w:r>
      <w:r>
        <w:rPr>
          <w:color w:val="000000"/>
          <w:sz w:val="22"/>
          <w:szCs w:val="22"/>
        </w:rPr>
        <w:t xml:space="preserve">, </w:t>
      </w:r>
      <w:r>
        <w:rPr>
          <w:color w:val="000000"/>
          <w:sz w:val="22"/>
          <w:szCs w:val="22"/>
        </w:rPr>
        <w:t xml:space="preserve">especially in the</w:t>
      </w:r>
      <w:r>
        <w:rPr>
          <w:color w:val="000000"/>
          <w:sz w:val="22"/>
          <w:szCs w:val="22"/>
        </w:rPr>
        <w:t xml:space="preserve"> inhibition subdomain (Figure 1)</w:t>
      </w:r>
      <w:r>
        <w:rPr>
          <w:color w:val="000000"/>
          <w:sz w:val="22"/>
          <w:szCs w:val="22"/>
        </w:rPr>
        <w:t xml:space="preserve">. </w:t>
      </w:r>
      <w:commentRangeStart w:id="117"/>
      <w:commentRangeStart w:id="118"/>
      <w:commentRangeStart w:id="119"/>
      <w:r>
        <w:rPr>
          <w:color w:val="000000"/>
          <w:sz w:val="22"/>
          <w:szCs w:val="22"/>
        </w:rPr>
        <w:t xml:space="preserve">But when the radius was very small (50m) or very large (1000m), the associations were </w:t>
      </w:r>
      <w:r>
        <w:rPr>
          <w:color w:val="000000"/>
          <w:sz w:val="22"/>
          <w:szCs w:val="22"/>
        </w:rPr>
        <w:t xml:space="preserve">often </w:t>
      </w:r>
      <w:r>
        <w:rPr>
          <w:color w:val="000000"/>
          <w:sz w:val="22"/>
          <w:szCs w:val="22"/>
        </w:rPr>
        <w:t xml:space="preserve">diminished</w:t>
      </w:r>
      <w:commentRangeEnd w:id="117"/>
      <w:commentRangeEnd w:id="118"/>
      <w:commentRangeEnd w:id="119"/>
      <w:r>
        <w:commentReference w:id="117"/>
        <w:commentReference w:id="118"/>
        <w:commentReference w:id="119"/>
      </w:r>
      <w:r>
        <w:rPr>
          <w:color w:val="000000"/>
          <w:sz w:val="22"/>
          <w:szCs w:val="22"/>
        </w:rPr>
        <w:t xml:space="preserve">. The lack of association with a small radius </w:t>
      </w:r>
      <w:r>
        <w:rPr>
          <w:color w:val="000000"/>
          <w:sz w:val="22"/>
          <w:szCs w:val="22"/>
        </w:rPr>
        <w:t xml:space="preserve">in some subdomains </w:t>
      </w:r>
      <w:r>
        <w:rPr>
          <w:color w:val="000000"/>
          <w:sz w:val="22"/>
          <w:szCs w:val="22"/>
        </w:rPr>
        <w:t xml:space="preserve">could be due to the</w:t>
      </w:r>
      <w:r>
        <w:rPr>
          <w:color w:val="000000"/>
          <w:sz w:val="22"/>
          <w:szCs w:val="22"/>
        </w:rPr>
        <w:t xml:space="preserve"> fact that a vast amount of crop areas </w:t>
      </w:r>
      <w:r>
        <w:rPr>
          <w:color w:val="000000"/>
          <w:sz w:val="22"/>
          <w:szCs w:val="22"/>
        </w:rPr>
        <w:t xml:space="preserve">are</w:t>
      </w:r>
      <w:r>
        <w:rPr>
          <w:color w:val="000000"/>
          <w:sz w:val="22"/>
          <w:szCs w:val="22"/>
        </w:rPr>
        <w:t xml:space="preserve"> not captured in the </w:t>
      </w:r>
      <w:commentRangeStart w:id="120"/>
      <w:commentRangeStart w:id="121"/>
      <w:r>
        <w:rPr>
          <w:color w:val="000000"/>
          <w:sz w:val="22"/>
          <w:szCs w:val="22"/>
        </w:rPr>
        <w:t xml:space="preserve">50m area</w:t>
      </w:r>
      <w:r>
        <w:rPr>
          <w:color w:val="000000"/>
          <w:sz w:val="22"/>
          <w:szCs w:val="22"/>
        </w:rPr>
        <w:t xml:space="preserve"> nor are there many people living in this small radii of the greenhouses</w:t>
      </w:r>
      <w:r>
        <w:rPr>
          <w:color w:val="000000"/>
          <w:sz w:val="22"/>
          <w:szCs w:val="22"/>
        </w:rPr>
        <w:t xml:space="preserve">. </w:t>
      </w:r>
      <w:commentRangeEnd w:id="120"/>
      <w:commentRangeEnd w:id="121"/>
      <w:r>
        <w:commentReference w:id="120"/>
        <w:commentReference w:id="121"/>
      </w:r>
      <w:r>
        <w:rPr>
          <w:color w:val="000000"/>
          <w:sz w:val="22"/>
          <w:szCs w:val="22"/>
        </w:rPr>
        <w:t xml:space="preserve">Thereby, 50m area </w:t>
      </w:r>
      <w:r>
        <w:rPr>
          <w:color w:val="000000"/>
          <w:sz w:val="22"/>
          <w:szCs w:val="22"/>
        </w:rPr>
        <w:t xml:space="preserve">cannot</w:t>
      </w:r>
      <w:r>
        <w:rPr>
          <w:color w:val="000000"/>
          <w:sz w:val="22"/>
          <w:szCs w:val="22"/>
        </w:rPr>
        <w:t xml:space="preserve"> effectively explain the full effects of crop area on neurobehavioral outcomes. </w:t>
      </w:r>
      <w:commentRangeStart w:id="122"/>
      <w:commentRangeStart w:id="123"/>
      <w:r>
        <w:rPr>
          <w:color w:val="000000"/>
          <w:sz w:val="22"/>
          <w:szCs w:val="22"/>
        </w:rPr>
        <w:t xml:space="preserve">On the other hand, a very large radius such as 1000m may capture too much additional crop area that does not </w:t>
      </w:r>
      <w:r>
        <w:rPr>
          <w:color w:val="000000"/>
          <w:sz w:val="22"/>
          <w:szCs w:val="22"/>
        </w:rPr>
        <w:t xml:space="preserve">contribute to changes in neurobehavioral outcomes</w:t>
      </w:r>
      <w:r>
        <w:rPr>
          <w:color w:val="000000"/>
          <w:sz w:val="22"/>
          <w:szCs w:val="22"/>
        </w:rPr>
        <w:t xml:space="preserve"> and may be too far from the household for pesticide drift to reach the home</w:t>
      </w:r>
      <w:r>
        <w:rPr>
          <w:color w:val="000000"/>
          <w:sz w:val="22"/>
          <w:szCs w:val="22"/>
        </w:rPr>
        <w:t xml:space="preserve">. </w:t>
      </w:r>
      <w:commentRangeEnd w:id="122"/>
      <w:commentRangeEnd w:id="123"/>
      <w:r>
        <w:commentReference w:id="122"/>
        <w:commentReference w:id="123"/>
      </w:r>
      <w:r>
        <w:rPr>
          <w:rStyle w:val="768"/>
          <w:color w:val="000000"/>
          <w:sz w:val="22"/>
          <w:szCs w:val="22"/>
        </w:rPr>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sz w:val="22"/>
          <w:szCs w:val="22"/>
        </w:rPr>
      </w:pPr>
      <w:r>
        <w:rPr>
          <w:color w:val="000000"/>
          <w:sz w:val="22"/>
          <w:szCs w:val="22"/>
        </w:rPr>
        <w:t xml:space="preserve">Exposure to </w:t>
      </w:r>
      <w:r>
        <w:rPr>
          <w:color w:val="000000"/>
          <w:sz w:val="22"/>
          <w:szCs w:val="22"/>
        </w:rPr>
        <w:t xml:space="preserve">insecticides</w:t>
      </w:r>
      <w:r>
        <w:rPr>
          <w:color w:val="000000"/>
          <w:sz w:val="22"/>
          <w:szCs w:val="22"/>
        </w:rPr>
        <w:t xml:space="preserve">, particularly organophosphates</w:t>
      </w:r>
      <w:r>
        <w:rPr>
          <w:sz w:val="22"/>
          <w:szCs w:val="22"/>
        </w:rPr>
        <w:t xml:space="preserve"> </w:t>
      </w:r>
      <w:r>
        <w:rPr>
          <w:color w:val="000000"/>
          <w:sz w:val="22"/>
          <w:szCs w:val="22"/>
        </w:rPr>
        <w:t xml:space="preserve">ha</w:t>
      </w:r>
      <w:r>
        <w:rPr>
          <w:color w:val="000000"/>
          <w:sz w:val="22"/>
          <w:szCs w:val="22"/>
        </w:rPr>
        <w:t xml:space="preserve">ve</w:t>
      </w:r>
      <w:r>
        <w:rPr>
          <w:color w:val="000000"/>
          <w:sz w:val="22"/>
          <w:szCs w:val="22"/>
        </w:rPr>
        <w:t xml:space="preserve"> been associated with </w:t>
      </w:r>
      <w:r>
        <w:rPr>
          <w:color w:val="000000"/>
          <w:sz w:val="22"/>
          <w:szCs w:val="22"/>
        </w:rPr>
        <w:t xml:space="preserve">neurodevelopment effects</w:t>
      </w:r>
      <w:r>
        <w:rPr>
          <w:color w:val="000000"/>
          <w:sz w:val="22"/>
          <w:szCs w:val="22"/>
        </w:rPr>
        <w:t xml:space="preserve"> </w:t>
      </w:r>
      <w:r>
        <w:rPr>
          <w:color w:val="000000"/>
          <w:sz w:val="22"/>
          <w:szCs w:val="22"/>
        </w:rPr>
        <w:t xml:space="preserve">in</w:t>
      </w:r>
      <w:r>
        <w:rPr>
          <w:color w:val="000000"/>
          <w:sz w:val="22"/>
          <w:szCs w:val="22"/>
        </w:rPr>
        <w:t xml:space="preserve"> </w:t>
      </w:r>
      <w:r>
        <w:rPr>
          <w:color w:val="000000"/>
          <w:sz w:val="22"/>
          <w:szCs w:val="22"/>
        </w:rPr>
        <w:t xml:space="preserve">animal and human studies, and </w:t>
      </w:r>
      <w:r>
        <w:rPr>
          <w:color w:val="000000"/>
          <w:sz w:val="22"/>
          <w:szCs w:val="22"/>
        </w:rPr>
        <w:t xml:space="preserve">children in diverse </w:t>
      </w:r>
      <w:r>
        <w:rPr>
          <w:color w:val="000000"/>
          <w:sz w:val="22"/>
          <w:szCs w:val="22"/>
        </w:rPr>
        <w:t xml:space="preserve">contexts</w:t>
      </w:r>
      <w:r>
        <w:rPr>
          <w:color w:val="000000"/>
          <w:sz w:val="22"/>
          <w:szCs w:val="22"/>
        </w:rPr>
        <w:t xml:space="preserve">, including prenatal</w:t>
      </w:r>
      <w:r>
        <w:rPr>
          <w:color w:val="000000"/>
          <w:sz w:val="22"/>
          <w:szCs w:val="22"/>
        </w:rPr>
        <w:t xml:space="preserve">, postnatal,</w:t>
      </w:r>
      <w:r>
        <w:rPr>
          <w:color w:val="000000"/>
          <w:sz w:val="22"/>
          <w:szCs w:val="22"/>
        </w:rPr>
        <w:t xml:space="preserve"> and dietary exposures</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w:instrText>
      </w:r>
      <w:r>
        <w:rPr>
          <w:color w:val="000000"/>
          <w:sz w:val="22"/>
          <w:szCs w:val="22"/>
        </w:rPr>
        <w:instrText xml:space="preserve">histle et al., 2020)","noteIndex":0},"citationItems":[{"id":4708,"uris":["http://zotero.org/users/5127433/items/UTHMMJC5"],"itemData":{"id":4708,"type":"article-journal","abstract":"BackgroundExposure to organophosphate (OP) pesticides, well-known neurotox</w:instrText>
      </w:r>
      <w:r>
        <w:rPr>
          <w:color w:val="000000"/>
          <w:sz w:val="22"/>
          <w:szCs w:val="22"/>
        </w:rPr>
        <w:instrText xml:space="preserve">icants, has been associated with neurobehavioral deficits in children.ObjectivesWe investigated whether OP exposure, as measured by urinary dialkyl phosphate (DAP) metabolites in pregnant women and their children, was associated with attention-related outc</w:instrText>
      </w:r>
      <w:r>
        <w:rPr>
          <w:color w:val="000000"/>
          <w:sz w:val="22"/>
          <w:szCs w:val="22"/>
        </w:rPr>
        <w:instrText xml:space="preserve">omes among Mexican-American children living in an agricultural region of California.MethodsChildren were assessed at ages 3.5 years (n = 331) and 5 years (n = 323). Mothers completed the Child Behavior Checklist (CBCL). We administered the NEPSY-II visual </w:instrText>
      </w:r>
      <w:r>
        <w:rPr>
          <w:color w:val="000000"/>
          <w:sz w:val="22"/>
          <w:szCs w:val="22"/>
        </w:rPr>
        <w:instrText xml:space="preserve">attention subtest to children at 3.5 years and Conners’ Kiddie Continuous Performance Test (K-CPT) at 5 years. The K-CPT yielded a standardized attention deficit/hyperactivity disorder (ADHD) Confidence Index score. Psychometricians scored behavior of the </w:instrText>
      </w:r>
      <w:r>
        <w:rPr>
          <w:color w:val="000000"/>
          <w:sz w:val="22"/>
          <w:szCs w:val="22"/>
        </w:rPr>
        <w:instrText xml:space="preserve">5-year-olds during testing using the Hillside Behavior Rating Scale.ResultsPrenatal DAPs (nanomoles per liter) were nonsignificantly associated with maternal report of attention problems and ADHD at age 3.5 years but were significantly related at age 5 yea</w:instrText>
      </w:r>
      <w:r>
        <w:rPr>
          <w:color w:val="000000"/>
          <w:sz w:val="22"/>
          <w:szCs w:val="22"/>
        </w:rPr>
        <w:instrText xml:space="preserve">rs [CBCL attention problems: β = 0.7 points; 95% confidence interval (CI), 0.2–1.2; ADHD: β = 1.3; 95% CI, 0.4–2.1]. Prenatal DAPs were associated with scores on the K-CPT ADHD Confidence Index &gt; 70th percentile [odds ratio (OR) = 5.1; 95% CI, 1.7–15.7] an</w:instrText>
      </w:r>
      <w:r>
        <w:rPr>
          <w:color w:val="000000"/>
          <w:sz w:val="22"/>
          <w:szCs w:val="22"/>
        </w:rPr>
        <w:instrText xml:space="preserve">d with a composite ADHD indicator of the various measures (OR = 3.5; 95% CI, 1.1–10.7). Some outcomes exhibited evidence of effect modification by sex, with associations found only among boys. There was also limited evidence of associations between child D</w:instrText>
      </w:r>
      <w:r>
        <w:rPr>
          <w:color w:val="000000"/>
          <w:sz w:val="22"/>
          <w:szCs w:val="22"/>
        </w:rPr>
        <w:instrText xml:space="preserve">APs and attention.ConclusionsIn utero DAPs and, to a lesser extent, postnatal DAPs were associated adversely with attention as assessed by maternal report, psychometrician observation, and direct assessment. These associations were somewhat stronger at 5 y</w:instrText>
      </w:r>
      <w:r>
        <w:rPr>
          <w:color w:val="000000"/>
          <w:sz w:val="22"/>
          <w:szCs w:val="22"/>
        </w:rPr>
        <w:instrText xml:space="preserve">ears than at 3.5 years and were stronger in boys.","container-title":"Environmental Health Perspectives","DOI":"10.1289/ehp.1002056","issue":"12","note":"publisher: Environmental Health Perspectives","page":"1768-1774","source":"ehp.niehs.nih.gov (Atypon)"</w:instrText>
      </w:r>
      <w:r>
        <w:rPr>
          <w:color w:val="000000"/>
          <w:sz w:val="22"/>
          <w:szCs w:val="22"/>
        </w:rPr>
        <w:instrText xml:space="preserve">,"title":"Organophosphate Pesticide Exposure and Attention in Young Mexican-American Children: The CHAMACOS Study","title-short":"Organophosphate Pesticide Exposure and Attention in Young Mexican-American Children","volume":"118","author":[{"family":"Marks</w:instrText>
      </w:r>
      <w:r>
        <w:rPr>
          <w:color w:val="000000"/>
          <w:sz w:val="22"/>
          <w:szCs w:val="22"/>
        </w:rPr>
        <w:instrText xml:space="preserve">","given":"Amy R."},{"family":"Harley","given":"Kim"},{"family":"Bradman","given":"Asa"},{"family":"Kogut","given":"Katherine"},{"family":"Barr","given":"Dana Boyd"},{"family":"Johnson","given":"Caroline"},{"family":"Calderon","given":"Norma"},{"family":"E</w:instrText>
      </w:r>
      <w:r>
        <w:rPr>
          <w:color w:val="000000"/>
          <w:sz w:val="22"/>
          <w:szCs w:val="22"/>
        </w:rPr>
        <w:instrText xml:space="preserve">skenazi","given":"Brenda"}],"issued":{"date-parts":[["2010",12]]}}},{"id":4758,"uris":["http://zotero.org/users/5127433/items/F44V2N4X"],"itemData":{"id":4758,"type":"article-journal","abstract":"Environmental stressors, like endocrine disrupting chemicals</w:instrText>
      </w:r>
      <w:r>
        <w:rPr>
          <w:color w:val="000000"/>
          <w:sz w:val="22"/>
          <w:szCs w:val="22"/>
        </w:rPr>
        <w:instrText xml:space="preserve"> (EDC), are considered important contributors to the increased rates of neurodevelopmental dysfunctions. Considering the cumulative research on adverse neurodevelopmental effects associated with prenatal exposure to EDC, the purpose of this study was to re</w:instrText>
      </w:r>
      <w:r>
        <w:rPr>
          <w:color w:val="000000"/>
          <w:sz w:val="22"/>
          <w:szCs w:val="22"/>
        </w:rPr>
        <w:instrText xml:space="preserve">view the available limited literature about the effects of postnatal exposure to EDC on child neurodevelopment and behaviour. Despite widespread children's exposure to EDC, there are a limited number of epidemiological studies on the association of this ex</w:instrText>
      </w:r>
      <w:r>
        <w:rPr>
          <w:color w:val="000000"/>
          <w:sz w:val="22"/>
          <w:szCs w:val="22"/>
        </w:rPr>
        <w:instrText xml:space="preserve">posure with neurodevelopmental disorders, in particular in the postnatal period. The available research suggests that postnatal EDC exposure is related to adverse neurobehavioral outcomes in children; however the underlying mechanisms of action remain uncl</w:instrText>
      </w:r>
      <w:r>
        <w:rPr>
          <w:color w:val="000000"/>
          <w:sz w:val="22"/>
          <w:szCs w:val="22"/>
        </w:rPr>
        <w:instrText xml:space="preserve">ear. Timing of exposure is a key factor determining potential neurodevelopmental consequences, hence studying the impact of multiple EDC co-exposure in different vulnerable life periods could guide the identification of sensitive subpopulations. Most of th</w:instrText>
      </w:r>
      <w:r>
        <w:rPr>
          <w:color w:val="000000"/>
          <w:sz w:val="22"/>
          <w:szCs w:val="22"/>
        </w:rPr>
        <w:instrText xml:space="preserve">e reviewed studies did not take into account sex differences in the EDC effects on children neurodevelopment. We believe that the inclusion of sex in the study design should be considered as the role of EDC on children neurodevelopment are likely sex-speci</w:instrText>
      </w:r>
      <w:r>
        <w:rPr>
          <w:color w:val="000000"/>
          <w:sz w:val="22"/>
          <w:szCs w:val="22"/>
        </w:rPr>
        <w:instrText xml:space="preserve">fic and should be taken into consideration when determining susceptibility and potential mechanisms of action.","container-title":"Environmental Research","DOI":"10.1016/j.envres.2021.111890","ISSN":"0013-9351","journalAbbreviation":"Environmental Research</w:instrText>
      </w:r>
      <w:r>
        <w:rPr>
          <w:color w:val="000000"/>
          <w:sz w:val="22"/>
          <w:szCs w:val="22"/>
        </w:rPr>
        <w:instrText xml:space="preserve">","page":"111890","source":"ScienceDirect","title":"Role of endocrine disrupting chemicals in children's neurodevelopment","volume":"203","author":[{"family":"Ramírez","given":"Viviana"},{"family":"Gálvez-Ontiveros","given":"Yolanda"},{"family":"González-D</w:instrText>
      </w:r>
      <w:r>
        <w:rPr>
          <w:color w:val="000000"/>
          <w:sz w:val="22"/>
          <w:szCs w:val="22"/>
        </w:rPr>
        <w:instrText xml:space="preserve">omenech","given":"Pablo José"},{"family":"Baca","given":"Miguel Ángel"},{"family":"Rodrigo","given":"Lourdes"},{"family":"Rivas","given":"Ana"}],"issued":{"date-parts":[["2022",1,1]]}}},{"id":4752,"uris":["http://zotero.org/users/5127433/items/YGXIH6TL"],"</w:instrText>
      </w:r>
      <w:r>
        <w:rPr>
          <w:color w:val="000000"/>
          <w:sz w:val="22"/>
          <w:szCs w:val="22"/>
        </w:rPr>
        <w:instrText xml:space="preserve">itemData":{"id":4752,"type":"article-journal","abstract":"Organophosphate pesticides (OPP) cause acute toxicity by inhibiting acetylcholinesterase, however neurodevelopmental effects have been found at relatively low exposure concentrations. Contamination </w:instrText>
      </w:r>
      <w:r>
        <w:rPr>
          <w:color w:val="000000"/>
          <w:sz w:val="22"/>
          <w:szCs w:val="22"/>
        </w:rPr>
        <w:instrText xml:space="preserve">of conventionally-grown produce with OPPs remains an important exposure route for the general population due to agricultural spraying. Previous research suggests a relationship between prenatal exposure and executive functions (EF), but no studies have per</w:instrText>
      </w:r>
      <w:r>
        <w:rPr>
          <w:color w:val="000000"/>
          <w:sz w:val="22"/>
          <w:szCs w:val="22"/>
        </w:rPr>
        <w:instrText xml:space="preserve">formed a detailed assessment inclusive of rater and performance-based measures. Methods: We used data from the preschool ADHD sub-substudy of the Norwegian Mother, Father, and Child Cohort Study. 262 preschool children with clinical or subclinical ADHD sym</w:instrText>
      </w:r>
      <w:r>
        <w:rPr>
          <w:color w:val="000000"/>
          <w:sz w:val="22"/>
          <w:szCs w:val="22"/>
        </w:rPr>
        <w:instrText xml:space="preserve">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 xml:space="preserve">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 xml:space="preserve">∑</w:instrText>
      </w:r>
      <w:r>
        <w:rPr>
          <w:rFonts w:hint="eastAsia"/>
          <w:color w:val="000000"/>
          <w:sz w:val="22"/>
          <w:szCs w:val="22"/>
        </w:rPr>
        <w:instrText xml:space="preserve">DEP) and dimethylphosphate (</w:instrText>
      </w:r>
      <w:r>
        <w:rPr>
          <w:rFonts w:hint="eastAsia"/>
          <w:color w:val="000000"/>
          <w:sz w:val="22"/>
          <w:szCs w:val="22"/>
        </w:rPr>
        <w:instrText xml:space="preserve">∑</w:instrText>
      </w:r>
      <w:r>
        <w:rPr>
          <w:rFonts w:hint="eastAsia"/>
          <w:color w:val="000000"/>
          <w:sz w:val="22"/>
          <w:szCs w:val="22"/>
        </w:rPr>
        <w:instrText xml:space="preserve">DMP) metabolites in urine colle</w:instrText>
      </w:r>
      <w:r>
        <w:rPr>
          <w:color w:val="000000"/>
          <w:sz w:val="22"/>
          <w:szCs w:val="22"/>
        </w:rPr>
        <w:instrText xml:space="preserve">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 xml:space="preserve">variates. Results: There was no consistent pattern of association between log-</w:instrText>
      </w:r>
      <w:r>
        <w:rPr>
          <w:rFonts w:hint="eastAsia"/>
          <w:color w:val="000000"/>
          <w:sz w:val="22"/>
          <w:szCs w:val="22"/>
        </w:rPr>
        <w:instrText xml:space="preserve">∑</w:instrText>
      </w:r>
      <w:r>
        <w:rPr>
          <w:rFonts w:hint="eastAsia"/>
          <w:color w:val="000000"/>
          <w:sz w:val="22"/>
          <w:szCs w:val="22"/>
        </w:rPr>
        <w:instrText xml:space="preserve">DEP or </w:instrText>
      </w:r>
      <w:r>
        <w:rPr>
          <w:rFonts w:hint="eastAsia"/>
          <w:color w:val="000000"/>
          <w:sz w:val="22"/>
          <w:szCs w:val="22"/>
        </w:rPr>
        <w:instrText xml:space="preserve">∑</w:instrText>
      </w:r>
      <w:r>
        <w:rPr>
          <w:rFonts w:hint="eastAsia"/>
          <w:color w:val="000000"/>
          <w:sz w:val="22"/>
          <w:szCs w:val="22"/>
        </w:rPr>
        <w:instrText xml:space="preserve">DMP and performance-based assessments and parent CBQ and BRIEF measures. However, log-</w:instrText>
      </w:r>
      <w:r>
        <w:rPr>
          <w:rFonts w:hint="eastAsia"/>
          <w:color w:val="000000"/>
          <w:sz w:val="22"/>
          <w:szCs w:val="22"/>
        </w:rPr>
        <w:instrText xml:space="preserve">∑</w:instrText>
      </w:r>
      <w:r>
        <w:rPr>
          <w:rFonts w:hint="eastAsia"/>
          <w:color w:val="000000"/>
          <w:sz w:val="22"/>
          <w:szCs w:val="22"/>
        </w:rPr>
        <w:instrText xml:space="preserve">DMP was associated with more adverse scores on teacher BRIEF scales among prescho</w:instrText>
      </w:r>
      <w:r>
        <w:rPr>
          <w:color w:val="000000"/>
          <w:sz w:val="22"/>
          <w:szCs w:val="22"/>
        </w:rPr>
        <w:instrText xml:space="preserve">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 xml:space="preserve">β</w:instrText>
      </w:r>
      <w:r>
        <w:rPr>
          <w:rFonts w:hint="eastAsia"/>
          <w:color w:val="000000"/>
          <w:sz w:val="22"/>
          <w:szCs w:val="22"/>
        </w:rPr>
        <w:instrText xml:space="preserve">=-0.31, 95% CI: -0.68, 0.06; WM: </w:instrText>
      </w:r>
      <w:r>
        <w:rPr>
          <w:rFonts w:hint="eastAsia"/>
          <w:color w:val="000000"/>
          <w:sz w:val="22"/>
          <w:szCs w:val="22"/>
        </w:rPr>
        <w:instrText xml:space="preserve">β</w:instrText>
      </w:r>
      <w:r>
        <w:rPr>
          <w:rFonts w:hint="eastAsia"/>
          <w:color w:val="000000"/>
          <w:sz w:val="22"/>
          <w:szCs w:val="22"/>
        </w:rPr>
        <w:instrText xml:space="preserve">=-0.34, 95% CI: -0.68, 0.00). Conclusion: We found some evidence that prenatal log-</w:instrText>
      </w:r>
      <w:r>
        <w:rPr>
          <w:rFonts w:hint="eastAsia"/>
          <w:color w:val="000000"/>
          <w:sz w:val="22"/>
          <w:szCs w:val="22"/>
        </w:rPr>
        <w:instrText xml:space="preserve">∑</w:instrText>
      </w:r>
      <w:r>
        <w:rPr>
          <w:rFonts w:hint="eastAsia"/>
          <w:color w:val="000000"/>
          <w:sz w:val="22"/>
          <w:szCs w:val="22"/>
        </w:rPr>
        <w:instrText xml:space="preserve">DMP was associated with more adverse EF in a population experiencing primarily dietary exposure.","container-title":"ISEE Conference Ab</w:instrText>
      </w:r>
      <w:r>
        <w:rPr>
          <w:color w:val="000000"/>
          <w:sz w:val="22"/>
          <w:szCs w:val="22"/>
        </w:rPr>
        <w:instrText xml:space="preserve">stracts","DOI":"10.1289/isee.20</w:instrText>
      </w:r>
      <w:r>
        <w:rPr>
          <w:color w:val="000000"/>
          <w:sz w:val="22"/>
          <w:szCs w:val="22"/>
        </w:rPr>
        <w:instrText xml:space="preserve">20.virtual.P-0820","issue":"1","note":"publisher: Environmental Health Perspectives","source":"ehp.niehs.nih.gov (Atypon)","title":"Prenatal exposure to organophosphate pesticides and executive function in the Norwegian Mother, Father and Child Cohort","UR</w:instrText>
      </w:r>
      <w:r>
        <w:rPr>
          <w:color w:val="000000"/>
          <w:sz w:val="22"/>
          <w:szCs w:val="22"/>
        </w:rPr>
        <w:instrText xml:space="preserve">L":"https://ehp.niehs.nih.gov/doi/abs/10.1289/isee.2020.virtual.P-0820","volume":"2020","author":[{"family":"Thistle","given":"J.E."},{"family":"Roell","given":"K.R."},{"family":"Choi","given":"G."},{"family":"Villanger","given":"G.D."},{"family":"Drover",</w:instrText>
      </w:r>
      <w:r>
        <w:rPr>
          <w:color w:val="000000"/>
          <w:sz w:val="22"/>
          <w:szCs w:val="22"/>
        </w:rPr>
        <w:instrText xml:space="preserve">"given":"S.S."},{"family":"Sakhi","given":"A.K."},{"family":"Thomsen","given":"C."},{"family":"Zeiner","given":"P."},{"family":"Knudsen","given":"G."},{"family":"Reichborn-Kjennerud","given":"T."},{"family":"Øvergaard","given":"K.R."},{"family":"Herring","</w:instrText>
      </w:r>
      <w:r>
        <w:rPr>
          <w:color w:val="000000"/>
          <w:sz w:val="22"/>
          <w:szCs w:val="22"/>
        </w:rPr>
        <w:instrText xml:space="preserve">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xml:space="preserve">(Marks et al., 2010; Ramírez et al., 2022; Thistle et al., 2020</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w:instrText>
      </w:r>
      <w:r>
        <w:rPr>
          <w:color w:val="000000"/>
          <w:sz w:val="22"/>
          <w:szCs w:val="22"/>
        </w:rPr>
        <w:instrText xml:space="preserve">histle et al., 2020)","noteIndex":0},"citationItems":[{"id":4708,"uris":["http://zotero.org/users/5127433/items/UTHMMJC5"],"itemData":{"id":4708,"type":"article-journal","abstract":"BackgroundExposure to organophosphate (OP) pesticides, well-known neurotox</w:instrText>
      </w:r>
      <w:r>
        <w:rPr>
          <w:color w:val="000000"/>
          <w:sz w:val="22"/>
          <w:szCs w:val="22"/>
        </w:rPr>
        <w:instrText xml:space="preserve">icants, has been associated with neurobehavioral deficits in children.ObjectivesWe investigated whether OP exposure, as measured by urinary dialkyl phosphate (DAP) metabolites in pregnant women and their children, was associated with attention-related outc</w:instrText>
      </w:r>
      <w:r>
        <w:rPr>
          <w:color w:val="000000"/>
          <w:sz w:val="22"/>
          <w:szCs w:val="22"/>
        </w:rPr>
        <w:instrText xml:space="preserve">omes among Mexican-American children living in an agricultural region of California.MethodsChildren were assessed at ages 3.5 years (n = 331) and 5 years (n = 323). Mothers completed the Child Behavior Checklist (CBCL). We administered the NEPSY-II visual </w:instrText>
      </w:r>
      <w:r>
        <w:rPr>
          <w:color w:val="000000"/>
          <w:sz w:val="22"/>
          <w:szCs w:val="22"/>
        </w:rPr>
        <w:instrText xml:space="preserve">attention subtest to children at 3.5 years and Conners’ Kiddie Continuous Performance Test (K-CPT) at 5 years. The K-CPT yielded a standardized attention deficit/hyperactivity disorder (ADHD) Confidence Index score. Psychometricians scored behavior of the </w:instrText>
      </w:r>
      <w:r>
        <w:rPr>
          <w:color w:val="000000"/>
          <w:sz w:val="22"/>
          <w:szCs w:val="22"/>
        </w:rPr>
        <w:instrText xml:space="preserve">5-year-olds during testing using the Hillside Behavior Rating Scale.ResultsPrenatal DAPs (nanomoles per liter) were nonsignificantly associated with maternal report of attention problems and ADHD at age 3.5 years but were significantly related at age 5 yea</w:instrText>
      </w:r>
      <w:r>
        <w:rPr>
          <w:color w:val="000000"/>
          <w:sz w:val="22"/>
          <w:szCs w:val="22"/>
        </w:rPr>
        <w:instrText xml:space="preserve">rs [CBCL attention problems: β = 0.7 points; 95% confidence interval (CI), 0.2–1.2; ADHD: β = 1.3; 95% CI, 0.4–2.1]. Prenatal DAPs were associated with scores on the K-CPT ADHD Confidence Index &gt; 70th percentile [odds ratio (OR) = 5.1; 95% CI, 1.7–15.7] an</w:instrText>
      </w:r>
      <w:r>
        <w:rPr>
          <w:color w:val="000000"/>
          <w:sz w:val="22"/>
          <w:szCs w:val="22"/>
        </w:rPr>
        <w:instrText xml:space="preserve">d with a composite ADHD indicator of the various measures (OR = 3.5; 95% CI, 1.1–10.7). Some outcomes exhibited evidence of effect modification by sex, with associations found only among boys. There was also limited evidence of associations between child D</w:instrText>
      </w:r>
      <w:r>
        <w:rPr>
          <w:color w:val="000000"/>
          <w:sz w:val="22"/>
          <w:szCs w:val="22"/>
        </w:rPr>
        <w:instrText xml:space="preserve">APs and attention.ConclusionsIn utero DAPs and, to a lesser extent, postnatal DAPs were associated adversely with attention as assessed by maternal report, psychometrician observation, and direct assessment. These associations were somewhat stronger at 5 y</w:instrText>
      </w:r>
      <w:r>
        <w:rPr>
          <w:color w:val="000000"/>
          <w:sz w:val="22"/>
          <w:szCs w:val="22"/>
        </w:rPr>
        <w:instrText xml:space="preserve">ears than at 3.5 years and were stronger in boys.","container-title":"Environmental Health Perspectives","DOI":"10.1289/ehp.1002056","issue":"12","note":"publisher: Environmental Health Perspectives","page":"1768-1774","source":"ehp.niehs.nih.gov (Atypon)"</w:instrText>
      </w:r>
      <w:r>
        <w:rPr>
          <w:color w:val="000000"/>
          <w:sz w:val="22"/>
          <w:szCs w:val="22"/>
        </w:rPr>
        <w:instrText xml:space="preserve">,"title":"Organophosphate Pesticide Exposure and Attention in Young Mexican-American Children: The CHAMACOS Study","title-short":"Organophosphate Pesticide Exposure and Attention in Young Mexican-American Children","volume":"118","author":[{"family":"Marks</w:instrText>
      </w:r>
      <w:r>
        <w:rPr>
          <w:color w:val="000000"/>
          <w:sz w:val="22"/>
          <w:szCs w:val="22"/>
        </w:rPr>
        <w:instrText xml:space="preserve">","given":"Amy R."},{"family":"Harley","given":"Kim"},{"family":"Bradman","given":"Asa"},{"family":"Kogut","given":"Katherine"},{"family":"Barr","given":"Dana Boyd"},{"family":"Johnson","given":"Caroline"},{"family":"Calderon","given":"Norma"},{"family":"E</w:instrText>
      </w:r>
      <w:r>
        <w:rPr>
          <w:color w:val="000000"/>
          <w:sz w:val="22"/>
          <w:szCs w:val="22"/>
        </w:rPr>
        <w:instrText xml:space="preserve">skenazi","given":"Brenda"}],"issued":{"date-parts":[["2010",12]]}}},{"id":4758,"uris":["http://zotero.org/users/5127433/items/F44V2N4X"],"itemData":{"id":4758,"type":"article-journal","abstract":"Environmental stressors, like endocrine disrupting chemicals</w:instrText>
      </w:r>
      <w:r>
        <w:rPr>
          <w:color w:val="000000"/>
          <w:sz w:val="22"/>
          <w:szCs w:val="22"/>
        </w:rPr>
        <w:instrText xml:space="preserve"> (EDC), are considered important contributors to the increased rates of neurodevelopmental dysfunctions. Considering the cumulative research on adverse neurodevelopmental effects associated with prenatal exposure to EDC, the purpose of this study was to re</w:instrText>
      </w:r>
      <w:r>
        <w:rPr>
          <w:color w:val="000000"/>
          <w:sz w:val="22"/>
          <w:szCs w:val="22"/>
        </w:rPr>
        <w:instrText xml:space="preserve">view the available limited literature about the effects of postnatal exposure to EDC on child neurodevelopment and behaviour. Despite widespread children's exposure to EDC, there are a limited number of epidemiological studies on the association of this ex</w:instrText>
      </w:r>
      <w:r>
        <w:rPr>
          <w:color w:val="000000"/>
          <w:sz w:val="22"/>
          <w:szCs w:val="22"/>
        </w:rPr>
        <w:instrText xml:space="preserve">posure with neurodevelopmental disorders, in particular in the postnatal period. The available research suggests that postnatal EDC exposure is related to adverse neurobehavioral outcomes in children; however the underlying mechanisms of action remain uncl</w:instrText>
      </w:r>
      <w:r>
        <w:rPr>
          <w:color w:val="000000"/>
          <w:sz w:val="22"/>
          <w:szCs w:val="22"/>
        </w:rPr>
        <w:instrText xml:space="preserve">ear. Timing of exposure is a key factor determining potential neurodevelopmental consequences, hence studying the impact of multiple EDC co-exposure in different vulnerable life periods could guide the identification of sensitive subpopulations. Most of th</w:instrText>
      </w:r>
      <w:r>
        <w:rPr>
          <w:color w:val="000000"/>
          <w:sz w:val="22"/>
          <w:szCs w:val="22"/>
        </w:rPr>
        <w:instrText xml:space="preserve">e reviewed studies did not take into account sex differences in the EDC effects on children neurodevelopment. We believe that the inclusion of sex in the study design should be considered as the role of EDC on children neurodevelopment are likely sex-speci</w:instrText>
      </w:r>
      <w:r>
        <w:rPr>
          <w:color w:val="000000"/>
          <w:sz w:val="22"/>
          <w:szCs w:val="22"/>
        </w:rPr>
        <w:instrText xml:space="preserve">fic and should be taken into consideration when determining susceptibility and potential mechanisms of action.","container-title":"Environmental Research","DOI":"10.1016/j.envres.2021.111890","ISSN":"0013-9351","journalAbbreviation":"Environmental Research</w:instrText>
      </w:r>
      <w:r>
        <w:rPr>
          <w:color w:val="000000"/>
          <w:sz w:val="22"/>
          <w:szCs w:val="22"/>
        </w:rPr>
        <w:instrText xml:space="preserve">","page":"111890","source":"ScienceDirect","title":"Role of endocrine disrupting chemicals in children's neurodevelopment","volume":"203","author":[{"family":"Ramírez","given":"Viviana"},{"family":"Gálvez-Ontiveros","given":"Yolanda"},{"family":"González-D</w:instrText>
      </w:r>
      <w:r>
        <w:rPr>
          <w:color w:val="000000"/>
          <w:sz w:val="22"/>
          <w:szCs w:val="22"/>
        </w:rPr>
        <w:instrText xml:space="preserve">omenech","given":"Pablo José"},{"family":"Baca","given":"Miguel Ángel"},{"family":"Rodrigo","given":"Lourdes"},{"family":"Rivas","given":"Ana"}],"issued":{"date-parts":[["2022",1,1]]}}},{"id":4752,"uris":["http://zotero.org/users/5127433/items/YGXIH6TL"],"</w:instrText>
      </w:r>
      <w:r>
        <w:rPr>
          <w:color w:val="000000"/>
          <w:sz w:val="22"/>
          <w:szCs w:val="22"/>
        </w:rPr>
        <w:instrText xml:space="preserve">itemData":{"id":4752,"type":"article-journal","abstract":"Organophosphate pesticides (OPP) cause acute toxicity by inhibiting acetylcholinesterase, however neurodevelopmental effects have been found at relatively low exposure concentrations. Contamination </w:instrText>
      </w:r>
      <w:r>
        <w:rPr>
          <w:color w:val="000000"/>
          <w:sz w:val="22"/>
          <w:szCs w:val="22"/>
        </w:rPr>
        <w:instrText xml:space="preserve">of conventionally-grown produce with OPPs remains an important exposure route for the general population due to agricultural spraying. Previous research suggests a relationship between prenatal exposure and executive functions (EF), but no studies have per</w:instrText>
      </w:r>
      <w:r>
        <w:rPr>
          <w:color w:val="000000"/>
          <w:sz w:val="22"/>
          <w:szCs w:val="22"/>
        </w:rPr>
        <w:instrText xml:space="preserve">formed a detailed assessment inclusive of rater and performance-based measures. Methods: We used data from the preschool ADHD sub-substudy of the Norwegian Mother, Father, and Child Cohort Study. 262 preschool children with clinical or subclinical ADHD sym</w:instrText>
      </w:r>
      <w:r>
        <w:rPr>
          <w:color w:val="000000"/>
          <w:sz w:val="22"/>
          <w:szCs w:val="22"/>
        </w:rPr>
        <w:instrText xml:space="preserve">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 xml:space="preserve">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 xml:space="preserve">∑</w:instrText>
      </w:r>
      <w:r>
        <w:rPr>
          <w:rFonts w:hint="eastAsia"/>
          <w:color w:val="000000"/>
          <w:sz w:val="22"/>
          <w:szCs w:val="22"/>
        </w:rPr>
        <w:instrText xml:space="preserve">DEP) and dimethylphosphate (</w:instrText>
      </w:r>
      <w:r>
        <w:rPr>
          <w:rFonts w:hint="eastAsia"/>
          <w:color w:val="000000"/>
          <w:sz w:val="22"/>
          <w:szCs w:val="22"/>
        </w:rPr>
        <w:instrText xml:space="preserve">∑</w:instrText>
      </w:r>
      <w:r>
        <w:rPr>
          <w:rFonts w:hint="eastAsia"/>
          <w:color w:val="000000"/>
          <w:sz w:val="22"/>
          <w:szCs w:val="22"/>
        </w:rPr>
        <w:instrText xml:space="preserve">DMP) metabolites in urine colle</w:instrText>
      </w:r>
      <w:r>
        <w:rPr>
          <w:color w:val="000000"/>
          <w:sz w:val="22"/>
          <w:szCs w:val="22"/>
        </w:rPr>
        <w:instrText xml:space="preserve">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 xml:space="preserve">variates. Results: There was no consistent pattern of association between log-</w:instrText>
      </w:r>
      <w:r>
        <w:rPr>
          <w:rFonts w:hint="eastAsia"/>
          <w:color w:val="000000"/>
          <w:sz w:val="22"/>
          <w:szCs w:val="22"/>
        </w:rPr>
        <w:instrText xml:space="preserve">∑</w:instrText>
      </w:r>
      <w:r>
        <w:rPr>
          <w:rFonts w:hint="eastAsia"/>
          <w:color w:val="000000"/>
          <w:sz w:val="22"/>
          <w:szCs w:val="22"/>
        </w:rPr>
        <w:instrText xml:space="preserve">DEP or </w:instrText>
      </w:r>
      <w:r>
        <w:rPr>
          <w:rFonts w:hint="eastAsia"/>
          <w:color w:val="000000"/>
          <w:sz w:val="22"/>
          <w:szCs w:val="22"/>
        </w:rPr>
        <w:instrText xml:space="preserve">∑</w:instrText>
      </w:r>
      <w:r>
        <w:rPr>
          <w:rFonts w:hint="eastAsia"/>
          <w:color w:val="000000"/>
          <w:sz w:val="22"/>
          <w:szCs w:val="22"/>
        </w:rPr>
        <w:instrText xml:space="preserve">DMP and performance-based assessments and parent CBQ and BRIEF measures. However, log-</w:instrText>
      </w:r>
      <w:r>
        <w:rPr>
          <w:rFonts w:hint="eastAsia"/>
          <w:color w:val="000000"/>
          <w:sz w:val="22"/>
          <w:szCs w:val="22"/>
        </w:rPr>
        <w:instrText xml:space="preserve">∑</w:instrText>
      </w:r>
      <w:r>
        <w:rPr>
          <w:rFonts w:hint="eastAsia"/>
          <w:color w:val="000000"/>
          <w:sz w:val="22"/>
          <w:szCs w:val="22"/>
        </w:rPr>
        <w:instrText xml:space="preserve">DMP was associated with more adverse scores on teacher BRIEF scales among prescho</w:instrText>
      </w:r>
      <w:r>
        <w:rPr>
          <w:color w:val="000000"/>
          <w:sz w:val="22"/>
          <w:szCs w:val="22"/>
        </w:rPr>
        <w:instrText xml:space="preserve">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 xml:space="preserve">β</w:instrText>
      </w:r>
      <w:r>
        <w:rPr>
          <w:rFonts w:hint="eastAsia"/>
          <w:color w:val="000000"/>
          <w:sz w:val="22"/>
          <w:szCs w:val="22"/>
        </w:rPr>
        <w:instrText xml:space="preserve">=-0.31, 95% CI: -0.68, 0.06; WM: </w:instrText>
      </w:r>
      <w:r>
        <w:rPr>
          <w:rFonts w:hint="eastAsia"/>
          <w:color w:val="000000"/>
          <w:sz w:val="22"/>
          <w:szCs w:val="22"/>
        </w:rPr>
        <w:instrText xml:space="preserve">β</w:instrText>
      </w:r>
      <w:r>
        <w:rPr>
          <w:rFonts w:hint="eastAsia"/>
          <w:color w:val="000000"/>
          <w:sz w:val="22"/>
          <w:szCs w:val="22"/>
        </w:rPr>
        <w:instrText xml:space="preserve">=-0.34, 95% CI: -0.68, 0.00). Conclusion: We found some evidence that prenatal log-</w:instrText>
      </w:r>
      <w:r>
        <w:rPr>
          <w:rFonts w:hint="eastAsia"/>
          <w:color w:val="000000"/>
          <w:sz w:val="22"/>
          <w:szCs w:val="22"/>
        </w:rPr>
        <w:instrText xml:space="preserve">∑</w:instrText>
      </w:r>
      <w:r>
        <w:rPr>
          <w:rFonts w:hint="eastAsia"/>
          <w:color w:val="000000"/>
          <w:sz w:val="22"/>
          <w:szCs w:val="22"/>
        </w:rPr>
        <w:instrText xml:space="preserve">DMP was associated with more adverse EF in a population experiencing primarily dietary exposure.","container-title":"ISEE Conference Ab</w:instrText>
      </w:r>
      <w:r>
        <w:rPr>
          <w:color w:val="000000"/>
          <w:sz w:val="22"/>
          <w:szCs w:val="22"/>
        </w:rPr>
        <w:instrText xml:space="preserve">stracts","DOI":"10.1289/isee.20</w:instrText>
      </w:r>
      <w:r>
        <w:rPr>
          <w:color w:val="000000"/>
          <w:sz w:val="22"/>
          <w:szCs w:val="22"/>
        </w:rPr>
        <w:instrText xml:space="preserve">20.virtual.P-0820","issue":"1","note":"publisher: Environmental Health Perspectives","source":"ehp.niehs.nih.gov (Atypon)","title":"Prenatal exposure to organophosphate pesticides and executive function in the Norwegian Mother, Father and Child Cohort","UR</w:instrText>
      </w:r>
      <w:r>
        <w:rPr>
          <w:color w:val="000000"/>
          <w:sz w:val="22"/>
          <w:szCs w:val="22"/>
        </w:rPr>
        <w:instrText xml:space="preserve">L":"https://ehp.niehs.nih.gov/doi/abs/10.1289/isee.2020.virtual.P-0820","volume":"2020","author":[{"family":"Thistle","given":"J.E."},{"family":"Roell","given":"K.R."},{"family":"Choi","given":"G."},{"family":"Villanger","given":"G.D."},{"family":"Drover",</w:instrText>
      </w:r>
      <w:r>
        <w:rPr>
          <w:color w:val="000000"/>
          <w:sz w:val="22"/>
          <w:szCs w:val="22"/>
        </w:rPr>
        <w:instrText xml:space="preserve">"given":"S.S."},{"family":"Sakhi","given":"A.K."},{"family":"Thomsen","given":"C."},{"family":"Zeiner","given":"P."},{"family":"Knudsen","given":"G."},{"family":"Reichborn-Kjennerud","given":"T."},{"family":"Øvergaard","given":"K.R."},{"family":"Herring","</w:instrText>
      </w:r>
      <w:r>
        <w:rPr>
          <w:color w:val="000000"/>
          <w:sz w:val="22"/>
          <w:szCs w:val="22"/>
        </w:rPr>
        <w:instrText xml:space="preserve">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xml:space="preserve">; Eskenazi et al., 2007</w:t>
      </w:r>
      <w:r>
        <w:rPr>
          <w:sz w:val="22"/>
        </w:rPr>
        <w:t xml:space="preserve">)</w:t>
      </w:r>
      <w:r>
        <w:rPr>
          <w:color w:val="000000"/>
          <w:sz w:val="22"/>
          <w:szCs w:val="22"/>
        </w:rPr>
        <w:fldChar w:fldCharType="end"/>
      </w:r>
      <w:r>
        <w:rPr>
          <w:color w:val="000000"/>
          <w:sz w:val="22"/>
          <w:szCs w:val="22"/>
        </w:rPr>
        <w:t xml:space="preserve">. Organophosphates can inhibit acetylcholinesterase (AChE) and impair neurobehavioral function, including attention, inhibitory control, and verbal function (</w:t>
      </w:r>
      <w:r>
        <w:rPr>
          <w:sz w:val="22"/>
        </w:rPr>
        <w:t xml:space="preserve">Eskenazi et al., 2007; Gunier et al., 2017; Butler-Dawson et al., 2016; Suarez-Lopez et al., 2013; Kofman et al., 2006; Wang et al., 2016</w:t>
      </w:r>
      <w:r>
        <w:rPr>
          <w:color w:val="000000"/>
          <w:sz w:val="22"/>
          <w:szCs w:val="22"/>
        </w:rPr>
        <w:t xml:space="preserve">)</w:t>
      </w:r>
      <w:r>
        <w:rPr>
          <w:sz w:val="22"/>
        </w:rPr>
        <w:t xml:space="preserve">)</w:t>
      </w:r>
      <w:r>
        <w:rPr>
          <w:color w:val="000000"/>
          <w:sz w:val="22"/>
          <w:szCs w:val="22"/>
        </w:rPr>
        <w:fldChar w:fldCharType="end"/>
      </w:r>
      <w:r>
        <w:rPr>
          <w:color w:val="000000"/>
          <w:sz w:val="22"/>
          <w:szCs w:val="22"/>
        </w:rPr>
        <w:t xml:space="preserve">.</w:t>
      </w:r>
      <w:r>
        <w:rPr>
          <w:color w:val="000000"/>
          <w:sz w:val="22"/>
          <w:szCs w:val="22"/>
        </w:rPr>
        <w:t xml:space="preserve"> </w:t>
      </w:r>
      <w:r>
        <w:rPr>
          <w:color w:val="000000"/>
          <w:sz w:val="22"/>
          <w:szCs w:val="22"/>
        </w:rPr>
        <w:t xml:space="preserve">Among children and adolescents, a systematic review reported evidence suggesting the association between pesticides exposure and autism spectrum disorder and </w:t>
      </w:r>
      <w:r>
        <w:rPr>
          <w:color w:val="000000"/>
          <w:sz w:val="22"/>
          <w:szCs w:val="22"/>
        </w:rPr>
        <w:t xml:space="preserve">attention deficit/hyperactivity disorder</w:t>
      </w:r>
      <w:r>
        <w:rPr>
          <w:color w:val="000000"/>
          <w:sz w:val="22"/>
          <w:szCs w:val="22"/>
        </w:rPr>
        <w:t xml:space="preserve"> </w:t>
      </w:r>
      <w:r>
        <w:rPr>
          <w:color w:val="000000"/>
          <w:sz w:val="22"/>
          <w:szCs w:val="22"/>
        </w:rPr>
        <w:t xml:space="preserve">(ADHD)</w:t>
      </w:r>
      <w:r>
        <w:rPr>
          <w:color w:val="000000"/>
          <w:sz w:val="22"/>
          <w:szCs w:val="22"/>
        </w:rPr>
        <w:t xml:space="preserve"> </w:t>
      </w:r>
      <w:r>
        <w:rPr>
          <w:color w:val="000000"/>
          <w:sz w:val="22"/>
          <w:szCs w:val="22"/>
        </w:rPr>
        <w:t xml:space="preserve">among children </w:t>
      </w:r>
      <w:r>
        <w:rPr>
          <w:color w:val="000000"/>
          <w:sz w:val="22"/>
          <w:szCs w:val="22"/>
        </w:rPr>
        <w:fldChar w:fldCharType="begin"/>
      </w:r>
      <w:r>
        <w:rPr>
          <w:color w:val="000000"/>
          <w:sz w:val="22"/>
          <w:szCs w:val="22"/>
        </w:rPr>
        <w:instrText xml:space="preserve"> ADDIN ZOTERO_ITEM CSL_CITATION {"citationID":"3lZcr2lY","properties":{"formattedCitation":"(Tessari et al., 2022)","plainCitation":"(Tessa</w:instrText>
      </w:r>
      <w:r>
        <w:rPr>
          <w:color w:val="000000"/>
          <w:sz w:val="22"/>
          <w:szCs w:val="22"/>
        </w:rPr>
        <w:instrText xml:space="preserve">ri et al., 2022)","noteIndex":0},"citationItems":[{"id":4753,"uris":["http://zotero.org/users/5127433/items/VJM3MF5D"],"itemData":{"id":4753,"type":"article-journal","abstract":"Objective:To conduct a systematic review of studies assessing the relationship</w:instrText>
      </w:r>
      <w:r>
        <w:rPr>
          <w:color w:val="000000"/>
          <w:sz w:val="22"/>
          <w:szCs w:val="22"/>
        </w:rPr>
        <w:instrText xml:space="preserve"> between exposure to pesticides and ADHD or Autism Spectrum Disorder (ASD).Methods:Based on a pre-registered protocol in PROPSERO (CRD42018107847), we searched PubMed, Ovid databases, and ISI Web of Knowledge with no date/language/document type restriction</w:instrText>
      </w:r>
      <w:r>
        <w:rPr>
          <w:color w:val="000000"/>
          <w:sz w:val="22"/>
          <w:szCs w:val="22"/>
        </w:rPr>
        <w:instrText xml:space="preserve">s, up to May 2019. The Newcastle Ottawa Scale was used to assess study quality.Results:Among the 29 retained studies, 13 focused on ADHD, 14 on ASD, and two on both disorders. Ten studies reported a significant association between exposure to pesticides an</w:instrText>
      </w:r>
      <w:r>
        <w:rPr>
          <w:color w:val="000000"/>
          <w:sz w:val="22"/>
          <w:szCs w:val="22"/>
        </w:rPr>
        <w:instrText xml:space="preserve">d ADHD/ADHD symptoms and 12 studies found a significant association with ASD/ASD traits. The strengths of the association and the possible confounders controlled for varied substantially across studies.Conclusion:Whilst there is some evidence suggesting a </w:instrText>
      </w:r>
      <w:r>
        <w:rPr>
          <w:color w:val="000000"/>
          <w:sz w:val="22"/>
          <w:szCs w:val="22"/>
        </w:rPr>
        <w:instrText xml:space="preserve">possible link between pesticides and ADHD/ASD, heterogeneity across studies prevents firm conclusions. We provide methodological indications for future studies.","container-title":"Journal of Attention Disorders","DOI":"10.1177/1087054720940402","ISSN":"10</w:instrText>
      </w:r>
      <w:r>
        <w:rPr>
          <w:color w:val="000000"/>
          <w:sz w:val="22"/>
          <w:szCs w:val="22"/>
        </w:rPr>
        <w:instrText xml:space="preserve">87-0547","issue":"1","journalAbbreviation":"J Atten Disord","language":"en","note":"publisher: SAGE Publications Inc","page":"48-71","source":"SAGE Journals","title":"Association Between Exposure to Pesticides and ADHD or Autism Spectrum Disorder: A System</w:instrText>
      </w:r>
      <w:r>
        <w:rPr>
          <w:color w:val="000000"/>
          <w:sz w:val="22"/>
          <w:szCs w:val="22"/>
        </w:rPr>
        <w:instrText xml:space="preserve">atic Review of the Literature","title-short":"Association Between Exposure to Pesticides and ADHD or Autism Spectrum Disorder","volume":"26","author":[{"family":"Tessari","given":"Luca"},{"family":"Angriman","given":"Marco"},{"family":"Díaz-Román","given":</w:instrText>
      </w:r>
      <w:r>
        <w:rPr>
          <w:color w:val="000000"/>
          <w:sz w:val="22"/>
          <w:szCs w:val="22"/>
        </w:rPr>
        <w:instrText xml:space="preserve">"Amparo"},{"family":"Zhang","given":"Junhua"},{"family":"Conca","given":"Andreas"},{"family":"Cortese","given":"Samuele"}],"issued":{"date-parts":[["2022",1,1]]}}}],"schema":"https://github.com/citation-style-language/schema/raw/master/csl-citation.json"} </w:instrText>
      </w:r>
      <w:r>
        <w:rPr>
          <w:color w:val="000000"/>
          <w:sz w:val="22"/>
          <w:szCs w:val="22"/>
        </w:rPr>
        <w:fldChar w:fldCharType="separate"/>
      </w:r>
      <w:r>
        <w:rPr>
          <w:sz w:val="22"/>
        </w:rPr>
        <w:t xml:space="preserve">(Tessari et al., 2022)</w:t>
      </w:r>
      <w:r>
        <w:rPr>
          <w:color w:val="000000"/>
          <w:sz w:val="22"/>
          <w:szCs w:val="22"/>
        </w:rPr>
        <w:fldChar w:fldCharType="end"/>
      </w:r>
      <w:r>
        <w:rPr>
          <w:color w:val="000000"/>
          <w:sz w:val="22"/>
          <w:szCs w:val="22"/>
        </w:rPr>
        <w:t xml:space="preserve">. </w:t>
      </w:r>
      <w:r>
        <w:rPr>
          <w:color w:val="000000"/>
          <w:sz w:val="22"/>
          <w:szCs w:val="22"/>
        </w:rPr>
        <w:t xml:space="preserve">Available literature studying the association between </w:t>
      </w:r>
      <w:r>
        <w:rPr>
          <w:color w:val="000000"/>
          <w:sz w:val="22"/>
          <w:szCs w:val="22"/>
        </w:rPr>
        <w:t xml:space="preserve">insecticide </w:t>
      </w:r>
      <w:r>
        <w:rPr>
          <w:color w:val="000000"/>
          <w:sz w:val="22"/>
          <w:szCs w:val="22"/>
        </w:rPr>
        <w:t xml:space="preserve">exposure on child neurodevelopment suggest</w:t>
      </w:r>
      <w:r>
        <w:rPr>
          <w:color w:val="000000"/>
          <w:sz w:val="22"/>
          <w:szCs w:val="22"/>
        </w:rPr>
        <w:t xml:space="preserve">s</w:t>
      </w:r>
      <w:r>
        <w:rPr>
          <w:color w:val="000000"/>
          <w:sz w:val="22"/>
          <w:szCs w:val="22"/>
        </w:rPr>
        <w:t xml:space="preserve"> that prenatal exposure is linked with neurodevelopmental disorders, </w:t>
      </w:r>
      <w:r>
        <w:rPr>
          <w:color w:val="000000"/>
          <w:sz w:val="22"/>
          <w:szCs w:val="22"/>
        </w:rPr>
        <w:t xml:space="preserve">including, reduced IQ, increased rates of attention deficit hyperactivity disorder, autism, and youth reported hyperactivity and inattention (Hyland et al., 2022; </w:t>
      </w:r>
      <w:r>
        <w:rPr>
          <w:sz w:val="22"/>
        </w:rPr>
        <w:t xml:space="preserve">Sagiv</w:t>
      </w:r>
      <w:r>
        <w:rPr>
          <w:sz w:val="22"/>
        </w:rPr>
        <w:t xml:space="preserve"> et al., 2018; Richardson et al., 2015;</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{"citationID":"edAxkgY6","properties":{"formattedCitation":"(Es</w:instrText>
      </w:r>
      <w:r>
        <w:rPr>
          <w:color w:val="000000"/>
          <w:sz w:val="22"/>
          <w:szCs w:val="22"/>
        </w:rPr>
        <w:instrText xml:space="preserve">kenazi et al., 2007; Sapbamrer &amp; Hongsibsong, 2019)","plainCitation":"(Eskenazi et al., 2007; Sapbamrer &amp; Hongsibsong, 2019)","noteIndex":0},"citationItems":[{"id":4678,"uris":["http://zotero.org/users/5127433/items/Z6AEBYRE"],"itemData":{"id":4678,"type":</w:instrText>
      </w:r>
      <w:r>
        <w:rPr>
          <w:color w:val="000000"/>
          <w:sz w:val="22"/>
          <w:szCs w:val="22"/>
        </w:rPr>
        <w:instrText xml:space="preserve">"article-journal","abstract":"BackgroundOrganophosphate (OP) pesticides are widely used in agriculture and homes. Animal studies suggest that even moderate doses are neurodevelopmental toxicants, but there are few studies in humans.ObjectivesWe investigate</w:instrText>
      </w:r>
      <w:r>
        <w:rPr>
          <w:color w:val="000000"/>
          <w:sz w:val="22"/>
          <w:szCs w:val="22"/>
        </w:rPr>
        <w:instrText xml:space="preserve">d the relationship of prenatal and child OP urinary metabolite levels with children’s neurodevelopment.MethodsParticipating children were from a longitudinal birth cohort of primarily Latino farm-worker families in California. We measured six nonspecific d</w:instrText>
      </w:r>
      <w:r>
        <w:rPr>
          <w:color w:val="000000"/>
          <w:sz w:val="22"/>
          <w:szCs w:val="22"/>
        </w:rPr>
        <w:instrText xml:space="preserve">ialkylphosphate (DAP) metabolites in maternal and child urine as well as metabolites specific to malathion (MDA) and chlorpyrifos (TCPy) in maternal urine. We examined their association with children’s performance at 6 (n = 396), 12 (n = 395), and 24 (n = </w:instrText>
      </w:r>
      <w:r>
        <w:rPr>
          <w:color w:val="000000"/>
          <w:sz w:val="22"/>
          <w:szCs w:val="22"/>
        </w:rPr>
        <w:instrText xml:space="preserve">372) months of age on the Bayley Scales of Infant Development [Mental Development (MDI) and Psychomotor Development (PDI) Indices] and mother’s report on the Child Behavior Checklist (CBCL) (n = 356).ResultsGenerally, pregnancy DAP levels were negatively a</w:instrText>
      </w:r>
      <w:r>
        <w:rPr>
          <w:color w:val="000000"/>
          <w:sz w:val="22"/>
          <w:szCs w:val="22"/>
        </w:rPr>
        <w:instrText xml:space="preserve">ssociated with MDI, but child measures were positively associated. At 24 months of age, these associations reached statistical significance [per 10-fold increase in prenatal DAPs: β = −3.5 points; 95% confidence interval (CI), −6.6 to −0.5; child DAPs: β =</w:instrText>
      </w:r>
      <w:r>
        <w:rPr>
          <w:color w:val="000000"/>
          <w:sz w:val="22"/>
          <w:szCs w:val="22"/>
        </w:rPr>
        <w:instrText xml:space="preserve"> 2.4 points; 95% CI, 0.5 to 4.2]. Neither prenatal nor child DAPs were associated with PDI or CBCL attention problems, but both prenatal and postnatal DAPs were associated with risk of pervasive developmental disorder [per 10-fold increase in prenatal DAPs</w:instrText>
      </w:r>
      <w:r>
        <w:rPr>
          <w:color w:val="000000"/>
          <w:sz w:val="22"/>
          <w:szCs w:val="22"/>
        </w:rPr>
        <w:instrText xml:space="preserve">: odds ratio (OR) = 2.3, p = 0.05; child DAPs OR = 1.7, p = 0.04]. MDA and TCPy were not associated with any outcome.ConclusionsWe report adverse associations of prenatal DAPs with mental development and pervasive developmental problems at 24 months of age</w:instrText>
      </w:r>
      <w:r>
        <w:rPr>
          <w:color w:val="000000"/>
          <w:sz w:val="22"/>
          <w:szCs w:val="22"/>
        </w:rPr>
        <w:instrText xml:space="preserve">. Results should be interpreted with caution given the observed positive relationship with postnatal DAPs.","container-title":"Environmental Health Perspectives","DOI":"10.1289/ehp.9828","issue":"5","note":"publisher: Environmental Health Perspectives","pa</w:instrText>
      </w:r>
      <w:r>
        <w:rPr>
          <w:color w:val="000000"/>
          <w:sz w:val="22"/>
          <w:szCs w:val="22"/>
        </w:rPr>
        <w:instrText xml:space="preserve">ge":"792-798","source":"ehp.niehs.nih.gov (Atypon)","title":"Organophosphate Pesticide Exposure and Neurodevelopment in Young Mexican-American Children","volume":"115","author":[{"family":"Eskenazi","given":"Brenda"},{"family":"Marks","given":"Amy R."},{"f</w:instrText>
      </w:r>
      <w:r>
        <w:rPr>
          <w:color w:val="000000"/>
          <w:sz w:val="22"/>
          <w:szCs w:val="22"/>
        </w:rPr>
        <w:instrText xml:space="preserve">amily":"Bradman","given":"Asa"},{"family":"Harley","given":"Kim"},{"family":"Barr","given":"Dana B."},{"family":"Johnson","given":"Caroline"},{"family":"Morga","given":"Norma"},{"family":"Jewell","given":"Nicholas P."}],"issued":{"date-parts":[["2007",5]]}</w:instrText>
      </w:r>
      <w:r>
        <w:rPr>
          <w:color w:val="000000"/>
          <w:sz w:val="22"/>
          <w:szCs w:val="22"/>
        </w:rPr>
        <w:instrText xml:space="preserve">}},{"id":4716,"uris":["http://zotero.org/users/5127433/items/9IY7J5XC"],"itemData":{"id":4716,"type":"article-journal","abstract":"Exposure to pesticides is a major factor in the cause of dysfunction in the nervous system and neurodevelopment disorders in </w:instrText>
      </w:r>
      <w:r>
        <w:rPr>
          <w:color w:val="000000"/>
          <w:sz w:val="22"/>
          <w:szCs w:val="22"/>
        </w:rPr>
        <w:instrText xml:space="preserve">children at critical periods of great vulnerability. The aim of this study was to review scientific evidence published on neurodevelopmental effects of prenatal and postnatal exposure to organophosphate pesticides (OPs) in different stages, including neona</w:instrText>
      </w:r>
      <w:r>
        <w:rPr>
          <w:color w:val="000000"/>
          <w:sz w:val="22"/>
          <w:szCs w:val="22"/>
        </w:rPr>
        <w:instrText xml:space="preserve">tes, infants, toddlers, preschool children, and school-age children. Full-text articles published in PubMed, Scopus, and ISI databases between 1973 and 2019 were reviewed and the scientific evidence was evaluated. Results: Fifty studies were eligible for i</w:instrText>
      </w:r>
      <w:r>
        <w:rPr>
          <w:color w:val="000000"/>
          <w:sz w:val="22"/>
          <w:szCs w:val="22"/>
        </w:rPr>
        <w:instrText xml:space="preserve">nclusion in this quantitative synthesis. Fifteen of these papers evaluated the effects on neonates and infants, 18 on the effects on toddlers and preschool children, and 24 the effects on school-age children. Considerable evidence suggests that prenatal ex</w:instrText>
      </w:r>
      <w:r>
        <w:rPr>
          <w:color w:val="000000"/>
          <w:sz w:val="22"/>
          <w:szCs w:val="22"/>
        </w:rPr>
        <w:instrText xml:space="preserve">posure to OPs contributes to child neurodevelopment disorders in all stages, whereas data about the effects of postnatal exposure are limited. Therefore, the available evidence supports the theory that sensitive time-windows occur prenatally rather than po</w:instrText>
      </w:r>
      <w:r>
        <w:rPr>
          <w:color w:val="000000"/>
          <w:sz w:val="22"/>
          <w:szCs w:val="22"/>
        </w:rPr>
        <w:instrText xml:space="preserve">stnatally. Although 45 out of the total 50 selected articles found an association between OP exposure and child neurodevelopment, some of the evidence is controversial. A standardized methodology is needed to enable the comparison of the results in several</w:instrText>
      </w:r>
      <w:r>
        <w:rPr>
          <w:color w:val="000000"/>
          <w:sz w:val="22"/>
          <w:szCs w:val="22"/>
        </w:rPr>
        <w:instrText xml:space="preserve"> studies, and further research studies are needed to warrant firmer conclusions. A systematic review of this evidence should be performed continuously to update the state of knowledge regarding neurodevelopmental effects associated with OP exposure.","cont</w:instrText>
      </w:r>
      <w:r>
        <w:rPr>
          <w:color w:val="000000"/>
          <w:sz w:val="22"/>
          <w:szCs w:val="22"/>
        </w:rPr>
        <w:instrText xml:space="preserve">ainer-title":"Environmental Science and Pollution Research","DOI":"10.1007/s11356-019-05126-w","ISSN":"1614-7499","issue":"18","journalAbbreviation":"Environ Sci Pollut Res","language":"en","page":"18267-18290","source":"Springer Link","title":"Effects of </w:instrText>
      </w:r>
      <w:r>
        <w:rPr>
          <w:color w:val="000000"/>
          <w:sz w:val="22"/>
          <w:szCs w:val="22"/>
        </w:rPr>
        <w:instrText xml:space="preserve">prenatal and postnatal exposure to organophosphate pesticides on child neurodevelopment in different age groups: a systematic review","title-short":"Effects of prenatal and postnatal exposure to organophosphate pesticides on child neurodevelopment in diffe</w:instrText>
      </w:r>
      <w:r>
        <w:rPr>
          <w:color w:val="000000"/>
          <w:sz w:val="22"/>
          <w:szCs w:val="22"/>
        </w:rPr>
        <w:instrText xml:space="preserve">rent age groups","volume":"26","author":[{"family":"Sapbamrer","given":"Ratana"},{"family":"Hongsibsong","given":"Surat"}],"issued":{"date-parts":[["2019",6,1]]}}}],"schema":"https://github.com/citation-style-language/schema/raw/master/csl-citation.json"} </w:instrText>
      </w:r>
      <w:r>
        <w:rPr>
          <w:color w:val="000000"/>
          <w:sz w:val="22"/>
          <w:szCs w:val="22"/>
        </w:rPr>
        <w:fldChar w:fldCharType="separate"/>
      </w:r>
      <w:r>
        <w:rPr>
          <w:sz w:val="22"/>
        </w:rPr>
        <w:t xml:space="preserve">Eskenazi et al., 2007; Sapbamrer &amp; Hongsibsong, 2019)</w:t>
      </w:r>
      <w:r>
        <w:rPr>
          <w:color w:val="000000"/>
          <w:sz w:val="22"/>
          <w:szCs w:val="22"/>
        </w:rPr>
        <w:fldChar w:fldCharType="end"/>
      </w:r>
      <w:r>
        <w:rPr>
          <w:color w:val="000000"/>
          <w:sz w:val="22"/>
          <w:szCs w:val="22"/>
        </w:rPr>
        <w:t xml:space="preserve">. While </w:t>
      </w:r>
      <w:r>
        <w:rPr>
          <w:color w:val="000000"/>
          <w:sz w:val="22"/>
          <w:szCs w:val="22"/>
        </w:rPr>
        <w:t xml:space="preserve">evidence in postnatal exposure is limited</w:t>
      </w:r>
      <w:r>
        <w:rPr>
          <w:color w:val="000000"/>
          <w:sz w:val="22"/>
          <w:szCs w:val="22"/>
        </w:rPr>
        <w:t xml:space="preserve">, insecticide exposure documented by presence of urinary insecticide metabolites in children has been found to be associated with ADHD, memory, and attention and inhibitory control (Lee et al., 2020; </w:t>
      </w:r>
      <w:r>
        <w:rPr>
          <w:sz w:val="22"/>
        </w:rPr>
        <w:t xml:space="preserve">Sapbamrer</w:t>
      </w:r>
      <w:r>
        <w:rPr>
          <w:sz w:val="22"/>
        </w:rPr>
        <w:t xml:space="preserve"> et al., </w:t>
      </w:r>
      <w:r>
        <w:rPr>
          <w:sz w:val="22"/>
        </w:rPr>
        <w:t xml:space="preserve">2019</w:t>
      </w:r>
      <w:r>
        <w:rPr>
          <w:color w:val="000000"/>
          <w:sz w:val="22"/>
          <w:szCs w:val="22"/>
        </w:rPr>
        <w:t xml:space="preserve">; </w:t>
      </w:r>
      <w:r>
        <w:rPr>
          <w:color w:val="000000"/>
          <w:sz w:val="22"/>
          <w:szCs w:val="22"/>
        </w:rPr>
        <w:fldChar w:fldCharType="begin"/>
      </w:r>
      <w:r>
        <w:rPr>
          <w:color w:val="000000"/>
          <w:sz w:val="22"/>
          <w:szCs w:val="22"/>
        </w:rPr>
        <w:instrText xml:space="preserve"> ADDIN ZOTERO_ITEM CSL</w:instrText>
      </w:r>
      <w:r>
        <w:rPr>
          <w:color w:val="000000"/>
          <w:sz w:val="22"/>
          <w:szCs w:val="22"/>
        </w:rPr>
        <w:instrText xml:space="preserve">_CITATION {"citationID":"pTmVln5d","properties":{"formattedCitation":"(Reed et al., 2023)","plainCitation":"(Reed et al., 2023)","noteIndex":0},"citationItems":[{"id":4765,"uris":["http://zotero.org/users/5127433/items/C8UQ5PWT"],"itemData":{"id":4765,"typ</w:instrText>
      </w:r>
      <w:r>
        <w:rPr>
          <w:color w:val="000000"/>
          <w:sz w:val="22"/>
          <w:szCs w:val="22"/>
        </w:rPr>
        <w:instrText xml:space="preserve">e":"article-journal","abstract":"Pesticides are highly tested and regulated chemicals. There is currently great interest in the role that pesticides may play in childhood neurodevelopment. The objective was to identify and describe the body of evidence and</w:instrText>
      </w:r>
      <w:r>
        <w:rPr>
          <w:color w:val="000000"/>
          <w:sz w:val="22"/>
          <w:szCs w:val="22"/>
        </w:rPr>
        <w:instrText xml:space="preserve"> to assess the ability to synthesize effect estimates. The epidemiologic literature from 2011 to 2022 was searched for publications on the association between pesticide exposure and neurodevelopment, behavior, and/or cognition in children. We identified 11</w:instrText>
      </w:r>
      <w:r>
        <w:rPr>
          <w:color w:val="000000"/>
          <w:sz w:val="22"/>
          <w:szCs w:val="22"/>
        </w:rPr>
        <w:instrText xml:space="preserve">4 publications, representing 67 unique studies. While organochlorine and other insecticides were the most common classes of pesticides studied, up to 159 different metabolites or active ingredients were reported. Nine pesticides or their metabolites were r</w:instrText>
      </w:r>
      <w:r>
        <w:rPr>
          <w:color w:val="000000"/>
          <w:sz w:val="22"/>
          <w:szCs w:val="22"/>
        </w:rPr>
        <w:instrText xml:space="preserve">eported in &gt;10 publications. Similarly, multiple assessment methods were administered across studies to evaluate outcomes in neurodevelopment at ages which ranged from birth to 18 years of age. This scoping review reveals the heterogeneity among published </w:instrText>
      </w:r>
      <w:r>
        <w:rPr>
          <w:color w:val="000000"/>
          <w:sz w:val="22"/>
          <w:szCs w:val="22"/>
        </w:rPr>
        <w:instrText xml:space="preserve">studies with respect to exposures and health outcomes, in the methods used to assess and classify them, and in combinations of the two. This limits the adequacy of the evidence to evaluate specific risk estimates for a particular exposure-outcome pair. Int</w:instrText>
      </w:r>
      <w:r>
        <w:rPr>
          <w:color w:val="000000"/>
          <w:sz w:val="22"/>
          <w:szCs w:val="22"/>
        </w:rPr>
        <w:instrText xml:space="preserve">entional coordination among researchers to increase consistency in methodologies would facilitate the synthesis of results across studies. Research opportunities also exist to validate assumptions in exposure and outcome assessment which are implicit in ma</w:instrText>
      </w:r>
      <w:r>
        <w:rPr>
          <w:color w:val="000000"/>
          <w:sz w:val="22"/>
          <w:szCs w:val="22"/>
        </w:rPr>
        <w:instrText xml:space="preserve">ny of the studies reviewed. In conclusion, there are many ongoing epidemiologic studies with a focus on pesticides and neurodevelopment. The variety of exposures, exposure assessment methods and tests for each outcome can be overwhelming. Interdisciplinary</w:instrText>
      </w:r>
      <w:r>
        <w:rPr>
          <w:color w:val="000000"/>
          <w:sz w:val="22"/>
          <w:szCs w:val="22"/>
        </w:rPr>
        <w:instrText xml:space="preserve"> collaboration is recommended to harmonize data collection and to enable meaningful interpretation of the study results across populations.","container-title":"Global Epidemiology","DOI":"10.1016/j.gloepi.2023.100121","ISSN":"2590-1133","journalAbbreviatio</w:instrText>
      </w:r>
      <w:r>
        <w:rPr>
          <w:color w:val="000000"/>
          <w:sz w:val="22"/>
          <w:szCs w:val="22"/>
        </w:rPr>
        <w:instrText xml:space="preserve">n":"Global Epidemiology","page":"100121","source":"ScienceDirect","title":"Literature landscape of neurodevelopment and pesticides: A scoping review of methodologies","title-short":"Literature landscape of neurodevelopment and pesticides","volume":"6","aut</w:instrText>
      </w:r>
      <w:r>
        <w:rPr>
          <w:color w:val="000000"/>
          <w:sz w:val="22"/>
          <w:szCs w:val="22"/>
        </w:rPr>
        <w:instrText xml:space="preserve">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 xml:space="preserve">Reed et al., 2023)</w:t>
      </w:r>
      <w:r>
        <w:rPr>
          <w:color w:val="000000"/>
          <w:sz w:val="22"/>
          <w:szCs w:val="22"/>
        </w:rPr>
        <w:fldChar w:fldCharType="end"/>
      </w:r>
      <w:r>
        <w:rPr>
          <w:color w:val="000000"/>
          <w:sz w:val="22"/>
          <w:szCs w:val="22"/>
        </w:rPr>
        <w:t xml:space="preserve">. </w:t>
      </w:r>
      <w:r>
        <w:rPr>
          <w:color w:val="000000"/>
          <w:sz w:val="22"/>
          <w:szCs w:val="22"/>
        </w:rPr>
        <w:t xml:space="preserve">Our research suggests that proximity to pesticide spray sites where intense </w:t>
      </w:r>
      <w:r>
        <w:rPr>
          <w:color w:val="000000"/>
          <w:sz w:val="22"/>
          <w:szCs w:val="22"/>
        </w:rPr>
        <w:t xml:space="preserve">pesticide application regularly occurs, is associated with reduced memory, attention and inhibition control, and increased impulsivity, </w:t>
      </w:r>
      <w:r>
        <w:rPr>
          <w:color w:val="000000"/>
          <w:sz w:val="22"/>
          <w:szCs w:val="22"/>
        </w:rPr>
        <w:t xml:space="preserve">difficulties understanding complex verbal instructions</w:t>
      </w:r>
      <w:r>
        <w:rPr>
          <w:color w:val="000000"/>
          <w:sz w:val="22"/>
          <w:szCs w:val="22"/>
        </w:rPr>
        <w:t xml:space="preserve">, and </w:t>
      </w:r>
      <w:r>
        <w:rPr>
          <w:color w:val="000000"/>
          <w:sz w:val="22"/>
          <w:szCs w:val="22"/>
        </w:rPr>
        <w:t xml:space="preserve">challenges with verbal-visual learning</w:t>
      </w:r>
      <w:r>
        <w:rPr>
          <w:color w:val="000000"/>
          <w:sz w:val="22"/>
          <w:szCs w:val="22"/>
        </w:rPr>
        <w:t xml:space="preserve"> among adolescents.</w:t>
      </w:r>
      <w:r>
        <w:rPr>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E</w:t>
      </w:r>
      <w:r>
        <w:rPr>
          <w:color w:val="000000"/>
          <w:sz w:val="22"/>
          <w:szCs w:val="22"/>
        </w:rPr>
        <w:t xml:space="preserve">xisting literature using NEPSY-</w:t>
      </w:r>
      <w:r>
        <w:rPr>
          <w:color w:val="000000"/>
          <w:sz w:val="22"/>
          <w:szCs w:val="22"/>
        </w:rPr>
        <w:t xml:space="preserve">II</w:t>
      </w:r>
      <w:r>
        <w:rPr>
          <w:color w:val="000000"/>
          <w:sz w:val="22"/>
          <w:szCs w:val="22"/>
        </w:rPr>
        <w:t xml:space="preserve"> is limited to two cohort studies, ESPINA—the parent research of this study in Ecuador, and CHAMACOS—among </w:t>
      </w:r>
      <w:r>
        <w:rPr>
          <w:color w:val="000000"/>
          <w:sz w:val="22"/>
          <w:szCs w:val="22"/>
        </w:rPr>
        <w:t xml:space="preserve">Mexican Americans</w:t>
      </w:r>
      <w:r>
        <w:rPr>
          <w:color w:val="000000"/>
          <w:sz w:val="22"/>
          <w:szCs w:val="22"/>
        </w:rPr>
        <w:t xml:space="preserve"> in California.</w:t>
      </w:r>
      <w:r>
        <w:rPr>
          <w:color w:val="000000"/>
          <w:sz w:val="22"/>
          <w:szCs w:val="22"/>
        </w:rPr>
        <w:t xml:space="preserve"> </w:t>
      </w:r>
      <w:r>
        <w:rPr>
          <w:color w:val="000000"/>
          <w:sz w:val="22"/>
          <w:szCs w:val="22"/>
        </w:rPr>
        <w:t xml:space="preserve">Among 519 adolescents (age 11-17 years) in the same study population (ESPINA), urinary concentration of 2,4-D and glyphosate were associated with low NEPSY-II scores (average domain score between 7.0 and 8.7 points) in the same subdomains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w:t>
      </w:r>
      <w:r>
        <w:rPr>
          <w:color w:val="000000"/>
          <w:sz w:val="22"/>
          <w:szCs w:val="22"/>
        </w:rPr>
        <w:t xml:space="preserve">ory Control</w:t>
      </w:r>
      <w:r>
        <w:rPr>
          <w:color w:val="000000"/>
          <w:sz w:val="22"/>
          <w:szCs w:val="22"/>
        </w:rPr>
        <w:t xml:space="preserve">, </w:t>
      </w:r>
      <w:r>
        <w:rPr>
          <w:color w:val="000000"/>
          <w:sz w:val="22"/>
          <w:szCs w:val="22"/>
        </w:rPr>
        <w:t xml:space="preserve">L</w:t>
      </w:r>
      <w:r>
        <w:rPr>
          <w:color w:val="000000"/>
          <w:sz w:val="22"/>
          <w:szCs w:val="22"/>
        </w:rPr>
        <w:t xml:space="preserve">anguage, and </w:t>
      </w:r>
      <w:r>
        <w:rPr>
          <w:color w:val="000000"/>
          <w:sz w:val="22"/>
          <w:szCs w:val="22"/>
        </w:rPr>
        <w:t xml:space="preserve">M</w:t>
      </w:r>
      <w:r>
        <w:rPr>
          <w:color w:val="000000"/>
          <w:sz w:val="22"/>
          <w:szCs w:val="22"/>
        </w:rPr>
        <w:t xml:space="preserve">emory/</w:t>
      </w:r>
      <w:r>
        <w:rPr>
          <w:color w:val="000000"/>
          <w:sz w:val="22"/>
          <w:szCs w:val="22"/>
        </w:rPr>
        <w:t xml:space="preserve">L</w:t>
      </w:r>
      <w:r>
        <w:rPr>
          <w:color w:val="000000"/>
          <w:sz w:val="22"/>
          <w:szCs w:val="22"/>
        </w:rPr>
        <w:t xml:space="preserve">earning) and the </w:t>
      </w:r>
      <w:r>
        <w:rPr>
          <w:color w:val="000000"/>
          <w:sz w:val="22"/>
          <w:szCs w:val="22"/>
        </w:rPr>
        <w:t xml:space="preserve">V</w:t>
      </w:r>
      <w:r>
        <w:rPr>
          <w:color w:val="000000"/>
          <w:sz w:val="22"/>
          <w:szCs w:val="22"/>
        </w:rPr>
        <w:t xml:space="preserve">isuospatial </w:t>
      </w:r>
      <w:r>
        <w:rPr>
          <w:color w:val="000000"/>
          <w:sz w:val="22"/>
          <w:szCs w:val="22"/>
        </w:rPr>
        <w:t xml:space="preserve">Processing </w:t>
      </w:r>
      <w:r>
        <w:rPr>
          <w:color w:val="000000"/>
          <w:sz w:val="22"/>
          <w:szCs w:val="22"/>
        </w:rPr>
        <w:t xml:space="preserve">subdomain as well </w:t>
      </w:r>
      <w:r>
        <w:rPr>
          <w:color w:val="000000"/>
          <w:sz w:val="22"/>
          <w:szCs w:val="22"/>
        </w:rPr>
        <w:fldChar w:fldCharType="begin"/>
      </w:r>
      <w:r>
        <w:rPr>
          <w:color w:val="000000"/>
          <w:sz w:val="22"/>
          <w:szCs w:val="22"/>
        </w:rPr>
        <w:instrText xml:space="preserve"> ADDIN ZOTERO_ITEM CSL_CITATION {"citationID":"JeFrk5Yd","pro</w:instrText>
      </w:r>
      <w:r>
        <w:rPr>
          <w:color w:val="000000"/>
          <w:sz w:val="22"/>
          <w:szCs w:val="22"/>
        </w:rPr>
        <w:instrText xml:space="preserve">perties":{"formattedCitation":"(Chronister et al., 2023)","plainCitation":"(Chronister et al., 2023)","noteIndex":0},"citationItems":[{"id":4760,"uris":["http://zotero.org/users/5127433/items/GWMFURYA"],"itemData":{"id":4760,"type":"article-journal","abstr</w:instrText>
      </w:r>
      <w:r>
        <w:rPr>
          <w:color w:val="000000"/>
          <w:sz w:val="22"/>
          <w:szCs w:val="22"/>
        </w:rPr>
        <w:instrText xml:space="preserve">act":"Background:Herbicides are the most used class of pesticides worldwide, and insect repellents are widely used globally. Yet, there is a dearth of studies characterizing the associations between these chemical groups and human neurobehavior. Experiment</w:instrText>
      </w:r>
      <w:r>
        <w:rPr>
          <w:color w:val="000000"/>
          <w:sz w:val="22"/>
          <w:szCs w:val="22"/>
        </w:rPr>
        <w:instrText xml:space="preserve">al studies suggest that glyphosate and 2,4-dichlorophenoxyacetic acid (2,4-D) herbicides can affect neurobehavior and the cholinergic and glutamatergic pathways in the brain. We aim to assess whether herbicides and insect repellents are associated with neu</w:instrText>
      </w:r>
      <w:r>
        <w:rPr>
          <w:color w:val="000000"/>
          <w:sz w:val="22"/>
          <w:szCs w:val="22"/>
        </w:rPr>
        <w:instrText xml:space="preserve">robehavioral performance in adolescents.Methods:We assessed 519 participants (11–17 years of age) living in agricultural communities in Ecuador. We quantified urinary concentrations of glyphosate, 2,4-D, and two N,N-diethyl-meta-toluamide (DEET) insect rep</w:instrText>
      </w:r>
      <w:r>
        <w:rPr>
          <w:color w:val="000000"/>
          <w:sz w:val="22"/>
          <w:szCs w:val="22"/>
        </w:rPr>
        <w:instrText xml:space="preserve">ellent metabolites [3-(diethylcarbamoyl)benzoic acid (DCBA) and 3-(ethylcarbamoyl)benzoic acid (ECBA)] using isotope-dilution mass spectrometry. We assessed neurobehavioral performance using 9 subtests across 5 domains (attention/inhibitory control, memory</w:instrText>
      </w:r>
      <w:r>
        <w:rPr>
          <w:color w:val="000000"/>
          <w:sz w:val="22"/>
          <w:szCs w:val="22"/>
        </w:rPr>
        <w:instrText xml:space="preserve">/learning, language, visuospatial processing, and social perception). We characterized the associations using generalized estimating equations and multiple imputation for metabolites below detection limits. Models were adjusted for demographic and anthropo</w:instrText>
      </w:r>
      <w:r>
        <w:rPr>
          <w:color w:val="000000"/>
          <w:sz w:val="22"/>
          <w:szCs w:val="22"/>
        </w:rPr>
        <w:instrText xml:space="preserve">metric characteristics, urinary creatinine, and sexual maturation. Mediation by salivary cortisol, dehydroepiandrosterone, 17⁢β-estradiol, and testosterone was assessed using structural equation modeling.Results:The mean of each neurobehavioral domain scor</w:instrText>
      </w:r>
      <w:r>
        <w:rPr>
          <w:color w:val="000000"/>
          <w:sz w:val="22"/>
          <w:szCs w:val="22"/>
        </w:rPr>
        <w:instrText xml:space="preserve">e was between 7.0 and 8.7 [standard deviation (SD) range: 2.0–2.3]. Glyphosate was detected in 98.3% of participants, 2,4-D in 66.2%, DCBA in 63.3%, and ECBA in 33.4%. 2,4-D was negatively associated with all neurobehavioral domains, but statistically sign</w:instrText>
      </w:r>
      <w:r>
        <w:rPr>
          <w:color w:val="000000"/>
          <w:sz w:val="22"/>
          <w:szCs w:val="22"/>
        </w:rPr>
        <w:instrText xml:space="preserve">ificant associations were observed with attention/inhibition [score difference per 50% higher metabolite concentration (β)=−0.19 95% confidence interval (CI): −0.31, −0.07], language [β=−0.12 (95% CI: −0.23, −0.01)], and memory/learning [β=−0.11 (95% CI: −</w:instrText>
      </w:r>
      <w:r>
        <w:rPr>
          <w:color w:val="000000"/>
          <w:sz w:val="22"/>
          <w:szCs w:val="22"/>
        </w:rPr>
        <w:instrText xml:space="preserve">0.22, 0.01)]. Glyphosate had a statistically significant negative association only with social perception [β=−0.08 (95% CI: −0.14, −0.01)]. DEET metabolites were not associated with neurobehavioral performance. Mediation by gender and adrenal hormones was </w:instrText>
      </w:r>
      <w:r>
        <w:rPr>
          <w:color w:val="000000"/>
          <w:sz w:val="22"/>
          <w:szCs w:val="22"/>
        </w:rPr>
        <w:instrText xml:space="preserve">not observed.Conclusion:This study describes worse neurobehavioral performance associated with herbicide exposures in adolescents, particularly with 2,4-D. Replication of these findings among other pediatric and adult populations is needed. https://doi.org</w:instrText>
      </w:r>
      <w:r>
        <w:rPr>
          <w:color w:val="000000"/>
          <w:sz w:val="22"/>
          <w:szCs w:val="22"/>
        </w:rPr>
        <w:instrText xml:space="preserve">/10.1289/EHP11383","container-title":"Environmental Health Perspectives","DOI":"10.1289/EHP11383","issue":"10","note":"publisher: Environmental Health Perspectives","page":"107007","source":"ehp.niehs.nih.gov (Atypon)","title":"Urinary Glyphosate, 2,4-D an</w:instrText>
      </w:r>
      <w:r>
        <w:rPr>
          <w:color w:val="000000"/>
          <w:sz w:val="22"/>
          <w:szCs w:val="22"/>
        </w:rPr>
        <w:instrText xml:space="preserve">d DEET Biomarkers in Relation to Neurobehavioral Performance in Ecuadorian Adolescents in the ESPINA Cohort","volume":"131","author":[{"family":"Chronister","given":"Briana N.C."},{"family":"Yang","given":"Kun"},{"family":"Yang","given":"Audrey R."},{"fami</w:instrText>
      </w:r>
      <w:r>
        <w:rPr>
          <w:color w:val="000000"/>
          <w:sz w:val="22"/>
          <w:szCs w:val="22"/>
        </w:rPr>
        <w:instrText xml:space="preserve">ly":"Lin","given":"Tuo"},{"family":"Tu","given":"Xin M."},{"family":"Lopez-Paredes","given":"Dolores"},{"family":"Checkoway","given":"Harvey"},{"family":"Suarez-Torres","given":"Jose"},{"family":"Gahagan","given":"Sheila"},{"family":"Martinez","given":"Dan</w:instrText>
      </w:r>
      <w:r>
        <w:rPr>
          <w:color w:val="000000"/>
          <w:sz w:val="22"/>
          <w:szCs w:val="22"/>
        </w:rPr>
        <w:instrText xml:space="preserve">ilo"},{"family":"Barr","given":"Dana"},{"family":"Moore","given":"Raeanne C."},{"family":"Suarez-Lopez","given":"Jose R."}],"issued":{"date-parts":[["2023",10]]}}}],"schema":"https://github.com/citation-style-language/schema/raw/master/csl-citation.json"} </w:instrText>
      </w:r>
      <w:r>
        <w:rPr>
          <w:color w:val="000000"/>
          <w:sz w:val="22"/>
          <w:szCs w:val="22"/>
        </w:rPr>
        <w:fldChar w:fldCharType="separate"/>
      </w:r>
      <w:r>
        <w:rPr>
          <w:sz w:val="22"/>
        </w:rPr>
        <w:t xml:space="preserve">(Chronister et al., 2023)</w:t>
      </w:r>
      <w:r>
        <w:rPr>
          <w:color w:val="000000"/>
          <w:sz w:val="22"/>
          <w:szCs w:val="22"/>
        </w:rPr>
        <w:fldChar w:fldCharType="end"/>
      </w:r>
      <w:r>
        <w:rPr>
          <w:color w:val="000000"/>
          <w:sz w:val="22"/>
          <w:szCs w:val="22"/>
        </w:rPr>
        <w:t xml:space="preserve">. Aligned with our results, a </w:t>
      </w:r>
      <w:r>
        <w:rPr>
          <w:color w:val="000000"/>
          <w:sz w:val="22"/>
          <w:szCs w:val="22"/>
        </w:rPr>
        <w:t xml:space="preserve">cross-sectional analysis</w:t>
      </w:r>
      <w:r>
        <w:rPr>
          <w:color w:val="000000"/>
          <w:sz w:val="22"/>
          <w:szCs w:val="22"/>
        </w:rPr>
        <w:t xml:space="preserve"> among 307 children (mean age 6.6 years)</w:t>
      </w:r>
      <w:r>
        <w:rPr>
          <w:color w:val="000000"/>
          <w:sz w:val="22"/>
          <w:szCs w:val="22"/>
        </w:rPr>
        <w:t xml:space="preserve"> in the same population (ESPINA)</w:t>
      </w:r>
      <w:r>
        <w:rPr>
          <w:color w:val="000000"/>
          <w:sz w:val="22"/>
          <w:szCs w:val="22"/>
        </w:rPr>
        <w:t xml:space="preserve">, Friedman et al reported a</w:t>
      </w:r>
      <w:r>
        <w:rPr>
          <w:color w:val="000000"/>
          <w:sz w:val="22"/>
          <w:szCs w:val="22"/>
        </w:rPr>
        <w:t xml:space="preserve"> </w:t>
      </w:r>
      <w:r>
        <w:rPr>
          <w:color w:val="000000"/>
          <w:sz w:val="22"/>
          <w:szCs w:val="22"/>
        </w:rPr>
        <w:t xml:space="preserve">better performance in NEPSY-II </w:t>
      </w:r>
      <w:r>
        <w:rPr>
          <w:color w:val="000000"/>
          <w:sz w:val="22"/>
          <w:szCs w:val="22"/>
        </w:rPr>
        <w:t xml:space="preserve">L</w:t>
      </w:r>
      <w:r>
        <w:rPr>
          <w:color w:val="000000"/>
          <w:sz w:val="22"/>
          <w:szCs w:val="22"/>
        </w:rPr>
        <w:t xml:space="preserve">anguage and </w:t>
      </w:r>
      <w:r>
        <w:rPr>
          <w:color w:val="000000"/>
          <w:sz w:val="22"/>
          <w:szCs w:val="22"/>
        </w:rPr>
        <w:t xml:space="preserve">M</w:t>
      </w:r>
      <w:r>
        <w:rPr>
          <w:color w:val="000000"/>
          <w:sz w:val="22"/>
          <w:szCs w:val="22"/>
        </w:rPr>
        <w:t xml:space="preserve">emory</w:t>
      </w:r>
      <w:r>
        <w:rPr>
          <w:color w:val="000000"/>
          <w:sz w:val="22"/>
          <w:szCs w:val="22"/>
        </w:rPr>
        <w:t xml:space="preserve">/L</w:t>
      </w:r>
      <w:r>
        <w:rPr>
          <w:color w:val="000000"/>
          <w:sz w:val="22"/>
          <w:szCs w:val="22"/>
        </w:rPr>
        <w:t xml:space="preserve">earning domains </w:t>
      </w:r>
      <w:r>
        <w:rPr>
          <w:color w:val="000000"/>
          <w:sz w:val="22"/>
          <w:szCs w:val="22"/>
        </w:rPr>
        <w:t xml:space="preserve">(domain average scores ranged from 6.6 to 9.9 points) </w:t>
      </w:r>
      <w:r>
        <w:rPr>
          <w:color w:val="000000"/>
          <w:sz w:val="22"/>
          <w:szCs w:val="22"/>
        </w:rPr>
        <w:t xml:space="preserve">when increasing distance between children’s households and plantations </w:t>
      </w:r>
      <w:r>
        <w:rPr>
          <w:color w:val="000000"/>
          <w:sz w:val="22"/>
          <w:szCs w:val="22"/>
        </w:rPr>
        <w:fldChar w:fldCharType="begin"/>
      </w:r>
      <w:r>
        <w:rPr>
          <w:color w:val="000000"/>
          <w:sz w:val="22"/>
          <w:szCs w:val="22"/>
        </w:rPr>
        <w:instrText xml:space="preserve"> ADDIN ZOTERO_ITEM CSL_CITATION {"citationID":"FE8NeFlN","properties":{"formattedCitation":"(Friedman et al., 2020)","plainCita</w:instrText>
      </w:r>
      <w:r>
        <w:rPr>
          <w:color w:val="000000"/>
          <w:sz w:val="22"/>
          <w:szCs w:val="22"/>
        </w:rPr>
        <w:instrText xml:space="preserve">tion":"(Friedman et al., 2020)","noteIndex":0},"citationItems":[{"id":4608,"uris":["http://zotero.org/users/5127433/items/4Q486GVR"],"itemData":{"id":4608,"type":"article-journal","abstract":"Background\nChildren living near greenhouse agriculture may have</w:instrText>
      </w:r>
      <w:r>
        <w:rPr>
          <w:color w:val="000000"/>
          <w:sz w:val="22"/>
          <w:szCs w:val="22"/>
        </w:rPr>
        <w:instrText xml:space="preserve"> an increased risk of pesticide exposure due to drift or direct contact with pesticide-treated areas. However, little is known about whether this increased potential for chronic exposure may impair their neurodevelopment.\nMethods\nWe examined 307 children</w:instrText>
      </w:r>
      <w:r>
        <w:rPr>
          <w:color w:val="000000"/>
          <w:sz w:val="22"/>
          <w:szCs w:val="22"/>
        </w:rPr>
        <w:instrText xml:space="preserve"> aged 4–9 years, living in agricultural communities in Ecuador (ESPINA study). The two exposures calculated were residential distance from the nearest flower plantation perimeter and flower plantation surface area within 100 m of homes. Five neurobehaviora</w:instrText>
      </w:r>
      <w:r>
        <w:rPr>
          <w:color w:val="000000"/>
          <w:sz w:val="22"/>
          <w:szCs w:val="22"/>
        </w:rPr>
        <w:instrText xml:space="preserve">l domains were assessed: Attention/Inhibitory Control, Memory/Learning, Visuospatial processing and Sensorimotor (higher values reflect better performance). Low scores were defined according to the test's cut-offs. Models were adjusted for demographic, soc</w:instrText>
      </w:r>
      <w:r>
        <w:rPr>
          <w:color w:val="000000"/>
          <w:sz w:val="22"/>
          <w:szCs w:val="22"/>
        </w:rPr>
        <w:instrText xml:space="preserve">io-economic and growth variables.\nResults\nThe mean (SD) residential distance to the nearest flower plantation was 446 m (344). Living 100 m closer to crops was associated with increased odds (OR [95% CI]) of low scores in the domains of Memory/Learning (</w:instrText>
      </w:r>
      <w:r>
        <w:rPr>
          <w:color w:val="000000"/>
          <w:sz w:val="22"/>
          <w:szCs w:val="22"/>
        </w:rPr>
        <w:instrText xml:space="preserve">1.24 [1.05, 1.46]) and Language (1.09 [1.00, 1.19]). Associations were strongest among children living within 50 m, having significantly lower scores in Language (−1.28 which is ~50% of a SD [-2.50, −0.06]), Attention/Inhibitory Control (−1.24 units, [-2.4</w:instrText>
      </w:r>
      <w:r>
        <w:rPr>
          <w:color w:val="000000"/>
          <w:sz w:val="22"/>
          <w:szCs w:val="22"/>
        </w:rPr>
        <w:instrText xml:space="preserve">5, −0.04]), and Memory/Learning (−0.91, [-1.99, 0.17]), compared to children living farther than 500 m. Analyses of areas of flower crops near homes concurred with these findings.\nConclusions\nClose residential proximity to greenhouse floricultural crops </w:instrText>
      </w:r>
      <w:r>
        <w:rPr>
          <w:color w:val="000000"/>
          <w:sz w:val="22"/>
          <w:szCs w:val="22"/>
        </w:rPr>
        <w:instrText xml:space="preserve">was associated with adverse neurobehavioral performance in Attention/Inhibitory Control, Language and Memory/Learning among children. This highlights the importance of reducing pesticide drift from plantations to nearby homes.","container-title":"Internati</w:instrText>
      </w:r>
      <w:r>
        <w:rPr>
          <w:color w:val="000000"/>
          <w:sz w:val="22"/>
          <w:szCs w:val="22"/>
        </w:rPr>
        <w:instrText xml:space="preserve">onal Journal of Hygiene and Environmental Health","DOI":"10.1016/j.ijheh.2019.08.009","ISSN":"1438-4639","issue":"1","journalAbbreviation":"International Journal of Hygiene and Environmental Health","page":"220-227","source":"ScienceDirect","title":"Reside</w:instrText>
      </w:r>
      <w:r>
        <w:rPr>
          <w:color w:val="000000"/>
          <w:sz w:val="22"/>
          <w:szCs w:val="22"/>
        </w:rPr>
        <w:instrText xml:space="preserve">ntial proximity to greenhouse agriculture and neurobehavioral performance in Ecuadorian children","volume":"223","author":[{"family":"Friedman","given":"Elizabeth"},{"family":"Hazlehurst","given":"Marnie F."},{"family":"Loftus","given":"Christine"},{"famil</w:instrText>
      </w:r>
      <w:r>
        <w:rPr>
          <w:color w:val="000000"/>
          <w:sz w:val="22"/>
          <w:szCs w:val="22"/>
        </w:rPr>
        <w:instrText xml:space="preserve">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 xml:space="preserve">(Friedman et al., 2020)</w:t>
      </w:r>
      <w:r>
        <w:rPr>
          <w:color w:val="000000"/>
          <w:sz w:val="22"/>
          <w:szCs w:val="22"/>
        </w:rPr>
        <w:fldChar w:fldCharType="end"/>
      </w:r>
      <w:r>
        <w:rPr>
          <w:color w:val="000000"/>
          <w:sz w:val="22"/>
          <w:szCs w:val="22"/>
        </w:rPr>
        <w:t xml:space="preserve">. </w:t>
      </w:r>
      <w:r>
        <w:rPr>
          <w:color w:val="000000"/>
          <w:sz w:val="22"/>
          <w:szCs w:val="22"/>
        </w:rPr>
        <w:t xml:space="preserve">Further</w:t>
      </w:r>
      <w:r>
        <w:rPr>
          <w:color w:val="000000"/>
          <w:sz w:val="22"/>
          <w:szCs w:val="22"/>
        </w:rPr>
        <w:t xml:space="preserve">, our study expanded the </w:t>
      </w:r>
      <w:r>
        <w:rPr>
          <w:color w:val="000000"/>
          <w:sz w:val="22"/>
          <w:szCs w:val="22"/>
        </w:rPr>
        <w:t xml:space="preserve">analysis </w:t>
      </w:r>
      <w:r>
        <w:rPr>
          <w:color w:val="000000"/>
          <w:sz w:val="22"/>
          <w:szCs w:val="22"/>
        </w:rPr>
        <w:t xml:space="preserve">scope to three points in time and </w:t>
      </w:r>
      <w:r>
        <w:rPr>
          <w:color w:val="000000"/>
          <w:sz w:val="22"/>
          <w:szCs w:val="22"/>
        </w:rPr>
        <w:t xml:space="preserve">utilized </w:t>
      </w:r>
      <w:r>
        <w:rPr>
          <w:color w:val="000000"/>
          <w:sz w:val="22"/>
          <w:szCs w:val="22"/>
        </w:rPr>
        <w:t xml:space="preserve">two geospatial analyses. Apart from distance to the nearest plantation</w:t>
      </w:r>
      <w:r>
        <w:rPr>
          <w:color w:val="000000"/>
          <w:sz w:val="22"/>
          <w:szCs w:val="22"/>
        </w:rPr>
        <w:t xml:space="preserve">,</w:t>
      </w:r>
      <w:r>
        <w:rPr>
          <w:color w:val="000000"/>
          <w:sz w:val="22"/>
          <w:szCs w:val="22"/>
        </w:rPr>
        <w:t xml:space="preserve"> used in previous analyses,</w:t>
      </w:r>
      <w:r>
        <w:rPr>
          <w:color w:val="000000"/>
          <w:sz w:val="22"/>
          <w:szCs w:val="22"/>
        </w:rPr>
        <w:t xml:space="preserve"> this study</w:t>
      </w:r>
      <w:r>
        <w:rPr>
          <w:color w:val="000000"/>
          <w:sz w:val="22"/>
          <w:szCs w:val="22"/>
        </w:rPr>
        <w:t xml:space="preserve"> </w:t>
      </w:r>
      <w:r>
        <w:rPr>
          <w:color w:val="000000"/>
          <w:sz w:val="22"/>
          <w:szCs w:val="22"/>
        </w:rPr>
        <w:t xml:space="preserve">intend</w:t>
      </w:r>
      <w:r>
        <w:rPr>
          <w:color w:val="000000"/>
          <w:sz w:val="22"/>
          <w:szCs w:val="22"/>
        </w:rPr>
        <w:t xml:space="preserve">ed</w:t>
      </w:r>
      <w:r>
        <w:rPr>
          <w:color w:val="000000"/>
          <w:sz w:val="22"/>
          <w:szCs w:val="22"/>
        </w:rPr>
        <w:t xml:space="preserve"> to better represent the exposure by including the area </w:t>
      </w:r>
      <w:r>
        <w:rPr>
          <w:color w:val="000000"/>
          <w:sz w:val="22"/>
          <w:szCs w:val="22"/>
        </w:rPr>
        <w:t xml:space="preserve">of agriculture </w:t>
      </w:r>
      <w:r>
        <w:rPr>
          <w:color w:val="000000"/>
          <w:sz w:val="22"/>
          <w:szCs w:val="22"/>
        </w:rPr>
        <w:t xml:space="preserve">around participant’s households. </w:t>
      </w:r>
      <w:r>
        <w:rPr>
          <w:color w:val="000000"/>
          <w:sz w:val="22"/>
          <w:szCs w:val="22"/>
        </w:rPr>
        <w:t xml:space="preserve">In a recent ESPINA study of insecticides urinary metabolites and neurobehavior,</w:t>
      </w:r>
      <w:r>
        <w:rPr>
          <w:color w:val="000000"/>
          <w:sz w:val="22"/>
          <w:szCs w:val="22"/>
        </w:rPr>
        <w:t xml:space="preserve"> it was found</w:t>
      </w:r>
      <w:r>
        <w:rPr>
          <w:color w:val="000000"/>
          <w:sz w:val="22"/>
          <w:szCs w:val="22"/>
        </w:rPr>
        <w:t xml:space="preserve"> that organophosphates were associated with lower performance on Language, Social </w:t>
      </w:r>
      <w:r>
        <w:rPr>
          <w:color w:val="000000"/>
          <w:sz w:val="22"/>
          <w:szCs w:val="22"/>
        </w:rPr>
        <w:t xml:space="preserve">Perception</w:t>
      </w:r>
      <w:r>
        <w:rPr>
          <w:color w:val="000000"/>
          <w:sz w:val="22"/>
          <w:szCs w:val="22"/>
        </w:rPr>
        <w:t xml:space="preserve">, and Attention/Inhibitory </w:t>
      </w:r>
      <w:r>
        <w:rPr>
          <w:color w:val="000000"/>
          <w:sz w:val="22"/>
          <w:szCs w:val="22"/>
        </w:rPr>
        <w:t xml:space="preserve">C</w:t>
      </w:r>
      <w:r>
        <w:rPr>
          <w:color w:val="000000"/>
          <w:sz w:val="22"/>
          <w:szCs w:val="22"/>
        </w:rPr>
        <w:t xml:space="preserve">ontrol; however, neonicotinoids were associated with better performance on </w:t>
      </w:r>
      <w:r>
        <w:rPr>
          <w:color w:val="000000"/>
          <w:sz w:val="22"/>
          <w:szCs w:val="22"/>
        </w:rPr>
        <w:t xml:space="preserve">M</w:t>
      </w:r>
      <w:r>
        <w:rPr>
          <w:color w:val="000000"/>
          <w:sz w:val="22"/>
          <w:szCs w:val="22"/>
        </w:rPr>
        <w:t xml:space="preserve">emor</w:t>
      </w:r>
      <w:r>
        <w:rPr>
          <w:color w:val="000000"/>
          <w:sz w:val="22"/>
          <w:szCs w:val="22"/>
        </w:rPr>
        <w:t xml:space="preserve">y/Learning and Social Perception scores</w:t>
      </w:r>
      <w:r>
        <w:rPr>
          <w:color w:val="000000"/>
          <w:sz w:val="22"/>
          <w:szCs w:val="22"/>
        </w:rPr>
        <w:t xml:space="preserve"> (Yen et al., unpublished).</w:t>
      </w:r>
      <w:r>
        <w:rPr>
          <w:color w:val="000000"/>
          <w:sz w:val="22"/>
          <w:szCs w:val="22"/>
        </w:rPr>
        <w:t xml:space="preserve"> </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In contrast</w:t>
      </w:r>
      <w:r>
        <w:rPr>
          <w:color w:val="000000"/>
          <w:sz w:val="22"/>
          <w:szCs w:val="22"/>
        </w:rPr>
        <w:t xml:space="preserve">, i</w:t>
      </w:r>
      <w:r>
        <w:rPr>
          <w:color w:val="000000"/>
          <w:sz w:val="22"/>
          <w:szCs w:val="22"/>
        </w:rPr>
        <w:t xml:space="preserve">n </w:t>
      </w:r>
      <w:r>
        <w:rPr>
          <w:color w:val="000000"/>
          <w:sz w:val="22"/>
          <w:szCs w:val="22"/>
        </w:rPr>
        <w:t xml:space="preserve">the </w:t>
      </w:r>
      <w:r>
        <w:rPr>
          <w:color w:val="000000"/>
          <w:sz w:val="22"/>
          <w:szCs w:val="22"/>
        </w:rPr>
        <w:t xml:space="preserve">CHAMACOS study, </w:t>
      </w:r>
      <w:r>
        <w:rPr>
          <w:color w:val="000000"/>
          <w:sz w:val="22"/>
          <w:szCs w:val="22"/>
        </w:rPr>
        <w:t xml:space="preserve">320 3.5-year-old </w:t>
      </w:r>
      <w:r>
        <w:rPr>
          <w:color w:val="000000"/>
          <w:sz w:val="22"/>
          <w:szCs w:val="22"/>
        </w:rPr>
        <w:t xml:space="preserve">children</w:t>
      </w:r>
      <w:r>
        <w:rPr>
          <w:color w:val="000000"/>
          <w:sz w:val="22"/>
          <w:szCs w:val="22"/>
        </w:rPr>
        <w:t xml:space="preserve"> </w:t>
      </w:r>
      <w:r>
        <w:rPr>
          <w:color w:val="000000"/>
          <w:sz w:val="22"/>
          <w:szCs w:val="22"/>
        </w:rPr>
        <w:t xml:space="preserve">were assessed using NEPSY-</w:t>
      </w:r>
      <w:r>
        <w:rPr>
          <w:color w:val="000000"/>
          <w:sz w:val="22"/>
          <w:szCs w:val="22"/>
        </w:rPr>
        <w:t xml:space="preserve">II</w:t>
      </w:r>
      <w:r>
        <w:rPr>
          <w:color w:val="000000"/>
          <w:sz w:val="22"/>
          <w:szCs w:val="22"/>
        </w:rPr>
        <w:t xml:space="preserve"> visual attention subdomain</w:t>
      </w:r>
      <w:r>
        <w:rPr>
          <w:color w:val="000000"/>
          <w:sz w:val="22"/>
          <w:szCs w:val="22"/>
        </w:rPr>
        <w:t xml:space="preserve"> (average score 8.8 </w:t>
      </w:r>
      <w:r>
        <w:rPr>
          <w:color w:val="000000"/>
          <w:sz w:val="22"/>
          <w:szCs w:val="22"/>
        </w:rPr>
        <w:t xml:space="preserve">± 2.3</w:t>
      </w:r>
      <w:r>
        <w:rPr>
          <w:color w:val="000000"/>
          <w:sz w:val="22"/>
          <w:szCs w:val="22"/>
        </w:rPr>
        <w:t xml:space="preserve">)</w:t>
      </w:r>
      <w:r>
        <w:rPr>
          <w:color w:val="000000"/>
          <w:sz w:val="22"/>
          <w:szCs w:val="22"/>
        </w:rPr>
        <w:t xml:space="preserve">, which was</w:t>
      </w:r>
      <w:r>
        <w:rPr>
          <w:color w:val="000000"/>
          <w:sz w:val="22"/>
          <w:szCs w:val="22"/>
        </w:rPr>
        <w:t xml:space="preserve"> not correlated with </w:t>
      </w:r>
      <w:r>
        <w:rPr>
          <w:color w:val="000000"/>
          <w:sz w:val="22"/>
          <w:szCs w:val="22"/>
        </w:rPr>
        <w:t xml:space="preserve">urinary organophosphate metabolites</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w:instrText>
      </w:r>
      <w:r>
        <w:rPr>
          <w:color w:val="000000"/>
          <w:sz w:val="22"/>
          <w:szCs w:val="22"/>
        </w:rPr>
        <w:instrText xml:space="preserve">itationID":"7gzioKOY","properties":{"formattedCitation":"(Marks et al., 2010)","plainCitation":"(Marks et al., 2010)","noteIndex":0},"citationItems":[{"id":4708,"uris":["http://zotero.org/users/5127433/items/UTHMMJC5"],"itemData":{"id":4708,"type":"article</w:instrText>
      </w:r>
      <w:r>
        <w:rPr>
          <w:color w:val="000000"/>
          <w:sz w:val="22"/>
          <w:szCs w:val="22"/>
        </w:rPr>
        <w:instrText xml:space="preserve">-journal","abstract":"BackgroundExposure to organophosphate (OP) pesticides, well-known neurotoxicants, has been associated with neurobehavioral deficits in children.ObjectivesWe investigated whether OP exposure, as measured by urinary dialkyl phosphate (D</w:instrText>
      </w:r>
      <w:r>
        <w:rPr>
          <w:color w:val="000000"/>
          <w:sz w:val="22"/>
          <w:szCs w:val="22"/>
        </w:rPr>
        <w:instrText xml:space="preserve">AP) metabolites in pregnant women and their children, was associated with attention-related outcomes among Mexican-American children living in an agricultural region of California.MethodsChildren were assessed at ages 3.5 years (n = 331) and 5 years (n = 3</w:instrText>
      </w:r>
      <w:r>
        <w:rPr>
          <w:color w:val="000000"/>
          <w:sz w:val="22"/>
          <w:szCs w:val="22"/>
        </w:rPr>
        <w:instrText xml:space="preserve">23). Mothers completed the Child Behavior Checklist (CBCL). We administered the NEPSY-II visual attention subtest to children at 3.5 years and Conners’ Kiddie Continuous Performance Test (K-CPT) at 5 years. The K-CPT yielded a standardized attention defici</w:instrText>
      </w:r>
      <w:r>
        <w:rPr>
          <w:color w:val="000000"/>
          <w:sz w:val="22"/>
          <w:szCs w:val="22"/>
        </w:rPr>
        <w:instrText xml:space="preserve">t/hyperactivity disorder (ADHD) Confidence Index score. Psychometricians scored behavior of the 5-year-olds during testing using the Hillside Behavior Rating Scale.ResultsPrenatal DAPs (nanomoles per liter) were nonsignificantly associated with maternal re</w:instrText>
      </w:r>
      <w:r>
        <w:rPr>
          <w:color w:val="000000"/>
          <w:sz w:val="22"/>
          <w:szCs w:val="22"/>
        </w:rPr>
        <w:instrText xml:space="preserve">port of attention problems and ADHD at age 3.5 years but were significantly related at age 5 years [CBCL attention problems: β = 0.7 points; 95% confidence interval (CI), 0.2–1.2; ADHD: β = 1.3; 95% CI, 0.4–2.1]. Prenatal DAPs were associated with scores o</w:instrText>
      </w:r>
      <w:r>
        <w:rPr>
          <w:color w:val="000000"/>
          <w:sz w:val="22"/>
          <w:szCs w:val="22"/>
        </w:rPr>
        <w:instrText xml:space="preserve">n the K-CPT ADHD Confidence Index &gt; 70th percentile [odds ratio (OR) = 5.1; 95% CI, 1.7–15.7] and with a composite ADHD indicator of the various measures (OR = 3.5; 95% CI, 1.1–10.7). Some outcomes exhibited evidence of effect modification by sex, with ass</w:instrText>
      </w:r>
      <w:r>
        <w:rPr>
          <w:color w:val="000000"/>
          <w:sz w:val="22"/>
          <w:szCs w:val="22"/>
        </w:rPr>
        <w:instrText xml:space="preserve">ociations found only among boys. There was also limited evidence of associations between child DAPs and attention.ConclusionsIn utero DAPs and, to a lesser extent, postnatal DAPs were associated adversely with attention as assessed by maternal report, psyc</w:instrText>
      </w:r>
      <w:r>
        <w:rPr>
          <w:color w:val="000000"/>
          <w:sz w:val="22"/>
          <w:szCs w:val="22"/>
        </w:rPr>
        <w:instrText xml:space="preserve">hometrician observation, and direct assessment. These associations were somewhat stronger at 5 years than at 3.5 years and were stronger in boys.","container-title":"Environmental Health Perspectives","DOI":"10.1289/ehp.1002056","issue":"12","note":"publis</w:instrText>
      </w:r>
      <w:r>
        <w:rPr>
          <w:color w:val="000000"/>
          <w:sz w:val="22"/>
          <w:szCs w:val="22"/>
        </w:rPr>
        <w:instrText xml:space="preserve">her: Environmental Health Perspectives","page":"1768-1774","source":"ehp.niehs.nih.gov (Atypon)","title":"Organophosphate Pesticide Exposure and Attention in Young Mexican-American Children: The CHAMACOS Study","title-short":"Organophosphate Pesticide Expo</w:instrText>
      </w:r>
      <w:r>
        <w:rPr>
          <w:color w:val="000000"/>
          <w:sz w:val="22"/>
          <w:szCs w:val="22"/>
        </w:rPr>
        <w:instrText xml:space="preserve">sure and Attention in Young Mexican-American Children","volume":"118","author":[{"family":"Marks","given":"Amy R."},{"family":"Harley","given":"Kim"},{"family":"Bradman","given":"Asa"},{"family":"Kogut","given":"Katherine"},{"family":"Barr","given":"Dana B</w:instrText>
      </w:r>
      <w:r>
        <w:rPr>
          <w:color w:val="000000"/>
          <w:sz w:val="22"/>
          <w:szCs w:val="22"/>
        </w:rPr>
        <w:instrText xml:space="preserve">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 xml:space="preserve">(Marks et al., 2010)</w:t>
      </w:r>
      <w:r>
        <w:rPr>
          <w:color w:val="000000"/>
          <w:sz w:val="22"/>
          <w:szCs w:val="22"/>
        </w:rPr>
        <w:fldChar w:fldCharType="end"/>
      </w:r>
      <w:r>
        <w:rPr>
          <w:color w:val="000000"/>
          <w:sz w:val="22"/>
          <w:szCs w:val="22"/>
        </w:rPr>
        <w:t xml:space="preserve">. H</w:t>
      </w:r>
      <w:r>
        <w:rPr>
          <w:color w:val="000000"/>
          <w:sz w:val="22"/>
          <w:szCs w:val="22"/>
        </w:rPr>
        <w:t xml:space="preserve">owever, </w:t>
      </w:r>
      <w:r>
        <w:rPr>
          <w:color w:val="000000"/>
          <w:sz w:val="22"/>
          <w:szCs w:val="22"/>
        </w:rPr>
        <w:t xml:space="preserve">in CHAMACOS study, </w:t>
      </w:r>
      <w:r>
        <w:rPr>
          <w:color w:val="000000"/>
          <w:sz w:val="22"/>
          <w:szCs w:val="22"/>
        </w:rPr>
        <w:t xml:space="preserve">prenatal exposure to organophosphates was associated with attention problems and ADHD among</w:t>
      </w:r>
      <w:r>
        <w:rPr>
          <w:color w:val="000000"/>
          <w:sz w:val="22"/>
          <w:szCs w:val="22"/>
        </w:rPr>
        <w:t xml:space="preserve"> 3.5-year-old and 5-year-old</w:t>
      </w:r>
      <w:r>
        <w:rPr>
          <w:color w:val="000000"/>
          <w:sz w:val="22"/>
          <w:szCs w:val="22"/>
        </w:rPr>
        <w:t xml:space="preserve"> children using </w:t>
      </w:r>
      <w:r>
        <w:rPr>
          <w:color w:val="000000"/>
          <w:sz w:val="22"/>
          <w:szCs w:val="22"/>
        </w:rPr>
        <w:t xml:space="preserve">the Child Behavior Checklist </w:t>
      </w:r>
      <w:r>
        <w:rPr>
          <w:color w:val="000000"/>
          <w:sz w:val="22"/>
          <w:szCs w:val="22"/>
        </w:rPr>
        <w:fldChar w:fldCharType="begin"/>
      </w:r>
      <w:r>
        <w:rPr>
          <w:color w:val="000000"/>
          <w:sz w:val="22"/>
          <w:szCs w:val="22"/>
        </w:rPr>
        <w:instrText xml:space="preserve"> ADDIN ZOTERO_ITEM CSL_CITATION {"c</w:instrText>
      </w:r>
      <w:r>
        <w:rPr>
          <w:color w:val="000000"/>
          <w:sz w:val="22"/>
          <w:szCs w:val="22"/>
        </w:rPr>
        <w:instrText xml:space="preserve">itationID":"RFGMpoY2","properties":{"formattedCitation":"(Marks et al., 2010)","plainCitation":"(Marks et al., 2010)","noteIndex":0},"citationItems":[{"id":4708,"uris":["http://zotero.org/users/5127433/items/UTHMMJC5"],"itemData":{"id":4708,"type":"article</w:instrText>
      </w:r>
      <w:r>
        <w:rPr>
          <w:color w:val="000000"/>
          <w:sz w:val="22"/>
          <w:szCs w:val="22"/>
        </w:rPr>
        <w:instrText xml:space="preserve">-journal","abstract":"BackgroundExposure to organophosphate (OP) pesticides, well-known neurotoxicants, has been associated with neurobehavioral deficits in children.ObjectivesWe investigated whether OP exposure, as measured by urinary dialkyl phosphate (D</w:instrText>
      </w:r>
      <w:r>
        <w:rPr>
          <w:color w:val="000000"/>
          <w:sz w:val="22"/>
          <w:szCs w:val="22"/>
        </w:rPr>
        <w:instrText xml:space="preserve">AP) metabolites in pregnant women and their children, was associated with attention-related outcomes among Mexican-American children living in an agricultural region of California.MethodsChildren were assessed at ages 3.5 years (n = 331) and 5 years (n = 3</w:instrText>
      </w:r>
      <w:r>
        <w:rPr>
          <w:color w:val="000000"/>
          <w:sz w:val="22"/>
          <w:szCs w:val="22"/>
        </w:rPr>
        <w:instrText xml:space="preserve">23). Mothers completed the Child Behavior Checklist (CBCL). We administered the NEPSY-II visual attention subtest to children at 3.5 years and Conners’ Kiddie Continuous Performance Test (K-CPT) at 5 years. The K-CPT yielded a standardized attention defici</w:instrText>
      </w:r>
      <w:r>
        <w:rPr>
          <w:color w:val="000000"/>
          <w:sz w:val="22"/>
          <w:szCs w:val="22"/>
        </w:rPr>
        <w:instrText xml:space="preserve">t/hyperactivity disorder (ADHD) Confidence Index score. Psychometricians scored behavior of the 5-year-olds during testing using the Hillside Behavior Rating Scale.ResultsPrenatal DAPs (nanomoles per liter) were nonsignificantly associated with maternal re</w:instrText>
      </w:r>
      <w:r>
        <w:rPr>
          <w:color w:val="000000"/>
          <w:sz w:val="22"/>
          <w:szCs w:val="22"/>
        </w:rPr>
        <w:instrText xml:space="preserve">port of attention problems and ADHD at age 3.5 years but were significantly related at age 5 years [CBCL attention problems: β = 0.7 points; 95% confidence interval (CI), 0.2–1.2; ADHD: β = 1.3; 95% CI, 0.4–2.1]. Prenatal DAPs were associated with scores o</w:instrText>
      </w:r>
      <w:r>
        <w:rPr>
          <w:color w:val="000000"/>
          <w:sz w:val="22"/>
          <w:szCs w:val="22"/>
        </w:rPr>
        <w:instrText xml:space="preserve">n the K-CPT ADHD Confidence Index &gt; 70th percentile [odds ratio (OR) = 5.1; 95% CI, 1.7–15.7] and with a composite ADHD indicator of the various measures (OR = 3.5; 95% CI, 1.1–10.7). Some outcomes exhibited evidence of effect modification by sex, with ass</w:instrText>
      </w:r>
      <w:r>
        <w:rPr>
          <w:color w:val="000000"/>
          <w:sz w:val="22"/>
          <w:szCs w:val="22"/>
        </w:rPr>
        <w:instrText xml:space="preserve">ociations found only among boys. There was also limited evidence of associations between child DAPs and attention.ConclusionsIn utero DAPs and, to a lesser extent, postnatal DAPs were associated adversely with attention as assessed by maternal report, psyc</w:instrText>
      </w:r>
      <w:r>
        <w:rPr>
          <w:color w:val="000000"/>
          <w:sz w:val="22"/>
          <w:szCs w:val="22"/>
        </w:rPr>
        <w:instrText xml:space="preserve">hometrician observation, and direct assessment. These associations were somewhat stronger at 5 years than at 3.5 years and were stronger in boys.","container-title":"Environmental Health Perspectives","DOI":"10.1289/ehp.1002056","issue":"12","note":"publis</w:instrText>
      </w:r>
      <w:r>
        <w:rPr>
          <w:color w:val="000000"/>
          <w:sz w:val="22"/>
          <w:szCs w:val="22"/>
        </w:rPr>
        <w:instrText xml:space="preserve">her: Environmental Health Perspectives","page":"1768-1774","source":"ehp.niehs.nih.gov (Atypon)","title":"Organophosphate Pesticide Exposure and Attention in Young Mexican-American Children: The CHAMACOS Study","title-short":"Organophosphate Pesticide Expo</w:instrText>
      </w:r>
      <w:r>
        <w:rPr>
          <w:color w:val="000000"/>
          <w:sz w:val="22"/>
          <w:szCs w:val="22"/>
        </w:rPr>
        <w:instrText xml:space="preserve">sure and Attention in Young Mexican-American Children","volume":"118","author":[{"family":"Marks","given":"Amy R."},{"family":"Harley","given":"Kim"},{"family":"Bradman","given":"Asa"},{"family":"Kogut","given":"Katherine"},{"family":"Barr","given":"Dana B</w:instrText>
      </w:r>
      <w:r>
        <w:rPr>
          <w:color w:val="000000"/>
          <w:sz w:val="22"/>
          <w:szCs w:val="22"/>
        </w:rPr>
        <w:instrText xml:space="preserve">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 xml:space="preserve">(Marks et al., 2010)</w:t>
      </w:r>
      <w:r>
        <w:rPr>
          <w:color w:val="000000"/>
          <w:sz w:val="22"/>
          <w:szCs w:val="22"/>
        </w:rPr>
        <w:fldChar w:fldCharType="end"/>
      </w:r>
      <w:r>
        <w:rPr>
          <w:color w:val="000000"/>
          <w:sz w:val="22"/>
          <w:szCs w:val="22"/>
        </w:rPr>
        <w:t xml:space="preserve">.</w:t>
      </w:r>
      <w:r>
        <w:rPr>
          <w:color w:val="000000"/>
          <w:sz w:val="22"/>
          <w:szCs w:val="22"/>
        </w:rPr>
        <w:t xml:space="preserve"> </w:t>
      </w:r>
      <w:r>
        <w:rPr>
          <w:color w:val="000000"/>
          <w:sz w:val="22"/>
          <w:szCs w:val="22"/>
        </w:rPr>
        <w:t xml:space="preserve">Differences in NEPSY-</w:t>
      </w:r>
      <w:r>
        <w:rPr>
          <w:color w:val="000000"/>
          <w:sz w:val="22"/>
          <w:szCs w:val="22"/>
        </w:rPr>
        <w:t xml:space="preserve">II</w:t>
      </w:r>
      <w:r>
        <w:rPr>
          <w:color w:val="000000"/>
          <w:sz w:val="22"/>
          <w:szCs w:val="22"/>
        </w:rPr>
        <w:t xml:space="preserve"> results between CHAMACOS and ESPINA</w:t>
      </w:r>
      <w:r>
        <w:rPr>
          <w:color w:val="000000"/>
          <w:sz w:val="22"/>
          <w:szCs w:val="22"/>
        </w:rPr>
        <w:t xml:space="preserve"> studies</w:t>
      </w:r>
      <w:r>
        <w:rPr>
          <w:color w:val="000000"/>
          <w:sz w:val="22"/>
          <w:szCs w:val="22"/>
        </w:rPr>
        <w:t xml:space="preserve">, </w:t>
      </w:r>
      <w:r>
        <w:rPr>
          <w:color w:val="000000"/>
          <w:sz w:val="22"/>
          <w:szCs w:val="22"/>
        </w:rPr>
        <w:t xml:space="preserve">could </w:t>
      </w:r>
      <w:r>
        <w:rPr>
          <w:color w:val="000000"/>
          <w:sz w:val="22"/>
          <w:szCs w:val="22"/>
        </w:rPr>
        <w:t xml:space="preserve">be </w:t>
      </w:r>
      <w:r>
        <w:rPr>
          <w:color w:val="000000"/>
          <w:sz w:val="22"/>
          <w:szCs w:val="22"/>
        </w:rPr>
        <w:t xml:space="preserve">based in</w:t>
      </w:r>
      <w:r>
        <w:rPr>
          <w:color w:val="000000"/>
          <w:sz w:val="22"/>
          <w:szCs w:val="22"/>
        </w:rPr>
        <w:t xml:space="preserve"> the </w:t>
      </w:r>
      <w:r>
        <w:rPr>
          <w:color w:val="000000"/>
          <w:sz w:val="22"/>
          <w:szCs w:val="22"/>
        </w:rPr>
        <w:t xml:space="preserve">narrow use of</w:t>
      </w:r>
      <w:r>
        <w:rPr>
          <w:color w:val="000000"/>
          <w:sz w:val="22"/>
          <w:szCs w:val="22"/>
        </w:rPr>
        <w:t xml:space="preserve"> one NEPSY-</w:t>
      </w:r>
      <w:r>
        <w:rPr>
          <w:color w:val="000000"/>
          <w:sz w:val="22"/>
          <w:szCs w:val="22"/>
        </w:rPr>
        <w:t xml:space="preserve">II</w:t>
      </w:r>
      <w:r>
        <w:rPr>
          <w:color w:val="000000"/>
          <w:sz w:val="22"/>
          <w:szCs w:val="22"/>
        </w:rPr>
        <w:t xml:space="preserve"> subdomain</w:t>
      </w:r>
      <w:r>
        <w:rPr>
          <w:color w:val="000000"/>
          <w:sz w:val="22"/>
          <w:szCs w:val="22"/>
        </w:rPr>
        <w:t xml:space="preserve"> (visual attention)</w:t>
      </w:r>
      <w:r>
        <w:rPr>
          <w:color w:val="000000"/>
          <w:sz w:val="22"/>
          <w:szCs w:val="22"/>
        </w:rPr>
        <w:t xml:space="preserve"> in the CHAMACOS study</w:t>
      </w:r>
      <w:r>
        <w:rPr>
          <w:color w:val="000000"/>
          <w:sz w:val="22"/>
          <w:szCs w:val="22"/>
        </w:rPr>
        <w:t xml:space="preserve"> vs a larger inclusion of subdomains in</w:t>
      </w:r>
      <w:r>
        <w:rPr>
          <w:color w:val="000000"/>
          <w:sz w:val="22"/>
          <w:szCs w:val="22"/>
        </w:rPr>
        <w:t xml:space="preserve"> ESPINA</w:t>
      </w:r>
      <w:r>
        <w:rPr>
          <w:color w:val="000000"/>
          <w:sz w:val="22"/>
          <w:szCs w:val="22"/>
        </w:rPr>
        <w:t xml:space="preserve">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w:t>
      </w:r>
      <w:r>
        <w:rPr>
          <w:color w:val="000000"/>
          <w:sz w:val="22"/>
          <w:szCs w:val="22"/>
        </w:rPr>
        <w:t xml:space="preserve">L</w:t>
      </w:r>
      <w:r>
        <w:rPr>
          <w:color w:val="000000"/>
          <w:sz w:val="22"/>
          <w:szCs w:val="22"/>
        </w:rPr>
        <w:t xml:space="preserve">anguage, </w:t>
      </w:r>
      <w:r>
        <w:rPr>
          <w:color w:val="000000"/>
          <w:sz w:val="22"/>
          <w:szCs w:val="22"/>
        </w:rPr>
        <w:t xml:space="preserve">M</w:t>
      </w:r>
      <w:r>
        <w:rPr>
          <w:color w:val="000000"/>
          <w:sz w:val="22"/>
          <w:szCs w:val="22"/>
        </w:rPr>
        <w:t xml:space="preserve">emory</w:t>
      </w:r>
      <w:r>
        <w:rPr>
          <w:color w:val="000000"/>
          <w:sz w:val="22"/>
          <w:szCs w:val="22"/>
        </w:rPr>
        <w:t xml:space="preserve">/L</w:t>
      </w:r>
      <w:r>
        <w:rPr>
          <w:color w:val="000000"/>
          <w:sz w:val="22"/>
          <w:szCs w:val="22"/>
        </w:rPr>
        <w:t xml:space="preserve">earning, </w:t>
      </w:r>
      <w:r>
        <w:rPr>
          <w:color w:val="000000"/>
          <w:sz w:val="22"/>
          <w:szCs w:val="22"/>
        </w:rPr>
        <w:t xml:space="preserve">V</w:t>
      </w:r>
      <w:r>
        <w:rPr>
          <w:color w:val="000000"/>
          <w:sz w:val="22"/>
          <w:szCs w:val="22"/>
        </w:rPr>
        <w:t xml:space="preserve">isuospatial </w:t>
      </w:r>
      <w:r>
        <w:rPr>
          <w:color w:val="000000"/>
          <w:sz w:val="22"/>
          <w:szCs w:val="22"/>
        </w:rPr>
        <w:t xml:space="preserve">P</w:t>
      </w:r>
      <w:r>
        <w:rPr>
          <w:color w:val="000000"/>
          <w:sz w:val="22"/>
          <w:szCs w:val="22"/>
        </w:rPr>
        <w:t xml:space="preserve">rocessing and </w:t>
      </w:r>
      <w:r>
        <w:rPr>
          <w:color w:val="000000"/>
          <w:sz w:val="22"/>
          <w:szCs w:val="22"/>
        </w:rPr>
        <w:t xml:space="preserve">S</w:t>
      </w:r>
      <w:r>
        <w:rPr>
          <w:color w:val="000000"/>
          <w:sz w:val="22"/>
          <w:szCs w:val="22"/>
        </w:rPr>
        <w:t xml:space="preserve">ocial </w:t>
      </w:r>
      <w:r>
        <w:rPr>
          <w:color w:val="000000"/>
          <w:sz w:val="22"/>
          <w:szCs w:val="22"/>
        </w:rPr>
        <w:t xml:space="preserve">P</w:t>
      </w:r>
      <w:r>
        <w:rPr>
          <w:color w:val="000000"/>
          <w:sz w:val="22"/>
          <w:szCs w:val="22"/>
        </w:rPr>
        <w:t xml:space="preserve">erception)</w:t>
      </w:r>
      <w:r>
        <w:rPr>
          <w:color w:val="000000"/>
          <w:sz w:val="22"/>
          <w:szCs w:val="22"/>
        </w:rPr>
        <w:t xml:space="preserve">. Furthermore, </w:t>
      </w:r>
      <w:r>
        <w:rPr>
          <w:color w:val="000000"/>
          <w:sz w:val="22"/>
          <w:szCs w:val="22"/>
        </w:rPr>
        <w:t xml:space="preserve">this analysis </w:t>
      </w:r>
      <w:r>
        <w:rPr>
          <w:color w:val="000000"/>
          <w:sz w:val="22"/>
          <w:szCs w:val="22"/>
        </w:rPr>
        <w:t xml:space="preserve">did not assess biomarkers, but geographical proximity to crops suggesting a broader range of mechanisms that could impact child neurodevelopment.</w:t>
      </w:r>
      <w:r>
        <w:rPr>
          <w:color w:val="000000"/>
          <w:sz w:val="22"/>
          <w:szCs w:val="22"/>
        </w:rPr>
        <w:t xml:space="preserve"> Organochlorine and other type</w:t>
      </w:r>
      <w:r>
        <w:rPr>
          <w:color w:val="000000"/>
          <w:sz w:val="22"/>
          <w:szCs w:val="22"/>
        </w:rPr>
        <w:t xml:space="preserve">s</w:t>
      </w:r>
      <w:r>
        <w:rPr>
          <w:color w:val="000000"/>
          <w:sz w:val="22"/>
          <w:szCs w:val="22"/>
        </w:rPr>
        <w:t xml:space="preserve"> of insecticides are the most common pesticides explore</w:t>
      </w:r>
      <w:r>
        <w:rPr>
          <w:color w:val="000000"/>
          <w:sz w:val="22"/>
          <w:szCs w:val="22"/>
        </w:rPr>
        <w:t xml:space="preserve">d</w:t>
      </w:r>
      <w:r>
        <w:rPr>
          <w:color w:val="000000"/>
          <w:sz w:val="22"/>
          <w:szCs w:val="22"/>
        </w:rPr>
        <w:t xml:space="preserve"> in the literature</w:t>
      </w:r>
      <w:r>
        <w:rPr>
          <w:color w:val="000000"/>
          <w:sz w:val="22"/>
          <w:szCs w:val="22"/>
        </w:rPr>
        <w:t xml:space="preserve"> on pesticide exposure and neurobehavioral performance</w:t>
      </w:r>
      <w:r>
        <w:rPr>
          <w:color w:val="000000"/>
          <w:sz w:val="22"/>
          <w:szCs w:val="22"/>
        </w:rPr>
        <w:t xml:space="preserve">;</w:t>
      </w:r>
      <w:r>
        <w:rPr>
          <w:color w:val="000000"/>
          <w:sz w:val="22"/>
          <w:szCs w:val="22"/>
        </w:rPr>
        <w:t xml:space="preserve"> yet, more than 150 active ingredients or metabolites have been studied </w:t>
      </w:r>
      <w:r>
        <w:rPr>
          <w:color w:val="000000"/>
          <w:sz w:val="22"/>
          <w:szCs w:val="22"/>
        </w:rPr>
        <w:fldChar w:fldCharType="begin"/>
      </w:r>
      <w:r>
        <w:rPr>
          <w:color w:val="000000"/>
          <w:sz w:val="22"/>
          <w:szCs w:val="22"/>
        </w:rPr>
        <w:instrText xml:space="preserve"> ADDIN ZOTERO_ITEM CSL</w:instrText>
      </w:r>
      <w:r>
        <w:rPr>
          <w:color w:val="000000"/>
          <w:sz w:val="22"/>
          <w:szCs w:val="22"/>
        </w:rPr>
        <w:instrText xml:space="preserve">_CITATION {"citationID":"he7Rsxas","properties":{"formattedCitation":"(Reed et al., 2023)","plainCitation":"(Reed et al., 2023)","noteIndex":0},"citationItems":[{"id":4765,"uris":["http://zotero.org/users/5127433/items/C8UQ5PWT"],"itemData":{"id":4765,"typ</w:instrText>
      </w:r>
      <w:r>
        <w:rPr>
          <w:color w:val="000000"/>
          <w:sz w:val="22"/>
          <w:szCs w:val="22"/>
        </w:rPr>
        <w:instrText xml:space="preserve">e":"article-journal","abstract":"Pesticides are highly tested and regulated chemicals. There is currently great interest in the role that pesticides may play in childhood neurodevelopment. The objective was to identify and describe the body of evidence and</w:instrText>
      </w:r>
      <w:r>
        <w:rPr>
          <w:color w:val="000000"/>
          <w:sz w:val="22"/>
          <w:szCs w:val="22"/>
        </w:rPr>
        <w:instrText xml:space="preserve"> to assess the ability to synthesize effect estimates. The epidemiologic literature from 2011 to 2022 was searched for publications on the association between pesticide exposure and neurodevelopment, behavior, and/or cognition in children. We identified 11</w:instrText>
      </w:r>
      <w:r>
        <w:rPr>
          <w:color w:val="000000"/>
          <w:sz w:val="22"/>
          <w:szCs w:val="22"/>
        </w:rPr>
        <w:instrText xml:space="preserve">4 publications, representing 67 unique studies. While organochlorine and other insecticides were the most common classes of pesticides studied, up to 159 different metabolites or active ingredients were reported. Nine pesticides or their metabolites were r</w:instrText>
      </w:r>
      <w:r>
        <w:rPr>
          <w:color w:val="000000"/>
          <w:sz w:val="22"/>
          <w:szCs w:val="22"/>
        </w:rPr>
        <w:instrText xml:space="preserve">eported in &gt;10 publications. Similarly, multiple assessment methods were administered across studies to evaluate outcomes in neurodevelopment at ages which ranged from birth to 18 years of age. This scoping review reveals the heterogeneity among published </w:instrText>
      </w:r>
      <w:r>
        <w:rPr>
          <w:color w:val="000000"/>
          <w:sz w:val="22"/>
          <w:szCs w:val="22"/>
        </w:rPr>
        <w:instrText xml:space="preserve">studies with respect to exposures and health outcomes, in the methods used to assess and classify them, and in combinations of the two. This limits the adequacy of the evidence to evaluate specific risk estimates for a particular exposure-outcome pair. Int</w:instrText>
      </w:r>
      <w:r>
        <w:rPr>
          <w:color w:val="000000"/>
          <w:sz w:val="22"/>
          <w:szCs w:val="22"/>
        </w:rPr>
        <w:instrText xml:space="preserve">entional coordination among researchers to increase consistency in methodologies would facilitate the synthesis of results across studies. Research opportunities also exist to validate assumptions in exposure and outcome assessment which are implicit in ma</w:instrText>
      </w:r>
      <w:r>
        <w:rPr>
          <w:color w:val="000000"/>
          <w:sz w:val="22"/>
          <w:szCs w:val="22"/>
        </w:rPr>
        <w:instrText xml:space="preserve">ny of the studies reviewed. In conclusion, there are many ongoing epidemiologic studies with a focus on pesticides and neurodevelopment. The variety of exposures, exposure assessment methods and tests for each outcome can be overwhelming. Interdisciplinary</w:instrText>
      </w:r>
      <w:r>
        <w:rPr>
          <w:color w:val="000000"/>
          <w:sz w:val="22"/>
          <w:szCs w:val="22"/>
        </w:rPr>
        <w:instrText xml:space="preserve"> collaboration is recommended to harmonize data collection and to enable meaningful interpretation of the study results across populations.","container-title":"Global Epidemiology","DOI":"10.1016/j.gloepi.2023.100121","ISSN":"2590-1133","journalAbbreviatio</w:instrText>
      </w:r>
      <w:r>
        <w:rPr>
          <w:color w:val="000000"/>
          <w:sz w:val="22"/>
          <w:szCs w:val="22"/>
        </w:rPr>
        <w:instrText xml:space="preserve">n":"Global Epidemiology","page":"100121","source":"ScienceDirect","title":"Literature landscape of neurodevelopment and pesticides: A scoping review of methodologies","title-short":"Literature landscape of neurodevelopment and pesticides","volume":"6","aut</w:instrText>
      </w:r>
      <w:r>
        <w:rPr>
          <w:color w:val="000000"/>
          <w:sz w:val="22"/>
          <w:szCs w:val="22"/>
        </w:rPr>
        <w:instrText xml:space="preserve">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 xml:space="preserve">(Reed et al., 2023)</w:t>
      </w:r>
      <w:r>
        <w:rPr>
          <w:color w:val="000000"/>
          <w:sz w:val="22"/>
          <w:szCs w:val="22"/>
        </w:rPr>
        <w:fldChar w:fldCharType="end"/>
      </w:r>
      <w:r>
        <w:rPr>
          <w:color w:val="000000"/>
          <w:sz w:val="22"/>
          <w:szCs w:val="22"/>
        </w:rPr>
        <w:t xml:space="preserve"> that can be explore</w:t>
      </w:r>
      <w:r>
        <w:rPr>
          <w:color w:val="000000"/>
          <w:sz w:val="22"/>
          <w:szCs w:val="22"/>
        </w:rPr>
        <w:t xml:space="preserve">d</w:t>
      </w:r>
      <w:r>
        <w:rPr>
          <w:color w:val="000000"/>
          <w:sz w:val="22"/>
          <w:szCs w:val="22"/>
        </w:rPr>
        <w:t xml:space="preserve"> to better understand their implications in child neurodevelopment.</w:t>
      </w:r>
      <w:r>
        <w:rPr>
          <w:color w:val="000000"/>
          <w:sz w:val="22"/>
          <w:szCs w:val="22"/>
        </w:rPr>
      </w:r>
    </w:p>
    <w:p>
      <w:pPr>
        <w:pBdr/>
        <w:spacing/>
        <w:ind/>
        <w:jc w:val="both"/>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This study has </w:t>
      </w:r>
      <w:r>
        <w:rPr>
          <w:color w:val="000000"/>
          <w:sz w:val="22"/>
          <w:szCs w:val="22"/>
        </w:rPr>
        <w:t xml:space="preserve">many strengths and some </w:t>
      </w:r>
      <w:r>
        <w:rPr>
          <w:color w:val="000000"/>
          <w:sz w:val="22"/>
          <w:szCs w:val="22"/>
        </w:rPr>
        <w:t xml:space="preserve">l</w:t>
      </w:r>
      <w:r>
        <w:rPr>
          <w:color w:val="000000"/>
          <w:sz w:val="22"/>
          <w:szCs w:val="22"/>
        </w:rPr>
        <w:t xml:space="preserve">imitations</w:t>
      </w:r>
      <w:r>
        <w:rPr>
          <w:color w:val="000000"/>
          <w:sz w:val="22"/>
          <w:szCs w:val="22"/>
        </w:rPr>
        <w:t xml:space="preserve">. </w:t>
      </w:r>
      <w:r>
        <w:rPr>
          <w:color w:val="000000"/>
          <w:sz w:val="22"/>
          <w:szCs w:val="22"/>
        </w:rPr>
        <w:t xml:space="preserve">This is the first longitudinal study to assess the association between proximity to pesticide spray sites and children’s neurobehavioral performance</w:t>
      </w:r>
      <w:r>
        <w:rPr>
          <w:color w:val="000000"/>
          <w:sz w:val="22"/>
          <w:szCs w:val="22"/>
        </w:rPr>
        <w:t xml:space="preserve"> in South America</w:t>
      </w:r>
      <w:r>
        <w:rPr>
          <w:color w:val="000000"/>
          <w:sz w:val="22"/>
          <w:szCs w:val="22"/>
        </w:rPr>
        <w:t xml:space="preserve">, </w:t>
      </w:r>
      <w:r>
        <w:rPr>
          <w:color w:val="000000"/>
          <w:sz w:val="22"/>
          <w:szCs w:val="22"/>
        </w:rPr>
        <w:t xml:space="preserve">contributing to the scarcity of research on this topic in Latin America, </w:t>
      </w:r>
      <w:r>
        <w:rPr>
          <w:color w:val="000000"/>
          <w:sz w:val="22"/>
          <w:szCs w:val="22"/>
        </w:rPr>
        <w:t xml:space="preserve">and </w:t>
      </w:r>
      <w:r>
        <w:rPr>
          <w:color w:val="000000"/>
          <w:sz w:val="22"/>
          <w:szCs w:val="22"/>
        </w:rPr>
        <w:t xml:space="preserve">one of only a few studies to</w:t>
      </w:r>
      <w:r>
        <w:rPr>
          <w:color w:val="000000"/>
          <w:sz w:val="22"/>
          <w:szCs w:val="22"/>
        </w:rPr>
        <w:t xml:space="preserve"> </w:t>
      </w:r>
      <w:r>
        <w:rPr>
          <w:color w:val="000000"/>
          <w:sz w:val="22"/>
          <w:szCs w:val="22"/>
        </w:rPr>
        <w:t xml:space="preserve">study</w:t>
      </w:r>
      <w:r>
        <w:rPr>
          <w:color w:val="000000"/>
          <w:sz w:val="22"/>
          <w:szCs w:val="22"/>
        </w:rPr>
        <w:t xml:space="preserve"> </w:t>
      </w:r>
      <w:r>
        <w:rPr>
          <w:color w:val="000000"/>
          <w:sz w:val="22"/>
          <w:szCs w:val="22"/>
        </w:rPr>
        <w:t xml:space="preserve">the</w:t>
      </w:r>
      <w:r>
        <w:rPr>
          <w:color w:val="000000"/>
          <w:sz w:val="22"/>
          <w:szCs w:val="22"/>
        </w:rPr>
        <w:t xml:space="preserve"> area of pesticide spray sites around children’s </w:t>
      </w:r>
      <w:r>
        <w:rPr>
          <w:color w:val="000000"/>
          <w:sz w:val="22"/>
          <w:szCs w:val="22"/>
        </w:rPr>
        <w:t xml:space="preserve">homes</w:t>
      </w:r>
      <w:r>
        <w:rPr>
          <w:color w:val="000000"/>
          <w:sz w:val="22"/>
          <w:szCs w:val="22"/>
        </w:rPr>
        <w:t xml:space="preserve"> </w:t>
      </w:r>
      <w:r>
        <w:rPr>
          <w:color w:val="000000"/>
          <w:sz w:val="22"/>
          <w:szCs w:val="22"/>
        </w:rPr>
        <w:fldChar w:fldCharType="begin"/>
      </w:r>
      <w:r>
        <w:rPr>
          <w:color w:val="000000"/>
          <w:sz w:val="22"/>
          <w:szCs w:val="22"/>
        </w:rPr>
        <w:instrText xml:space="preserve"> ADDIN ZOTERO_ITEM CSL</w:instrText>
      </w:r>
      <w:r>
        <w:rPr>
          <w:color w:val="000000"/>
          <w:sz w:val="22"/>
          <w:szCs w:val="22"/>
        </w:rPr>
        <w:instrText xml:space="preserve">_CITATION {"citationID":"PY7024eP","properties":{"formattedCitation":"(Reed et al., 2023)","plainCitation":"(Reed et al., 2023)","noteIndex":0},"citationItems":[{"id":4765,"uris":["http://zotero.org/users/5127433/items/C8UQ5PWT"],"itemData":{"id":4765,"typ</w:instrText>
      </w:r>
      <w:r>
        <w:rPr>
          <w:color w:val="000000"/>
          <w:sz w:val="22"/>
          <w:szCs w:val="22"/>
        </w:rPr>
        <w:instrText xml:space="preserve">e":"article-journal","abstract":"Pesticides are highly tested and regulated chemicals. There is currently great interest in the role that pesticides may play in childhood neurodevelopment. The objective was to identify and describe the body of evidence and</w:instrText>
      </w:r>
      <w:r>
        <w:rPr>
          <w:color w:val="000000"/>
          <w:sz w:val="22"/>
          <w:szCs w:val="22"/>
        </w:rPr>
        <w:instrText xml:space="preserve"> to assess the ability to synthesize effect estimates. The epidemiologic literature from 2011 to 2022 was searched for publications on the association between pesticide exposure and neurodevelopment, behavior, and/or cognition in children. We identified 11</w:instrText>
      </w:r>
      <w:r>
        <w:rPr>
          <w:color w:val="000000"/>
          <w:sz w:val="22"/>
          <w:szCs w:val="22"/>
        </w:rPr>
        <w:instrText xml:space="preserve">4 publications, representing 67 unique studies. While organochlorine and other insecticides were the most common classes of pesticides studied, up to 159 different metabolites or active ingredients were reported. Nine pesticides or their metabolites were r</w:instrText>
      </w:r>
      <w:r>
        <w:rPr>
          <w:color w:val="000000"/>
          <w:sz w:val="22"/>
          <w:szCs w:val="22"/>
        </w:rPr>
        <w:instrText xml:space="preserve">eported in &gt;10 publications. Similarly, multiple assessment methods were administered across studies to evaluate outcomes in neurodevelopment at ages which ranged from birth to 18 years of age. This scoping review reveals the heterogeneity among published </w:instrText>
      </w:r>
      <w:r>
        <w:rPr>
          <w:color w:val="000000"/>
          <w:sz w:val="22"/>
          <w:szCs w:val="22"/>
        </w:rPr>
        <w:instrText xml:space="preserve">studies with respect to exposures and health outcomes, in the methods used to assess and classify them, and in combinations of the two. This limits the adequacy of the evidence to evaluate specific risk estimates for a particular exposure-outcome pair. Int</w:instrText>
      </w:r>
      <w:r>
        <w:rPr>
          <w:color w:val="000000"/>
          <w:sz w:val="22"/>
          <w:szCs w:val="22"/>
        </w:rPr>
        <w:instrText xml:space="preserve">entional coordination among researchers to increase consistency in methodologies would facilitate the synthesis of results across studies. Research opportunities also exist to validate assumptions in exposure and outcome assessment which are implicit in ma</w:instrText>
      </w:r>
      <w:r>
        <w:rPr>
          <w:color w:val="000000"/>
          <w:sz w:val="22"/>
          <w:szCs w:val="22"/>
        </w:rPr>
        <w:instrText xml:space="preserve">ny of the studies reviewed. In conclusion, there are many ongoing epidemiologic studies with a focus on pesticides and neurodevelopment. The variety of exposures, exposure assessment methods and tests for each outcome can be overwhelming. Interdisciplinary</w:instrText>
      </w:r>
      <w:r>
        <w:rPr>
          <w:color w:val="000000"/>
          <w:sz w:val="22"/>
          <w:szCs w:val="22"/>
        </w:rPr>
        <w:instrText xml:space="preserve"> collaboration is recommended to harmonize data collection and to enable meaningful interpretation of the study results across populations.","container-title":"Global Epidemiology","DOI":"10.1016/j.gloepi.2023.100121","ISSN":"2590-1133","journalAbbreviatio</w:instrText>
      </w:r>
      <w:r>
        <w:rPr>
          <w:color w:val="000000"/>
          <w:sz w:val="22"/>
          <w:szCs w:val="22"/>
        </w:rPr>
        <w:instrText xml:space="preserve">n":"Global Epidemiology","page":"100121","source":"ScienceDirect","title":"Literature landscape of neurodevelopment and pesticides: A scoping review of methodologies","title-short":"Literature landscape of neurodevelopment and pesticides","volume":"6","aut</w:instrText>
      </w:r>
      <w:r>
        <w:rPr>
          <w:color w:val="000000"/>
          <w:sz w:val="22"/>
          <w:szCs w:val="22"/>
        </w:rPr>
        <w:instrText xml:space="preserve">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 xml:space="preserve">(Reed et al., 2023)</w:t>
      </w:r>
      <w:r>
        <w:rPr>
          <w:color w:val="000000"/>
          <w:sz w:val="22"/>
          <w:szCs w:val="22"/>
        </w:rPr>
        <w:fldChar w:fldCharType="end"/>
      </w:r>
      <w:r>
        <w:rPr>
          <w:color w:val="000000"/>
          <w:sz w:val="22"/>
          <w:szCs w:val="22"/>
        </w:rPr>
        <w:t xml:space="preserve">. </w:t>
      </w:r>
      <w:r>
        <w:rPr>
          <w:color w:val="000000"/>
          <w:sz w:val="22"/>
          <w:szCs w:val="22"/>
        </w:rPr>
        <w:t xml:space="preserve">While the NEPSY II was used in the CHAMACOS study and here, no other known studies have used NEPSY in assessment of neurobehavior in children and exposure to pesticides. </w:t>
      </w:r>
      <w:r>
        <w:rPr>
          <w:color w:val="000000"/>
          <w:sz w:val="22"/>
          <w:szCs w:val="22"/>
        </w:rPr>
        <w:t xml:space="preserve">There are, however, some limitations. </w:t>
      </w:r>
      <w:r>
        <w:rPr>
          <w:color w:val="000000"/>
          <w:sz w:val="22"/>
          <w:szCs w:val="22"/>
        </w:rPr>
        <w:t xml:space="preserve">This analysis included greenhouse</w:t>
      </w:r>
      <w:r>
        <w:rPr>
          <w:color w:val="000000"/>
          <w:sz w:val="22"/>
          <w:szCs w:val="22"/>
        </w:rPr>
        <w:t xml:space="preserve"> floriculture</w:t>
      </w:r>
      <w:r>
        <w:rPr>
          <w:color w:val="000000"/>
          <w:sz w:val="22"/>
          <w:szCs w:val="22"/>
        </w:rPr>
        <w:t xml:space="preserve">; however, the study area also has other vegetable</w:t>
      </w:r>
      <w:r>
        <w:rPr>
          <w:color w:val="000000"/>
          <w:sz w:val="22"/>
          <w:szCs w:val="22"/>
        </w:rPr>
        <w:t xml:space="preserve"> and fruit</w:t>
      </w:r>
      <w:r>
        <w:rPr>
          <w:color w:val="000000"/>
          <w:sz w:val="22"/>
          <w:szCs w:val="22"/>
        </w:rPr>
        <w:t xml:space="preserve"> plantations </w:t>
      </w:r>
      <w:r>
        <w:rPr>
          <w:color w:val="000000"/>
          <w:sz w:val="22"/>
          <w:szCs w:val="22"/>
        </w:rPr>
        <w:t xml:space="preserve">outside greenhouses </w:t>
      </w:r>
      <w:r>
        <w:rPr>
          <w:color w:val="000000"/>
          <w:sz w:val="22"/>
          <w:szCs w:val="22"/>
        </w:rPr>
        <w:t xml:space="preserve">not explore</w:t>
      </w:r>
      <w:r>
        <w:rPr>
          <w:color w:val="000000"/>
          <w:sz w:val="22"/>
          <w:szCs w:val="22"/>
        </w:rPr>
        <w:t xml:space="preserve">d and these crops</w:t>
      </w:r>
      <w:r>
        <w:rPr>
          <w:color w:val="000000"/>
          <w:sz w:val="22"/>
          <w:szCs w:val="22"/>
        </w:rPr>
        <w:t xml:space="preserve"> us</w:t>
      </w:r>
      <w:r>
        <w:rPr>
          <w:color w:val="000000"/>
          <w:sz w:val="22"/>
          <w:szCs w:val="22"/>
        </w:rPr>
        <w:t xml:space="preserve">e</w:t>
      </w:r>
      <w:r>
        <w:rPr>
          <w:color w:val="000000"/>
          <w:sz w:val="22"/>
          <w:szCs w:val="22"/>
        </w:rPr>
        <w:t xml:space="preserve"> pesticides as well. </w:t>
      </w:r>
      <w:r>
        <w:rPr>
          <w:color w:val="000000"/>
          <w:sz w:val="22"/>
          <w:szCs w:val="22"/>
        </w:rPr>
        <w:t xml:space="preserve">The sample size is small and may be </w:t>
      </w:r>
      <w:r>
        <w:rPr>
          <w:color w:val="000000"/>
          <w:sz w:val="22"/>
          <w:szCs w:val="22"/>
        </w:rPr>
        <w:t xml:space="preserve">underpowered to detect some associations. </w:t>
      </w:r>
      <w:r>
        <w:rPr>
          <w:color w:val="000000"/>
          <w:sz w:val="22"/>
          <w:szCs w:val="22"/>
        </w:rPr>
        <w:t xml:space="preserve">Further, exposures were defined based on household characteristics—such as occupation of household members and distance to plantation—</w:t>
      </w:r>
      <w:commentRangeStart w:id="124"/>
      <w:commentRangeStart w:id="125"/>
      <w:r>
        <w:rPr>
          <w:color w:val="000000"/>
          <w:sz w:val="22"/>
          <w:szCs w:val="22"/>
        </w:rPr>
        <w:t xml:space="preserve">but children enroll in school spend about one third of their day at school</w:t>
      </w:r>
      <w:commentRangeEnd w:id="124"/>
      <w:commentRangeEnd w:id="125"/>
      <w:r>
        <w:commentReference w:id="124"/>
        <w:commentReference w:id="125"/>
      </w:r>
      <w:r>
        <w:rPr>
          <w:color w:val="000000"/>
          <w:sz w:val="22"/>
          <w:szCs w:val="22"/>
        </w:rPr>
        <w:t xml:space="preserve">. </w:t>
      </w:r>
      <w:r>
        <w:rPr>
          <w:color w:val="000000"/>
          <w:sz w:val="22"/>
          <w:szCs w:val="22"/>
        </w:rPr>
        <w:t xml:space="preserve">This geospatial construct could be </w:t>
      </w:r>
      <w:r>
        <w:rPr>
          <w:color w:val="000000"/>
          <w:sz w:val="22"/>
          <w:szCs w:val="22"/>
        </w:rPr>
        <w:t xml:space="preserve">incorporated</w:t>
      </w:r>
      <w:r>
        <w:rPr>
          <w:color w:val="000000"/>
          <w:sz w:val="22"/>
          <w:szCs w:val="22"/>
        </w:rPr>
        <w:t xml:space="preserve"> into future studies.</w:t>
      </w:r>
      <w:r>
        <w:rPr>
          <w:color w:val="000000"/>
          <w:sz w:val="22"/>
          <w:szCs w:val="22"/>
        </w:rPr>
        <w:t xml:space="preserve"> </w:t>
      </w:r>
      <w:r>
        <w:rPr>
          <w:color w:val="000000"/>
          <w:sz w:val="22"/>
          <w:szCs w:val="22"/>
        </w:rPr>
        <w:t xml:space="preserve">Further, two previous studies reported no differences in NEPSY-II scores based on language administration (English vs Spanish) </w:t>
      </w:r>
      <w:r>
        <w:rPr>
          <w:color w:val="000000"/>
          <w:sz w:val="22"/>
          <w:szCs w:val="22"/>
        </w:rPr>
        <w:fldChar w:fldCharType="begin"/>
      </w:r>
      <w:r>
        <w:rPr>
          <w:color w:val="000000"/>
          <w:sz w:val="22"/>
          <w:szCs w:val="22"/>
        </w:rPr>
        <w:instrText xml:space="preserve"> ADDIN ZOTERO_ITEM CSL_CITATION {"citationID":"s3jVlE1J","pro</w:instrText>
      </w:r>
      <w:r>
        <w:rPr>
          <w:color w:val="000000"/>
          <w:sz w:val="22"/>
          <w:szCs w:val="22"/>
        </w:rPr>
        <w:instrText xml:space="preserve">perties":{"formattedCitation":"(Gunier, Bradman, Harley, Kogut, et al., 2017; Korpinen et al., 2023)","plainCitation":"(Gunier, Bradman, Harley, Kogut, et al., 2017; Korpinen et al., 2023)","noteIndex":0},"citationItems":[{"id":4683,"uris":["http://zotero.</w:instrText>
      </w:r>
      <w:r>
        <w:rPr>
          <w:color w:val="000000"/>
          <w:sz w:val="22"/>
          <w:szCs w:val="22"/>
        </w:rPr>
        <w:instrText xml:space="preserve">org/users/5127433/items/ALAF35J8"],"itemData":{"id":4683,"type":"article-journal","abstract":"Background:Residential proximity to agricultural pesticide use has been associated with neural tube defects and autism, but more subtle outcomes such as cognition</w:instrText>
      </w:r>
      <w:r>
        <w:rPr>
          <w:color w:val="000000"/>
          <w:sz w:val="22"/>
          <w:szCs w:val="22"/>
        </w:rPr>
        <w:instrText xml:space="preserve">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 xml:space="preserve">𝑛</w:instrText>
      </w:r>
      <w:r>
        <w:rPr>
          <w:color w:val="000000"/>
          <w:sz w:val="22"/>
          <w:szCs w:val="22"/>
        </w:rPr>
        <w:instrText xml:space="preserve">=283) living in the agricultural Salinas Valley of California enrolled in the Center for the Health Assessment of Mothers and Children of Salinas (CHAMACOS) study. We estimated agricu</w:instrText>
      </w:r>
      <w:r>
        <w:rPr>
          <w:color w:val="000000"/>
          <w:sz w:val="22"/>
          <w:szCs w:val="22"/>
        </w:rPr>
        <w:instrText xml:space="preserve">ltural pesticide use within 1 km of maternal residences during pregnancy using a geographic information system, residential location, and California’s comprehensive agricultural Pesticide Use Report data. We used regression models to evaluate prenatal resi</w:instrText>
      </w:r>
      <w:r>
        <w:rPr>
          <w:color w:val="000000"/>
          <w:sz w:val="22"/>
          <w:szCs w:val="22"/>
        </w:rPr>
        <w:instrText xml:space="preserve">dential proximity to agricultural use of five potentially neurotoxic pesticide groups (organophosphates, carbamates, pyrethroids, neonicotinoids, and manganese fungicides) and five individual organophosphates (acephate, chlorpyrifos, diazinon, malathion, a</w:instrText>
      </w:r>
      <w:r>
        <w:rPr>
          <w:color w:val="000000"/>
          <w:sz w:val="22"/>
          <w:szCs w:val="22"/>
        </w:rPr>
        <w:instrText xml:space="preserve">nd oxydemeton-methyl) and cognition in 7-year-old children. All models included prenatal urinary dialkyl phosphate metabolite concentrations.Results:We observed a decrease of 2.2 points [95% confidence interval (CI): −3.9, −0.5] in Full-Scale IQ and 2.9 po</w:instrText>
      </w:r>
      <w:r>
        <w:rPr>
          <w:color w:val="000000"/>
          <w:sz w:val="22"/>
          <w:szCs w:val="22"/>
        </w:rPr>
        <w:instrText xml:space="preserve">ints (95% CI: −4.4, −1.3) in Verbal Comprehension for each standard deviation increase in toxicity-weighted use of organophosphate pesticides. In separate models, we observed similar decrements in Full-Scale IQ with each standard deviation increase of use </w:instrText>
      </w:r>
      <w:r>
        <w:rPr>
          <w:color w:val="000000"/>
          <w:sz w:val="22"/>
          <w:szCs w:val="22"/>
        </w:rPr>
        <w:instrText xml:space="preserve">for two organophosphates (acephate and oxydemeton-methyl) and three neurotoxic pesticide groups (pyrethroids, neonicotinoids, and manganese fungicides).Conclusions:This study identified potential relationships between maternal residential proximity to agri</w:instrText>
      </w:r>
      <w:r>
        <w:rPr>
          <w:color w:val="000000"/>
          <w:sz w:val="22"/>
          <w:szCs w:val="22"/>
        </w:rPr>
        <w:instrText xml:space="preserve">cultural use of neurotoxic pesticides and poorer neurodevelopment in children. https://doi.org/10.1289/EHP504","container-title":"Environmental Health Perspectives","DOI":"10.1289/EHP504","issue":"5","note":"publisher: Environmental Health Perspectives","p</w:instrText>
      </w:r>
      <w:r>
        <w:rPr>
          <w:color w:val="000000"/>
          <w:sz w:val="22"/>
          <w:szCs w:val="22"/>
        </w:rPr>
        <w:instrText xml:space="preserve">age":"057002","source":"ehp.niehs.nih.gov (Atypon)","title":"Prenatal Residential Proximity to Agricultural Pesticide Use and IQ in 7-Year-Old Children","volume":"125","author":[{"family":"Gunier","given":"Robert B."},{"family":"Bradman","given":"Asa"},{"f</w:instrText>
      </w:r>
      <w:r>
        <w:rPr>
          <w:color w:val="000000"/>
          <w:sz w:val="22"/>
          <w:szCs w:val="22"/>
        </w:rPr>
        <w:instrText xml:space="preserve">amily":"Harley","given":"Kim G."},{"family":"Kogut","given":"Katherine"},{"family":"Eskenazi","given":"Brenda"}],"issued":{"date-parts":[["2017",5,24]]}}},{"id":4602,"uris":["http://zotero.org/users/5127433/items/N4LPC2WX"],"itemData":{"id":4602,"type":"ar</w:instrText>
      </w:r>
      <w:r>
        <w:rPr>
          <w:color w:val="000000"/>
          <w:sz w:val="22"/>
          <w:szCs w:val="22"/>
        </w:rPr>
        <w:instrText xml:space="preserve">ticle-journal","abstract":"Children's language background relates to their neurocognitive development. Knowledge of this relationship is important as bilingualism is common. However, research regarding language background in relation to performance on cogn</w:instrText>
      </w:r>
      <w:r>
        <w:rPr>
          <w:color w:val="000000"/>
          <w:sz w:val="22"/>
          <w:szCs w:val="22"/>
        </w:rPr>
        <w:instrText xml:space="preserve">itive tests such as the WPPSI-IV and NEPSY-II is scarce. The present study compared WPPSI-IV and NEPSY-II performances between 5- and 6-year-old Swedish-speaking monolingual (n = 45) and Swedish-Finnish-speaking simultaneous bilingual (n = 34) children in </w:instrText>
      </w:r>
      <w:r>
        <w:rPr>
          <w:color w:val="000000"/>
          <w:sz w:val="22"/>
          <w:szCs w:val="22"/>
        </w:rPr>
        <w:instrText xml:space="preserve">Finland. The participants were gathered by stratified sampling and were assessed with the Swedish versions of the tests. In profile analyses, a significant monolingual advantage was found in some WPPSI-IV subtests and indexes requiring expressive vocabular</w:instrText>
      </w:r>
      <w:r>
        <w:rPr>
          <w:color w:val="000000"/>
          <w:sz w:val="22"/>
          <w:szCs w:val="22"/>
        </w:rPr>
        <w:instrText xml:space="preserve">y (Vocabulary, Similarities, Picture Naming, and Vocabulary Acquisition Index) and visuospatial skills (Object Assembly and Visual Spatial Index). No group differences were found between mono- and bilingual children in receptive language, visual memory, or</w:instrText>
      </w:r>
      <w:r>
        <w:rPr>
          <w:color w:val="000000"/>
          <w:sz w:val="22"/>
          <w:szCs w:val="22"/>
        </w:rPr>
        <w:instrText xml:space="preserve"> fluid intelligence. Additionally, no differences were found on the Full Scale IQ. The performance on the WPPSI-IV Similarities subtest improved in a subgroup of bilinguals when answers in both Swedish and Finnish were accounted for, instead of accepting o</w:instrText>
      </w:r>
      <w:r>
        <w:rPr>
          <w:color w:val="000000"/>
          <w:sz w:val="22"/>
          <w:szCs w:val="22"/>
        </w:rPr>
        <w:instrText xml:space="preserve">nly answers in Swedish. No significant differences were found between mono- and bilinguals on the language and memory tasks of NEPSY-II. These findings highlight the importance of considering the child's language background when assessing expressive langua</w:instrText>
      </w:r>
      <w:r>
        <w:rPr>
          <w:color w:val="000000"/>
          <w:sz w:val="22"/>
          <w:szCs w:val="22"/>
        </w:rPr>
        <w:instrText xml:space="preserve">ge in young children, as well as the benefits of assessing bilinguals in both of their languages.","container-title":"Scandinavian Journal of Psychology","DOI":"10.1111/sjop.12895","ISSN":"1467-9450","issue":"4","language":"en","license":"© 2023 The Author</w:instrText>
      </w:r>
      <w:r>
        <w:rPr>
          <w:color w:val="000000"/>
          <w:sz w:val="22"/>
          <w:szCs w:val="22"/>
        </w:rPr>
        <w:instrText xml:space="preserve">s. Scandinavian Journal of Psychology published by Scandinavian Psychological Associations and John Wiley &amp; Sons Ltd.","note":"_eprint: https://onlinelibrary.wiley.com/doi/pdf/10.1111/sjop.12895","page":"409-420","source":"Wiley Online Library","title":"WP</w:instrText>
      </w:r>
      <w:r>
        <w:rPr>
          <w:color w:val="000000"/>
          <w:sz w:val="22"/>
          <w:szCs w:val="22"/>
        </w:rPr>
        <w:instrText xml:space="preserve">PSI-IV and NEPSY-II performance in mono- and bilingual 5–6-year-old children: Findings from The FinSwed Study","title-short":"WPPSI-IV and NEPSY-II performance in mono- and bilingual 5–6-year-old children","volume":"64","author":[{"family":"Korpinen","give</w:instrText>
      </w:r>
      <w:r>
        <w:rPr>
          <w:color w:val="000000"/>
          <w:sz w:val="22"/>
          <w:szCs w:val="22"/>
        </w:rPr>
        <w:instrText xml:space="preser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 xml:space="preserve">(Gunier, Bradman, Harley, Kogut, et al., 2017; Korpinen et al., 2023)</w:t>
      </w:r>
      <w:r>
        <w:rPr>
          <w:color w:val="000000"/>
          <w:sz w:val="22"/>
          <w:szCs w:val="22"/>
        </w:rPr>
        <w:fldChar w:fldCharType="end"/>
      </w:r>
      <w:r>
        <w:rPr>
          <w:color w:val="000000"/>
          <w:sz w:val="22"/>
          <w:szCs w:val="22"/>
        </w:rPr>
        <w:t xml:space="preserve">. However, when </w:t>
      </w:r>
      <w:r>
        <w:rPr>
          <w:color w:val="000000"/>
          <w:sz w:val="22"/>
          <w:szCs w:val="22"/>
        </w:rPr>
        <w:t xml:space="preserve">assessing expressive language in young children</w:t>
      </w:r>
      <w:r>
        <w:rPr>
          <w:color w:val="000000"/>
          <w:sz w:val="22"/>
          <w:szCs w:val="22"/>
        </w:rPr>
        <w:t xml:space="preserve"> c</w:t>
      </w:r>
      <w:r>
        <w:rPr>
          <w:color w:val="000000"/>
          <w:sz w:val="22"/>
          <w:szCs w:val="22"/>
        </w:rPr>
        <w:t xml:space="preserve">onsidering the child's language background</w:t>
      </w:r>
      <w:r>
        <w:rPr>
          <w:color w:val="000000"/>
          <w:sz w:val="22"/>
          <w:szCs w:val="22"/>
        </w:rPr>
        <w:t xml:space="preserve"> is important </w:t>
      </w:r>
      <w:r>
        <w:rPr>
          <w:color w:val="000000"/>
          <w:sz w:val="22"/>
          <w:szCs w:val="22"/>
        </w:rPr>
        <w:fldChar w:fldCharType="begin"/>
      </w:r>
      <w:r>
        <w:rPr>
          <w:color w:val="000000"/>
          <w:sz w:val="22"/>
          <w:szCs w:val="22"/>
        </w:rPr>
        <w:instrText xml:space="preserve"> ADDIN ZOTERO_ITEM CSL_CITATION {"ci</w:instrText>
      </w:r>
      <w:r>
        <w:rPr>
          <w:color w:val="000000"/>
          <w:sz w:val="22"/>
          <w:szCs w:val="22"/>
        </w:rPr>
        <w:instrText xml:space="preserve">tationID":"q3pFbta5","properties":{"formattedCitation":"(Korpinen et al., 2023)","plainCitation":"(Korpinen et al., 2023)","noteIndex":0},"citationItems":[{"id":4602,"uris":["http://zotero.org/users/5127433/items/N4LPC2WX"],"itemData":{"id":4602,"type":"ar</w:instrText>
      </w:r>
      <w:r>
        <w:rPr>
          <w:color w:val="000000"/>
          <w:sz w:val="22"/>
          <w:szCs w:val="22"/>
        </w:rPr>
        <w:instrText xml:space="preserve">ticle-journal","abstract":"Children's language background relates to their neurocognitive development. Knowledge of this relationship is important as bilingualism is common. However, research regarding language background in relation to performance on cogn</w:instrText>
      </w:r>
      <w:r>
        <w:rPr>
          <w:color w:val="000000"/>
          <w:sz w:val="22"/>
          <w:szCs w:val="22"/>
        </w:rPr>
        <w:instrText xml:space="preserve">itive tests such as the WPPSI-IV and NEPSY-II is scarce. The present study compared WPPSI-IV and NEPSY-II performances between 5- and 6-year-old Swedish-speaking monolingual (n = 45) and Swedish-Finnish-speaking simultaneous bilingual (n = 34) children in </w:instrText>
      </w:r>
      <w:r>
        <w:rPr>
          <w:color w:val="000000"/>
          <w:sz w:val="22"/>
          <w:szCs w:val="22"/>
        </w:rPr>
        <w:instrText xml:space="preserve">Finland. The participants were gathered by stratified sampling and were assessed with the Swedish versions of the tests. In profile analyses, a significant monolingual advantage was found in some WPPSI-IV subtests and indexes requiring expressive vocabular</w:instrText>
      </w:r>
      <w:r>
        <w:rPr>
          <w:color w:val="000000"/>
          <w:sz w:val="22"/>
          <w:szCs w:val="22"/>
        </w:rPr>
        <w:instrText xml:space="preserve">y (Vocabulary, Similarities, Picture Naming, and Vocabulary Acquisition Index) and visuospatial skills (Object Assembly and Visual Spatial Index). No group differences were found between mono- and bilingual children in receptive language, visual memory, or</w:instrText>
      </w:r>
      <w:r>
        <w:rPr>
          <w:color w:val="000000"/>
          <w:sz w:val="22"/>
          <w:szCs w:val="22"/>
        </w:rPr>
        <w:instrText xml:space="preserve"> fluid intelligence. Additionally, no differences were found on the Full Scale IQ. The performance on the WPPSI-IV Similarities subtest improved in a subgroup of bilinguals when answers in both Swedish and Finnish were accounted for, instead of accepting o</w:instrText>
      </w:r>
      <w:r>
        <w:rPr>
          <w:color w:val="000000"/>
          <w:sz w:val="22"/>
          <w:szCs w:val="22"/>
        </w:rPr>
        <w:instrText xml:space="preserve">nly answers in Swedish. No significant differences were found between mono- and bilinguals on the language and memory tasks of NEPSY-II. These findings highlight the importance of considering the child's language background when assessing expressive langua</w:instrText>
      </w:r>
      <w:r>
        <w:rPr>
          <w:color w:val="000000"/>
          <w:sz w:val="22"/>
          <w:szCs w:val="22"/>
        </w:rPr>
        <w:instrText xml:space="preserve">ge in young children, as well as the benefits of assessing bilinguals in both of their languages.","container-title":"Scandinavian Journal of Psychology","DOI":"10.1111/sjop.12895","ISSN":"1467-9450","issue":"4","language":"en","license":"© 2023 The Author</w:instrText>
      </w:r>
      <w:r>
        <w:rPr>
          <w:color w:val="000000"/>
          <w:sz w:val="22"/>
          <w:szCs w:val="22"/>
        </w:rPr>
        <w:instrText xml:space="preserve">s. Scandinavian Journal of Psychology published by Scandinavian Psychological Associations and John Wiley &amp; Sons Ltd.","note":"_eprint: https://onlinelibrary.wiley.com/doi/pdf/10.1111/sjop.12895","page":"409-420","source":"Wiley Online Library","title":"WP</w:instrText>
      </w:r>
      <w:r>
        <w:rPr>
          <w:color w:val="000000"/>
          <w:sz w:val="22"/>
          <w:szCs w:val="22"/>
        </w:rPr>
        <w:instrText xml:space="preserve">PSI-IV and NEPSY-II performance in mono- and bilingual 5–6-year-old children: Findings from The FinSwed Study","title-short":"WPPSI-IV and NEPSY-II performance in mono- and bilingual 5–6-year-old children","volume":"64","author":[{"family":"Korpinen","give</w:instrText>
      </w:r>
      <w:r>
        <w:rPr>
          <w:color w:val="000000"/>
          <w:sz w:val="22"/>
          <w:szCs w:val="22"/>
        </w:rPr>
        <w:instrText xml:space="preser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 xml:space="preserve">(Korpinen et al., 2023)</w:t>
      </w:r>
      <w:r>
        <w:rPr>
          <w:color w:val="000000"/>
          <w:sz w:val="22"/>
          <w:szCs w:val="22"/>
        </w:rPr>
        <w:fldChar w:fldCharType="end"/>
      </w:r>
      <w:r>
        <w:rPr>
          <w:color w:val="000000"/>
          <w:sz w:val="22"/>
          <w:szCs w:val="22"/>
        </w:rPr>
        <w:t xml:space="preserve">. For instance, </w:t>
      </w:r>
      <w:r>
        <w:rPr>
          <w:color w:val="000000"/>
          <w:sz w:val="22"/>
          <w:szCs w:val="22"/>
        </w:rPr>
        <w:t xml:space="preserve">language</w:t>
      </w:r>
      <w:r>
        <w:rPr>
          <w:color w:val="000000"/>
          <w:sz w:val="22"/>
          <w:szCs w:val="22"/>
        </w:rPr>
        <w:t xml:space="preserve">–and particularly </w:t>
      </w:r>
      <w:r>
        <w:rPr>
          <w:color w:val="000000"/>
          <w:sz w:val="22"/>
          <w:szCs w:val="22"/>
        </w:rPr>
        <w:t xml:space="preserve">comprehension of instruction—could </w:t>
      </w:r>
      <w:r>
        <w:rPr>
          <w:color w:val="000000"/>
          <w:sz w:val="22"/>
          <w:szCs w:val="22"/>
        </w:rPr>
        <w:t xml:space="preserve">limit the ability to respond correctly if </w:t>
      </w:r>
      <w:r>
        <w:rPr>
          <w:color w:val="000000"/>
          <w:sz w:val="22"/>
          <w:szCs w:val="22"/>
        </w:rPr>
        <w:t xml:space="preserve">participants’ mother language is different than Spanish (e.g., Quechua).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Style w:val="782"/>
        <w:numPr>
          <w:ilvl w:val="0"/>
          <w:numId w:val="1"/>
        </w:numPr>
        <w:pBdr/>
        <w:spacing/>
        <w:ind/>
        <w:rPr>
          <w:b/>
          <w:bCs/>
          <w:color w:val="000000"/>
          <w:sz w:val="22"/>
          <w:szCs w:val="22"/>
        </w:rPr>
      </w:pPr>
      <w:r>
        <w:rPr>
          <w:b/>
          <w:bCs/>
          <w:color w:val="000000"/>
          <w:sz w:val="22"/>
          <w:szCs w:val="22"/>
        </w:rPr>
        <w:t xml:space="preserve">Conclusion</w:t>
      </w:r>
      <w:r>
        <w:rPr>
          <w:b/>
          <w:bCs/>
          <w:color w:val="000000"/>
          <w:sz w:val="22"/>
          <w:szCs w:val="22"/>
        </w:rPr>
      </w:r>
    </w:p>
    <w:p>
      <w:pPr>
        <w:pBdr/>
        <w:spacing/>
        <w:ind/>
        <w:jc w:val="both"/>
        <w:rPr>
          <w:color w:val="000000"/>
          <w:sz w:val="22"/>
          <w:szCs w:val="22"/>
        </w:rPr>
      </w:pPr>
      <w:r>
        <w:rPr>
          <w:color w:val="000000"/>
          <w:sz w:val="22"/>
          <w:szCs w:val="22"/>
        </w:rPr>
        <w:t xml:space="preserve">In this longitudinal </w:t>
      </w:r>
      <w:r>
        <w:rPr>
          <w:color w:val="000000"/>
          <w:sz w:val="22"/>
          <w:szCs w:val="22"/>
        </w:rPr>
        <w:t xml:space="preserve">ESPINA </w:t>
      </w:r>
      <w:r>
        <w:rPr>
          <w:color w:val="000000"/>
          <w:sz w:val="22"/>
          <w:szCs w:val="22"/>
        </w:rPr>
        <w:t xml:space="preserve">study of children who grow up near floriculture, where pesticides are heavily used, r</w:t>
      </w:r>
      <w:r>
        <w:rPr>
          <w:color w:val="000000"/>
          <w:sz w:val="22"/>
          <w:szCs w:val="22"/>
        </w:rPr>
        <w:t xml:space="preserve">esidential proximity to </w:t>
      </w:r>
      <w:r>
        <w:rPr>
          <w:color w:val="000000"/>
          <w:sz w:val="22"/>
          <w:szCs w:val="22"/>
        </w:rPr>
        <w:t xml:space="preserve">floriculture </w:t>
      </w:r>
      <w:r>
        <w:rPr>
          <w:color w:val="000000"/>
          <w:sz w:val="22"/>
          <w:szCs w:val="22"/>
        </w:rPr>
        <w:t xml:space="preserve">plantations and crop areas around children’s households were associated with </w:t>
      </w:r>
      <w:r>
        <w:rPr>
          <w:color w:val="000000"/>
          <w:sz w:val="22"/>
          <w:szCs w:val="22"/>
        </w:rPr>
        <w:t xml:space="preserve">lower performance </w:t>
      </w:r>
      <w:r>
        <w:rPr>
          <w:color w:val="000000"/>
          <w:sz w:val="22"/>
          <w:szCs w:val="22"/>
        </w:rPr>
        <w:t xml:space="preserve">in</w:t>
      </w:r>
      <w:r>
        <w:rPr>
          <w:color w:val="000000"/>
          <w:sz w:val="22"/>
          <w:szCs w:val="22"/>
        </w:rPr>
        <w:t xml:space="preserve">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w:t>
      </w:r>
      <w:r>
        <w:rPr>
          <w:color w:val="000000"/>
          <w:sz w:val="22"/>
          <w:szCs w:val="22"/>
        </w:rPr>
        <w:t xml:space="preserve">L</w:t>
      </w:r>
      <w:r>
        <w:rPr>
          <w:color w:val="000000"/>
          <w:sz w:val="22"/>
          <w:szCs w:val="22"/>
        </w:rPr>
        <w:t xml:space="preserve">anguage, and </w:t>
      </w:r>
      <w:r>
        <w:rPr>
          <w:color w:val="000000"/>
          <w:sz w:val="22"/>
          <w:szCs w:val="22"/>
        </w:rPr>
        <w:t xml:space="preserve">M</w:t>
      </w:r>
      <w:r>
        <w:rPr>
          <w:color w:val="000000"/>
          <w:sz w:val="22"/>
          <w:szCs w:val="22"/>
        </w:rPr>
        <w:t xml:space="preserve">emory</w:t>
      </w:r>
      <w:r>
        <w:rPr>
          <w:color w:val="000000"/>
          <w:sz w:val="22"/>
          <w:szCs w:val="22"/>
        </w:rPr>
        <w:t xml:space="preserve">/</w:t>
      </w:r>
      <w:r>
        <w:rPr>
          <w:color w:val="000000"/>
          <w:sz w:val="22"/>
          <w:szCs w:val="22"/>
        </w:rPr>
        <w:t xml:space="preserve">L</w:t>
      </w:r>
      <w:r>
        <w:rPr>
          <w:color w:val="000000"/>
          <w:sz w:val="22"/>
          <w:szCs w:val="22"/>
        </w:rPr>
        <w:t xml:space="preserve">earning among children and adolescents</w:t>
      </w:r>
      <w:r>
        <w:rPr>
          <w:color w:val="000000"/>
          <w:sz w:val="22"/>
          <w:szCs w:val="22"/>
        </w:rPr>
        <w:t xml:space="preserve"> assessed </w:t>
      </w:r>
      <w:r>
        <w:rPr>
          <w:color w:val="000000"/>
          <w:sz w:val="22"/>
          <w:szCs w:val="22"/>
        </w:rPr>
        <w:t xml:space="preserve">in three different </w:t>
      </w:r>
      <w:r>
        <w:rPr>
          <w:color w:val="000000"/>
          <w:sz w:val="22"/>
          <w:szCs w:val="22"/>
        </w:rPr>
        <w:t xml:space="preserve">time </w:t>
      </w:r>
      <w:r>
        <w:rPr>
          <w:color w:val="000000"/>
          <w:sz w:val="22"/>
          <w:szCs w:val="22"/>
        </w:rPr>
        <w:t xml:space="preserve">periods in Pedro </w:t>
      </w:r>
      <w:r>
        <w:rPr>
          <w:color w:val="000000"/>
          <w:sz w:val="22"/>
          <w:szCs w:val="22"/>
        </w:rPr>
        <w:t xml:space="preserve">Moncayo</w:t>
      </w:r>
      <w:r>
        <w:rPr>
          <w:color w:val="000000"/>
          <w:sz w:val="22"/>
          <w:szCs w:val="22"/>
        </w:rPr>
        <w:t xml:space="preserve">, Ecuador. </w:t>
      </w:r>
      <w:r>
        <w:rPr>
          <w:color w:val="000000"/>
          <w:sz w:val="22"/>
          <w:szCs w:val="22"/>
        </w:rPr>
        <w:t xml:space="preserve">The</w:t>
      </w:r>
      <w:r>
        <w:rPr>
          <w:color w:val="000000"/>
          <w:sz w:val="22"/>
          <w:szCs w:val="22"/>
        </w:rPr>
        <w:t xml:space="preserve"> </w:t>
      </w:r>
      <w:r>
        <w:rPr>
          <w:color w:val="000000"/>
          <w:sz w:val="22"/>
          <w:szCs w:val="22"/>
        </w:rPr>
        <w:t xml:space="preserve">distance from residence to nearest plantation and all crop area variables </w:t>
      </w:r>
      <w:r>
        <w:rPr>
          <w:color w:val="000000"/>
          <w:sz w:val="22"/>
          <w:szCs w:val="22"/>
        </w:rPr>
        <w:t xml:space="preserve">between 50 and 500m</w:t>
      </w:r>
      <w:r>
        <w:rPr>
          <w:color w:val="000000"/>
          <w:sz w:val="22"/>
          <w:szCs w:val="22"/>
        </w:rPr>
        <w:t xml:space="preserve"> </w:t>
      </w:r>
      <w:r>
        <w:rPr>
          <w:color w:val="000000"/>
          <w:sz w:val="22"/>
          <w:szCs w:val="22"/>
        </w:rPr>
        <w:t xml:space="preserve">were </w:t>
      </w:r>
      <w:r>
        <w:rPr>
          <w:color w:val="000000"/>
          <w:sz w:val="22"/>
          <w:szCs w:val="22"/>
        </w:rPr>
        <w:t xml:space="preserve">associated with lower performance </w:t>
      </w:r>
      <w:r>
        <w:rPr>
          <w:color w:val="000000"/>
          <w:sz w:val="22"/>
          <w:szCs w:val="22"/>
        </w:rPr>
        <w:t xml:space="preserve">in the </w:t>
      </w:r>
      <w:r>
        <w:rPr>
          <w:color w:val="000000"/>
          <w:sz w:val="22"/>
          <w:szCs w:val="22"/>
        </w:rPr>
        <w:t xml:space="preserve">domain</w:t>
      </w:r>
      <w:r>
        <w:rPr>
          <w:color w:val="000000"/>
          <w:sz w:val="22"/>
          <w:szCs w:val="22"/>
        </w:rPr>
        <w:t xml:space="preserve"> of</w:t>
      </w:r>
      <w:r>
        <w:rPr>
          <w:color w:val="000000"/>
          <w:sz w:val="22"/>
          <w:szCs w:val="22"/>
        </w:rPr>
        <w:t xml:space="preserve"> </w:t>
      </w:r>
      <w:r>
        <w:rPr>
          <w:color w:val="000000"/>
          <w:sz w:val="22"/>
          <w:szCs w:val="22"/>
        </w:rPr>
        <w:t xml:space="preserve">A</w:t>
      </w:r>
      <w:r>
        <w:rPr>
          <w:color w:val="000000"/>
          <w:sz w:val="22"/>
          <w:szCs w:val="22"/>
        </w:rPr>
        <w:t xml:space="preserve">ttention</w:t>
      </w:r>
      <w:r>
        <w:rPr>
          <w:color w:val="000000"/>
          <w:sz w:val="22"/>
          <w:szCs w:val="22"/>
        </w:rPr>
        <w:t xml:space="preserve">/I</w:t>
      </w:r>
      <w:r>
        <w:rPr>
          <w:color w:val="000000"/>
          <w:sz w:val="22"/>
          <w:szCs w:val="22"/>
        </w:rPr>
        <w:t xml:space="preserve">nhibitory </w:t>
      </w:r>
      <w:r>
        <w:rPr>
          <w:color w:val="000000"/>
          <w:sz w:val="22"/>
          <w:szCs w:val="22"/>
        </w:rPr>
        <w:t xml:space="preserve">C</w:t>
      </w:r>
      <w:r>
        <w:rPr>
          <w:color w:val="000000"/>
          <w:sz w:val="22"/>
          <w:szCs w:val="22"/>
        </w:rPr>
        <w:t xml:space="preserve">ontrol. </w:t>
      </w:r>
      <w:r>
        <w:rPr>
          <w:color w:val="000000"/>
          <w:sz w:val="22"/>
          <w:szCs w:val="22"/>
        </w:rPr>
        <w:t xml:space="preserve">This research</w:t>
      </w:r>
      <w:r>
        <w:rPr>
          <w:color w:val="000000"/>
          <w:sz w:val="22"/>
          <w:szCs w:val="22"/>
        </w:rPr>
        <w:t xml:space="preserve"> contributes to the body of research that suggests that exposure to pesticides is negatively associated with neurobehavior. This research has </w:t>
      </w:r>
      <w:r>
        <w:rPr>
          <w:color w:val="000000"/>
          <w:sz w:val="22"/>
          <w:szCs w:val="22"/>
        </w:rPr>
        <w:t xml:space="preserve">implications for</w:t>
      </w:r>
      <w:r>
        <w:rPr>
          <w:color w:val="000000"/>
          <w:sz w:val="22"/>
          <w:szCs w:val="22"/>
        </w:rPr>
        <w:t xml:space="preserve"> </w:t>
      </w:r>
      <w:r>
        <w:rPr>
          <w:color w:val="000000"/>
          <w:sz w:val="22"/>
          <w:szCs w:val="22"/>
        </w:rPr>
        <w:t xml:space="preserve">health-based</w:t>
      </w:r>
      <w:r>
        <w:rPr>
          <w:color w:val="000000"/>
          <w:sz w:val="22"/>
          <w:szCs w:val="22"/>
        </w:rPr>
        <w:t xml:space="preserve"> standards </w:t>
      </w:r>
      <w:r>
        <w:rPr>
          <w:color w:val="000000"/>
          <w:sz w:val="22"/>
          <w:szCs w:val="22"/>
        </w:rPr>
        <w:t xml:space="preserve">and</w:t>
      </w:r>
      <w:r>
        <w:rPr>
          <w:color w:val="000000"/>
          <w:sz w:val="22"/>
          <w:szCs w:val="22"/>
        </w:rPr>
        <w:t xml:space="preserve"> </w:t>
      </w:r>
      <w:r>
        <w:rPr>
          <w:color w:val="000000"/>
          <w:sz w:val="22"/>
          <w:szCs w:val="22"/>
        </w:rPr>
        <w:t xml:space="preserve">adds to the body of literature that </w:t>
      </w:r>
      <w:r>
        <w:rPr>
          <w:color w:val="000000"/>
          <w:sz w:val="22"/>
          <w:szCs w:val="22"/>
        </w:rPr>
        <w:t xml:space="preserve">suggests that pesticide sprays sites should not be within 500m of residential</w:t>
      </w:r>
      <w:r>
        <w:rPr>
          <w:color w:val="000000"/>
          <w:sz w:val="22"/>
          <w:szCs w:val="22"/>
        </w:rPr>
        <w:t xml:space="preserve"> areas</w:t>
      </w:r>
      <w:r>
        <w:rPr>
          <w:color w:val="000000"/>
          <w:sz w:val="22"/>
          <w:szCs w:val="22"/>
        </w:rPr>
        <w:t xml:space="preserve">, </w:t>
      </w:r>
      <w:r>
        <w:rPr>
          <w:color w:val="000000"/>
          <w:sz w:val="22"/>
          <w:szCs w:val="22"/>
        </w:rPr>
        <w:t xml:space="preserve">schools </w:t>
      </w:r>
      <w:r>
        <w:rPr>
          <w:color w:val="000000"/>
          <w:sz w:val="22"/>
          <w:szCs w:val="22"/>
        </w:rPr>
        <w:t xml:space="preserve">or </w:t>
      </w:r>
      <w:r>
        <w:rPr>
          <w:color w:val="000000"/>
          <w:sz w:val="22"/>
          <w:szCs w:val="22"/>
        </w:rPr>
        <w:t xml:space="preserve">daycare facilities</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{"citationID":"PLhyX0X5","properties":{"formattedCitation":"(Gunier, Bradman, Harley, &amp; Eskenazi, 2017)","plainCitation":"(Gunier, Bradman, Harley, &amp; Eskenazi, 2017)","noteIndex":0},"citationItems":[{"id":4791</w:instrText>
      </w:r>
      <w:r>
        <w:rPr>
          <w:color w:val="000000"/>
          <w:sz w:val="22"/>
          <w:szCs w:val="22"/>
        </w:rPr>
        <w:instrText xml:space="preserve">,"uris":["http://zotero.org/users/5127433/items/NDKPABHX"],"itemData":{"id":4791,"type":"article-journal","abstract":"California has proposed limiting agricultural pesticide use within 0.4 km of schools and childcare facilities. However, the 0.4-km buffer </w:instrText>
      </w:r>
      <w:r>
        <w:rPr>
          <w:color w:val="000000"/>
          <w:sz w:val="22"/>
          <w:szCs w:val="22"/>
        </w:rPr>
        <w:instrText xml:space="preserve">may not be appropriate for all pesticides because of differing toxicities, fate, and application methods. Living near pesticide use has been associated with poorer birth outcomes, neurodevelopment, and respiratory function in children. More research about </w:instrText>
      </w:r>
      <w:r>
        <w:rPr>
          <w:color w:val="000000"/>
          <w:sz w:val="22"/>
          <w:szCs w:val="22"/>
        </w:rPr>
        <w:instrText xml:space="preserve">exposures in schools, childcare facilities, and homes is needed. Despite incomplete science, this regulation is an important step to reduce potential exposures to children. The most vulnerable exposure period may be in utero, and future regulations should </w:instrText>
      </w:r>
      <w:r>
        <w:rPr>
          <w:color w:val="000000"/>
          <w:sz w:val="22"/>
          <w:szCs w:val="22"/>
        </w:rPr>
        <w:instrText xml:space="preserve">also aim to reduce exposures to pregnant women.","container-title":"PLOS Biology","DOI":"10.1371/journal.pbio.2004741","ISSN":"1545-7885","issue":"12","journalAbbreviation":"PLOS Biology","language":"en","note":"publisher: Public Library of Science","page"</w:instrText>
      </w:r>
      <w:r>
        <w:rPr>
          <w:color w:val="000000"/>
          <w:sz w:val="22"/>
          <w:szCs w:val="22"/>
        </w:rPr>
        <w:instrText xml:space="preserve">:"e2004741","source":"PLoS Journals","title":"Will buffer zones around schools in agricultural areas be adequate to protect children from the potential adverse effects of pesticide exposure?","volume":"15","author":[{"family":"Gunier","given":"Robert B."},</w:instrText>
      </w:r>
      <w:r>
        <w:rPr>
          <w:color w:val="000000"/>
          <w:sz w:val="22"/>
          <w:szCs w:val="22"/>
        </w:rPr>
        <w:instrText xml:space="preserve">{"family":"Bradman","given":"Asa"},{"family":"Harley","given":"Kim G."},{"family":"Eskenazi","given":"Brenda"}],"issued":{"date-parts":[["2017"]],"season":"dic"}}}],"schema":"https://github.com/citation-style-language/schema/raw/master/csl-citation.json"} </w:instrText>
      </w:r>
      <w:r>
        <w:rPr>
          <w:color w:val="000000"/>
          <w:sz w:val="22"/>
          <w:szCs w:val="22"/>
        </w:rPr>
        <w:fldChar w:fldCharType="separate"/>
      </w:r>
      <w:r>
        <w:rPr>
          <w:sz w:val="22"/>
        </w:rPr>
        <w:t xml:space="preserve">(Gunier, Bradman, Harley, &amp; Eskenazi, 2017)</w:t>
      </w:r>
      <w:r>
        <w:rPr>
          <w:color w:val="000000"/>
          <w:sz w:val="22"/>
          <w:szCs w:val="22"/>
        </w:rPr>
        <w:fldChar w:fldCharType="end"/>
      </w:r>
      <w:r>
        <w:rPr>
          <w:color w:val="000000"/>
          <w:sz w:val="22"/>
          <w:szCs w:val="22"/>
        </w:rPr>
        <w:t xml:space="preserve">.</w:t>
      </w:r>
      <w:r>
        <w:rPr>
          <w:color w:val="000000"/>
          <w:sz w:val="22"/>
          <w:szCs w:val="22"/>
        </w:rPr>
        <w:t xml:space="preserve"> F</w:t>
      </w:r>
      <w:r>
        <w:rPr>
          <w:color w:val="000000"/>
          <w:sz w:val="22"/>
          <w:szCs w:val="22"/>
        </w:rPr>
        <w:t xml:space="preserve">urther research is </w:t>
      </w:r>
      <w:r>
        <w:rPr>
          <w:color w:val="000000"/>
          <w:sz w:val="22"/>
          <w:szCs w:val="22"/>
        </w:rPr>
        <w:t xml:space="preserve">still </w:t>
      </w:r>
      <w:r>
        <w:rPr>
          <w:color w:val="000000"/>
          <w:sz w:val="22"/>
          <w:szCs w:val="22"/>
        </w:rPr>
        <w:t xml:space="preserve">needed to </w:t>
      </w:r>
      <w:r>
        <w:rPr>
          <w:color w:val="000000"/>
          <w:sz w:val="22"/>
          <w:szCs w:val="22"/>
        </w:rPr>
        <w:t xml:space="preserve">disentangle</w:t>
      </w:r>
      <w:r>
        <w:rPr>
          <w:color w:val="000000"/>
          <w:sz w:val="22"/>
          <w:szCs w:val="22"/>
        </w:rPr>
        <w:t xml:space="preserve"> the varying </w:t>
      </w:r>
      <w:r>
        <w:rPr>
          <w:color w:val="000000"/>
          <w:sz w:val="22"/>
          <w:szCs w:val="22"/>
        </w:rPr>
        <w:t xml:space="preserve">pesticide exposure mechanisms</w:t>
      </w:r>
      <w:r>
        <w:rPr>
          <w:color w:val="000000"/>
          <w:sz w:val="22"/>
          <w:szCs w:val="22"/>
        </w:rPr>
        <w:t xml:space="preserve"> </w:t>
      </w:r>
      <w:r>
        <w:rPr>
          <w:color w:val="000000"/>
          <w:sz w:val="22"/>
          <w:szCs w:val="22"/>
        </w:rPr>
        <w:t xml:space="preserve">among children and adolescents </w:t>
      </w:r>
      <w:r>
        <w:rPr>
          <w:color w:val="000000"/>
          <w:sz w:val="22"/>
          <w:szCs w:val="22"/>
        </w:rPr>
        <w:t xml:space="preserve">who grow up near pesticide spray sites </w:t>
      </w:r>
      <w:r>
        <w:rPr>
          <w:color w:val="000000"/>
          <w:sz w:val="22"/>
          <w:szCs w:val="22"/>
        </w:rPr>
        <w:t xml:space="preserve">and </w:t>
      </w:r>
      <w:r>
        <w:rPr>
          <w:color w:val="000000"/>
          <w:sz w:val="22"/>
          <w:szCs w:val="22"/>
        </w:rPr>
        <w:t xml:space="preserve">neurobehavioral outcomes</w:t>
      </w:r>
      <w:r>
        <w:rPr>
          <w:color w:val="000000"/>
          <w:sz w:val="22"/>
          <w:szCs w:val="22"/>
        </w:rPr>
        <w:t xml:space="preserve"> and identify the classes of pesticides that may be triggering these outcomes</w:t>
      </w:r>
      <w:r>
        <w:rPr>
          <w:color w:val="000000"/>
          <w:sz w:val="22"/>
          <w:szCs w:val="22"/>
        </w:rPr>
        <w:t xml:space="preserve">. </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b/>
          <w:bCs/>
          <w:color w:val="000000"/>
          <w:sz w:val="22"/>
          <w:szCs w:val="22"/>
        </w:rPr>
      </w:pPr>
      <w:r>
        <w:rPr>
          <w:b/>
          <w:bCs/>
          <w:color w:val="000000"/>
          <w:sz w:val="22"/>
          <w:szCs w:val="22"/>
        </w:rPr>
      </w:r>
      <w:r>
        <w:rPr>
          <w:b/>
          <w:bCs/>
          <w:color w:val="000000"/>
          <w:sz w:val="22"/>
          <w:szCs w:val="22"/>
        </w:rPr>
      </w:r>
    </w:p>
    <w:p>
      <w:pPr>
        <w:pBdr/>
        <w:spacing/>
        <w:ind/>
        <w:rPr>
          <w:b/>
          <w:bCs/>
          <w:color w:val="000000"/>
          <w:sz w:val="22"/>
          <w:szCs w:val="22"/>
        </w:rPr>
      </w:pPr>
      <w:r>
        <w:rPr>
          <w:b/>
          <w:bCs/>
          <w:color w:val="000000"/>
          <w:sz w:val="22"/>
          <w:szCs w:val="22"/>
        </w:rPr>
        <w:t xml:space="preserve">Acknowledgements</w:t>
      </w:r>
      <w:r>
        <w:rPr>
          <w:b/>
          <w:bCs/>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jc w:val="both"/>
        <w:rPr>
          <w:color w:val="000000"/>
          <w:sz w:val="22"/>
          <w:szCs w:val="22"/>
        </w:rPr>
      </w:pPr>
      <w:r>
        <w:rPr>
          <w:rFonts w:eastAsiaTheme="minorHAnsi"/>
          <w:color w:val="000000"/>
          <w:sz w:val="22"/>
          <w:szCs w:val="22"/>
        </w:rPr>
        <w:t xml:space="preserve">Research </w:t>
      </w:r>
      <w:r>
        <w:rPr>
          <w:rFonts w:eastAsiaTheme="minorHAnsi"/>
          <w:color w:val="000000"/>
          <w:sz w:val="22"/>
          <w:szCs w:val="22"/>
        </w:rPr>
        <w:t xml:space="preserve">funding</w:t>
      </w:r>
      <w:r>
        <w:rPr>
          <w:rFonts w:eastAsiaTheme="minorHAnsi"/>
          <w:color w:val="000000"/>
          <w:sz w:val="22"/>
          <w:szCs w:val="22"/>
        </w:rPr>
        <w:t xml:space="preserve"> was provided by </w:t>
      </w:r>
      <w:r>
        <w:rPr>
          <w:sz w:val="22"/>
          <w:szCs w:val="22"/>
        </w:rPr>
        <w:t xml:space="preserve">National Institute of Environmental Health Sciences (NIEHS) of the National Institutes of Health </w:t>
      </w:r>
      <w:r>
        <w:rPr>
          <w:rFonts w:eastAsiaTheme="minorHAnsi"/>
          <w:color w:val="000000"/>
          <w:sz w:val="22"/>
          <w:szCs w:val="22"/>
        </w:rPr>
        <w:t xml:space="preserve">grant K01ES031697 to Dr. Georgia Kayser to help make this research possible</w:t>
      </w:r>
      <w:r>
        <w:rPr>
          <w:rFonts w:eastAsiaTheme="minorHAnsi"/>
          <w:color w:val="000000"/>
          <w:sz w:val="22"/>
          <w:szCs w:val="22"/>
        </w:rPr>
        <w:t xml:space="preserve">. </w:t>
      </w:r>
      <w:r>
        <w:rPr>
          <w:rFonts w:eastAsiaTheme="minorHAnsi"/>
          <w:color w:val="000000"/>
          <w:sz w:val="22"/>
          <w:szCs w:val="22"/>
        </w:rPr>
        <w:t xml:space="preserve">Other NIEHS research awards were also helpful in bringing this research to fruition (</w:t>
      </w:r>
      <w:r>
        <w:rPr>
          <w:rFonts w:eastAsiaTheme="minorHAnsi"/>
          <w:color w:val="000000" w:themeColor="text1"/>
          <w:sz w:val="22"/>
          <w:szCs w:val="22"/>
        </w:rPr>
        <w:t xml:space="preserve">R01ES030378, R01ES025792; PI</w:t>
      </w:r>
      <w:r>
        <w:rPr>
          <w:rFonts w:eastAsiaTheme="minorHAnsi"/>
          <w:color w:val="000000" w:themeColor="text1"/>
          <w:sz w:val="22"/>
          <w:szCs w:val="22"/>
        </w:rPr>
        <w:t xml:space="preserve">: </w:t>
      </w:r>
      <w:r>
        <w:rPr>
          <w:rFonts w:eastAsiaTheme="minorHAnsi"/>
          <w:color w:val="000000" w:themeColor="text1"/>
          <w:sz w:val="22"/>
          <w:szCs w:val="22"/>
        </w:rPr>
        <w:t xml:space="preserve">Suraez</w:t>
      </w:r>
      <w:r>
        <w:rPr>
          <w:rFonts w:eastAsiaTheme="minorHAnsi"/>
          <w:color w:val="000000" w:themeColor="text1"/>
          <w:sz w:val="22"/>
          <w:szCs w:val="22"/>
        </w:rPr>
        <w:t xml:space="preserve">, J.R.</w:t>
      </w:r>
      <w:r>
        <w:rPr>
          <w:rFonts w:eastAsiaTheme="minorHAnsi"/>
          <w:color w:val="000000" w:themeColor="text1"/>
          <w:sz w:val="22"/>
          <w:szCs w:val="22"/>
        </w:rPr>
        <w:t xml:space="preserve">)</w:t>
      </w:r>
      <w:r>
        <w:rPr>
          <w:rFonts w:eastAsiaTheme="minorHAnsi"/>
          <w:color w:val="000000" w:themeColor="text1"/>
          <w:sz w:val="22"/>
          <w:szCs w:val="22"/>
        </w:rPr>
        <w:t xml:space="preserve">. </w:t>
      </w:r>
      <w:r>
        <w:rPr>
          <w:rFonts w:eastAsiaTheme="minorHAnsi"/>
          <w:color w:val="000000" w:themeColor="text1"/>
          <w:sz w:val="22"/>
          <w:szCs w:val="22"/>
        </w:rPr>
        <w:t xml:space="preserve">We </w:t>
      </w:r>
      <w:r>
        <w:rPr>
          <w:rFonts w:eastAsiaTheme="minorHAnsi"/>
          <w:color w:val="000000" w:themeColor="text1"/>
          <w:sz w:val="22"/>
          <w:szCs w:val="22"/>
        </w:rPr>
        <w:t xml:space="preserve">also greatly </w:t>
      </w:r>
      <w:r>
        <w:rPr>
          <w:rFonts w:eastAsiaTheme="minorHAnsi"/>
          <w:color w:val="000000" w:themeColor="text1"/>
          <w:sz w:val="22"/>
          <w:szCs w:val="22"/>
        </w:rPr>
        <w:t xml:space="preserve">appreciate the contributions of ESPINA study staff, Fundación </w:t>
      </w:r>
      <w:r>
        <w:rPr>
          <w:rFonts w:eastAsiaTheme="minorHAnsi"/>
          <w:color w:val="000000" w:themeColor="text1"/>
          <w:sz w:val="22"/>
          <w:szCs w:val="22"/>
        </w:rPr>
        <w:t xml:space="preserve">Cimas</w:t>
      </w:r>
      <w:r>
        <w:rPr>
          <w:rFonts w:eastAsiaTheme="minorHAnsi"/>
          <w:color w:val="000000" w:themeColor="text1"/>
          <w:sz w:val="22"/>
          <w:szCs w:val="22"/>
        </w:rPr>
        <w:t xml:space="preserve"> del Ecuador, </w:t>
      </w:r>
      <w:r>
        <w:rPr>
          <w:sz w:val="22"/>
          <w:szCs w:val="22"/>
        </w:rPr>
        <w:t xml:space="preserve">the Parish Governments</w:t>
      </w:r>
      <w:r>
        <w:rPr>
          <w:sz w:val="22"/>
          <w:szCs w:val="22"/>
        </w:rPr>
        <w:t xml:space="preserve"> of Pedro </w:t>
      </w:r>
      <w:r>
        <w:rPr>
          <w:sz w:val="22"/>
          <w:szCs w:val="22"/>
        </w:rPr>
        <w:t xml:space="preserve">Moncayo</w:t>
      </w:r>
      <w:r>
        <w:rPr>
          <w:sz w:val="22"/>
          <w:szCs w:val="22"/>
        </w:rPr>
        <w:t xml:space="preserve"> County, community members of Pedro </w:t>
      </w:r>
      <w:r>
        <w:rPr>
          <w:sz w:val="22"/>
          <w:szCs w:val="22"/>
        </w:rPr>
        <w:t xml:space="preserve">Moncayo</w:t>
      </w:r>
      <w:r>
        <w:rPr>
          <w:sz w:val="22"/>
          <w:szCs w:val="22"/>
        </w:rPr>
        <w:t xml:space="preserve">, and the Education District of Pichincha-</w:t>
      </w:r>
      <w:r>
        <w:rPr>
          <w:sz w:val="22"/>
          <w:szCs w:val="22"/>
        </w:rPr>
        <w:t xml:space="preserve">Cayambe</w:t>
      </w:r>
      <w:r>
        <w:rPr>
          <w:sz w:val="22"/>
          <w:szCs w:val="22"/>
        </w:rPr>
        <w:t xml:space="preserve">-Pedro </w:t>
      </w:r>
      <w:r>
        <w:rPr>
          <w:sz w:val="22"/>
          <w:szCs w:val="22"/>
        </w:rPr>
        <w:t xml:space="preserve">Moncayo</w:t>
      </w:r>
      <w:r>
        <w:rPr>
          <w:sz w:val="22"/>
          <w:szCs w:val="22"/>
        </w:rPr>
        <w:t xml:space="preserve"> counties for their contributions and support on this project.</w:t>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b/>
          <w:bCs/>
          <w:color w:val="000000"/>
          <w:sz w:val="22"/>
          <w:szCs w:val="22"/>
          <w:highlight w:val="lightGray"/>
        </w:rPr>
      </w:pPr>
      <w:r>
        <w:rPr>
          <w:b/>
          <w:bCs/>
          <w:color w:val="000000"/>
          <w:sz w:val="22"/>
          <w:szCs w:val="22"/>
          <w:highlight w:val="lightGray"/>
        </w:rPr>
        <w:br w:type="page" w:clear="all"/>
      </w:r>
      <w:r>
        <w:rPr>
          <w:b/>
          <w:bCs/>
          <w:color w:val="000000"/>
          <w:sz w:val="22"/>
          <w:szCs w:val="22"/>
          <w:highlight w:val="lightGray"/>
        </w:rPr>
      </w:r>
    </w:p>
    <w:p>
      <w:pPr>
        <w:pBdr/>
        <w:spacing/>
        <w:ind/>
        <w:rPr>
          <w:b/>
          <w:bCs/>
          <w:color w:val="000000"/>
          <w:sz w:val="22"/>
          <w:szCs w:val="22"/>
        </w:rPr>
      </w:pPr>
      <w:r>
        <w:rPr>
          <w:b/>
          <w:bCs/>
          <w:color w:val="000000"/>
          <w:sz w:val="22"/>
          <w:szCs w:val="22"/>
        </w:rPr>
        <w:t xml:space="preserve">Bib</w:t>
      </w:r>
      <w:r>
        <w:rPr>
          <w:b/>
          <w:bCs/>
          <w:color w:val="000000"/>
          <w:sz w:val="22"/>
          <w:szCs w:val="22"/>
        </w:rPr>
        <w:t xml:space="preserve">l</w:t>
      </w:r>
      <w:r>
        <w:rPr>
          <w:b/>
          <w:bCs/>
          <w:color w:val="000000"/>
          <w:sz w:val="22"/>
          <w:szCs w:val="22"/>
        </w:rPr>
        <w:t xml:space="preserve">iography</w:t>
      </w:r>
      <w:r>
        <w:rPr>
          <w:b/>
          <w:bCs/>
          <w:color w:val="000000"/>
          <w:sz w:val="22"/>
          <w:szCs w:val="22"/>
        </w:rPr>
        <w:t xml:space="preserve">:</w:t>
      </w:r>
      <w:r>
        <w:rPr>
          <w:b/>
          <w:bCs/>
          <w:color w:val="000000"/>
          <w:sz w:val="22"/>
          <w:szCs w:val="22"/>
        </w:rPr>
      </w:r>
    </w:p>
    <w:p>
      <w:pPr>
        <w:pBdr/>
        <w:spacing/>
        <w:ind/>
        <w:rPr>
          <w:color w:val="000000"/>
          <w:sz w:val="22"/>
          <w:szCs w:val="22"/>
        </w:rPr>
      </w:pPr>
      <w:r>
        <w:rPr>
          <w:color w:val="000000"/>
          <w:sz w:val="22"/>
          <w:szCs w:val="22"/>
        </w:rPr>
      </w:r>
      <w:r>
        <w:rPr>
          <w:color w:val="000000"/>
          <w:sz w:val="22"/>
          <w:szCs w:val="22"/>
        </w:rPr>
      </w:r>
    </w:p>
    <w:p>
      <w:pPr>
        <w:pStyle w:val="788"/>
        <w:pBdr/>
        <w:spacing w:line="240" w:lineRule="auto"/>
        <w:ind w:hanging="806" w:left="806"/>
        <w:rPr>
          <w:sz w:val="22"/>
        </w:rPr>
      </w:pPr>
      <w:r>
        <w:rPr>
          <w:color w:val="000000"/>
          <w:sz w:val="22"/>
          <w:szCs w:val="22"/>
        </w:rPr>
        <w:fldChar w:fldCharType="begin"/>
      </w:r>
      <w:r>
        <w:rPr>
          <w:color w:val="000000"/>
          <w:sz w:val="22"/>
          <w:szCs w:val="22"/>
        </w:rPr>
        <w:instrText xml:space="preserve"> ADDIN ZOTERO_BIBL {"uncited":[],"omitted":[],"custom":[]} CSL_BIBLIOGRAPHY </w:instrText>
      </w:r>
      <w:r>
        <w:rPr>
          <w:color w:val="000000"/>
          <w:sz w:val="22"/>
          <w:szCs w:val="22"/>
        </w:rPr>
        <w:fldChar w:fldCharType="separate"/>
      </w:r>
      <w:r>
        <w:rPr>
          <w:sz w:val="22"/>
        </w:rPr>
        <w:t xml:space="preserve">Bradman, A., Cast</w:t>
      </w:r>
      <w:r>
        <w:rPr>
          <w:sz w:val="22"/>
        </w:rPr>
        <w:t xml:space="preserve">orina, R., Boyd Barr, D., Chevrier, J., Harnly, M. E., Eisen, E. A., McKone, T. E., Harley, K., Holland, N., &amp; Eskenazi, B. (2011). Determinants of Organophosphorus Pesticide Urinary Metabolite Levels in Young Children Living in an Agricultural Community. </w:t>
      </w:r>
      <w:r>
        <w:rPr>
          <w:i/>
          <w:iCs/>
          <w:sz w:val="22"/>
        </w:rPr>
        <w:t xml:space="preserve">International Journal of Environmental Research and Public Health</w:t>
      </w:r>
      <w:r>
        <w:rPr>
          <w:sz w:val="22"/>
        </w:rPr>
        <w:t xml:space="preserve">, </w:t>
      </w:r>
      <w:r>
        <w:rPr>
          <w:i/>
          <w:iCs/>
          <w:sz w:val="22"/>
        </w:rPr>
        <w:t xml:space="preserve">8</w:t>
      </w:r>
      <w:r>
        <w:rPr>
          <w:sz w:val="22"/>
        </w:rPr>
        <w:t xml:space="preserve">(4), Article 4. https://doi.org/10.3390/ijerph8041061</w:t>
      </w:r>
      <w:r>
        <w:rPr>
          <w:sz w:val="22"/>
        </w:rPr>
      </w:r>
    </w:p>
    <w:p>
      <w:pPr>
        <w:pStyle w:val="788"/>
        <w:pBdr/>
        <w:spacing w:line="240" w:lineRule="auto"/>
        <w:ind w:hanging="806" w:left="806"/>
        <w:rPr>
          <w:sz w:val="22"/>
        </w:rPr>
      </w:pPr>
      <w:r>
        <w:rPr>
          <w:sz w:val="22"/>
        </w:rPr>
        <w:t xml:space="preserve">Burns, C. J., McIntosh, L. J., Mink, P. J., Jurek, A. M., &amp; Li, A. A. (2013). Pesticide Exposure and Neurodevelopmental Outcomes: Review of the Epidemiologic and Animal Studies. </w:t>
      </w:r>
      <w:r>
        <w:rPr>
          <w:i/>
          <w:iCs/>
          <w:sz w:val="22"/>
        </w:rPr>
        <w:t xml:space="preserve">Journal of Toxicology and Environmental Health, Part B</w:t>
      </w:r>
      <w:r>
        <w:rPr>
          <w:sz w:val="22"/>
        </w:rPr>
        <w:t xml:space="preserve">, </w:t>
      </w:r>
      <w:r>
        <w:rPr>
          <w:i/>
          <w:iCs/>
          <w:sz w:val="22"/>
        </w:rPr>
        <w:t xml:space="preserve">16</w:t>
      </w:r>
      <w:r>
        <w:rPr>
          <w:sz w:val="22"/>
        </w:rPr>
        <w:t xml:space="preserve">(3–4), 127–283. https://doi.org/10.1080/10937404.2013.783383</w:t>
      </w:r>
      <w:r>
        <w:rPr>
          <w:sz w:val="22"/>
        </w:rPr>
      </w:r>
    </w:p>
    <w:p>
      <w:pPr>
        <w:pStyle w:val="788"/>
        <w:pBdr/>
        <w:spacing w:line="240" w:lineRule="auto"/>
        <w:ind w:hanging="806" w:left="806"/>
        <w:rPr>
          <w:sz w:val="22"/>
        </w:rPr>
      </w:pPr>
      <w:r>
        <w:rPr>
          <w:sz w:val="22"/>
        </w:rPr>
        <w:t xml:space="preserve">Butler-Dawson, J., Galvin, K., Thorne, P. S., &amp; Rohlman, D. S. (2016). Organophosphorus pesticide exposure and neurobehavioral performance in Latino children living in an orchard community. </w:t>
      </w:r>
      <w:r>
        <w:rPr>
          <w:i/>
          <w:iCs/>
          <w:sz w:val="22"/>
        </w:rPr>
        <w:t xml:space="preserve">NeuroToxicology</w:t>
      </w:r>
      <w:r>
        <w:rPr>
          <w:sz w:val="22"/>
        </w:rPr>
        <w:t xml:space="preserve">, </w:t>
      </w:r>
      <w:r>
        <w:rPr>
          <w:i/>
          <w:iCs/>
          <w:sz w:val="22"/>
        </w:rPr>
        <w:t xml:space="preserve">53</w:t>
      </w:r>
      <w:r>
        <w:rPr>
          <w:sz w:val="22"/>
        </w:rPr>
        <w:t xml:space="preserve">, 165–172. https://doi.org/10.1016/j.neuro.2016.01.009</w:t>
      </w:r>
      <w:r>
        <w:rPr>
          <w:sz w:val="22"/>
        </w:rPr>
      </w:r>
    </w:p>
    <w:p>
      <w:pPr>
        <w:pStyle w:val="788"/>
        <w:pBdr/>
        <w:spacing w:line="240" w:lineRule="auto"/>
        <w:ind w:hanging="806" w:left="806"/>
        <w:rPr>
          <w:sz w:val="22"/>
        </w:rPr>
      </w:pPr>
      <w:r>
        <w:rPr>
          <w:sz w:val="22"/>
        </w:rPr>
        <w:t xml:space="preserve">Chronister, B. N. C., Yang, K., Yang, A. R., Lin, T., Tu, X. M., Lopez-Paredes, </w:t>
      </w:r>
      <w:r>
        <w:rPr>
          <w:sz w:val="22"/>
        </w:rPr>
        <w:t xml:space="preserve">D., Checkoway, H., Suarez-Torres, J., Gahagan, S., Martinez, D., Barr, D., Moore, R. C., &amp; Suarez-Lopez, J. R. (2023). Urinary Glyphosate, 2,4-D and DEET Biomarkers in Relation to Neurobehavioral Performance in Ecuadorian Adolescents in the ESPINA Cohort. </w:t>
      </w:r>
      <w:r>
        <w:rPr>
          <w:i/>
          <w:iCs/>
          <w:sz w:val="22"/>
        </w:rPr>
        <w:t xml:space="preserve">Environmental Health Perspectives</w:t>
      </w:r>
      <w:r>
        <w:rPr>
          <w:sz w:val="22"/>
        </w:rPr>
        <w:t xml:space="preserve">, </w:t>
      </w:r>
      <w:r>
        <w:rPr>
          <w:i/>
          <w:iCs/>
          <w:sz w:val="22"/>
        </w:rPr>
        <w:t xml:space="preserve">131</w:t>
      </w:r>
      <w:r>
        <w:rPr>
          <w:sz w:val="22"/>
        </w:rPr>
        <w:t xml:space="preserve">(10), 107007. https://doi.org/10.1289/EHP11383</w:t>
      </w:r>
      <w:r>
        <w:rPr>
          <w:sz w:val="22"/>
        </w:rPr>
      </w:r>
    </w:p>
    <w:p>
      <w:pPr>
        <w:pStyle w:val="788"/>
        <w:pBdr/>
        <w:spacing w:line="240" w:lineRule="auto"/>
        <w:ind w:hanging="806" w:left="806"/>
        <w:rPr>
          <w:sz w:val="22"/>
        </w:rPr>
      </w:pPr>
      <w:r>
        <w:rPr>
          <w:sz w:val="22"/>
        </w:rPr>
        <w:t xml:space="preserve">Coronado, G. D., Holte, S., Vigoren, E., Griffith, W. C., Barr, D. B., Faustman, E., &amp; Thompson, B. (2011). Organophosphate Pesticide Exposure and Residential Proximity to Nearby Fields: Evidence for the Drift Pathway. </w:t>
      </w:r>
      <w:r>
        <w:rPr>
          <w:i/>
          <w:iCs/>
          <w:sz w:val="22"/>
        </w:rPr>
        <w:t xml:space="preserve">Journal of Occupational and Environmental Medicine</w:t>
      </w:r>
      <w:r>
        <w:rPr>
          <w:sz w:val="22"/>
        </w:rPr>
        <w:t xml:space="preserve">, </w:t>
      </w:r>
      <w:r>
        <w:rPr>
          <w:i/>
          <w:iCs/>
          <w:sz w:val="22"/>
        </w:rPr>
        <w:t xml:space="preserve">53</w:t>
      </w:r>
      <w:r>
        <w:rPr>
          <w:sz w:val="22"/>
        </w:rPr>
        <w:t xml:space="preserve">(8), 884. https://doi.org/10.1097/JOM.0b013e318222f03a</w:t>
      </w:r>
      <w:r>
        <w:rPr>
          <w:sz w:val="22"/>
        </w:rPr>
      </w:r>
    </w:p>
    <w:p>
      <w:pPr>
        <w:pStyle w:val="788"/>
        <w:pBdr/>
        <w:spacing w:line="240" w:lineRule="auto"/>
        <w:ind w:hanging="806" w:left="806"/>
        <w:rPr>
          <w:sz w:val="22"/>
        </w:rPr>
      </w:pPr>
      <w:r>
        <w:rPr>
          <w:sz w:val="22"/>
        </w:rPr>
        <w:t xml:space="preserve">Dórea, J. G. (2021). Neurodevelopment in mining environments entails different types of exposure and non-essential element interactions: Broadening the significance of the Nyanza et al study in Tanzania. </w:t>
      </w:r>
      <w:r>
        <w:rPr>
          <w:i/>
          <w:iCs/>
          <w:sz w:val="22"/>
        </w:rPr>
        <w:t xml:space="preserve">Environment International</w:t>
      </w:r>
      <w:r>
        <w:rPr>
          <w:sz w:val="22"/>
        </w:rPr>
        <w:t xml:space="preserve">, </w:t>
      </w:r>
      <w:r>
        <w:rPr>
          <w:i/>
          <w:iCs/>
          <w:sz w:val="22"/>
        </w:rPr>
        <w:t xml:space="preserve">149</w:t>
      </w:r>
      <w:r>
        <w:rPr>
          <w:sz w:val="22"/>
        </w:rPr>
        <w:t xml:space="preserve">, 106407. https://doi.org/10.1016/j.envint.2021.106407</w:t>
      </w:r>
      <w:r>
        <w:rPr>
          <w:sz w:val="22"/>
        </w:rPr>
      </w:r>
    </w:p>
    <w:p>
      <w:pPr>
        <w:pStyle w:val="788"/>
        <w:pBdr/>
        <w:spacing w:line="240" w:lineRule="auto"/>
        <w:ind w:hanging="806" w:left="806"/>
        <w:rPr>
          <w:sz w:val="22"/>
        </w:rPr>
      </w:pPr>
      <w:r>
        <w:rPr>
          <w:sz w:val="22"/>
        </w:rPr>
        <w:t xml:space="preserve">Eskenazi, B., Marks, A. R., Bradman, A., Harley, K., Barr, D. B., Johnson, C., Morga, N., &amp; Jewell, N. P. (2007). Organophosphate Pesticide Exposure and Neurodevelopment in Young Mexican-American Children. </w:t>
      </w:r>
      <w:r>
        <w:rPr>
          <w:i/>
          <w:iCs/>
          <w:sz w:val="22"/>
        </w:rPr>
        <w:t xml:space="preserve">Environmental Health Perspectives</w:t>
      </w:r>
      <w:r>
        <w:rPr>
          <w:sz w:val="22"/>
        </w:rPr>
        <w:t xml:space="preserve">, </w:t>
      </w:r>
      <w:r>
        <w:rPr>
          <w:i/>
          <w:iCs/>
          <w:sz w:val="22"/>
        </w:rPr>
        <w:t xml:space="preserve">115</w:t>
      </w:r>
      <w:r>
        <w:rPr>
          <w:sz w:val="22"/>
        </w:rPr>
        <w:t xml:space="preserve">(5), 792–798. https://doi.org/10.1289/ehp.9828</w:t>
      </w:r>
      <w:r>
        <w:rPr>
          <w:sz w:val="22"/>
        </w:rPr>
      </w:r>
    </w:p>
    <w:p>
      <w:pPr>
        <w:pStyle w:val="788"/>
        <w:pBdr/>
        <w:spacing w:line="240" w:lineRule="auto"/>
        <w:ind w:hanging="806" w:left="806"/>
        <w:rPr>
          <w:sz w:val="22"/>
        </w:rPr>
      </w:pPr>
      <w:r>
        <w:rPr>
          <w:sz w:val="22"/>
        </w:rPr>
        <w:t xml:space="preserve">Friedman, E., Hazlehurst, M. F., Loftus, C., Karr, C., McDonald, K. N., &amp; Suarez-Lopez, J. R. (2020). Residential proximity to greenhouse agriculture and neurobehavioral performance in Ecuadorian children. </w:t>
      </w:r>
      <w:r>
        <w:rPr>
          <w:i/>
          <w:iCs/>
          <w:sz w:val="22"/>
        </w:rPr>
        <w:t xml:space="preserve">International Journal of Hygiene and Environmental Health</w:t>
      </w:r>
      <w:r>
        <w:rPr>
          <w:sz w:val="22"/>
        </w:rPr>
        <w:t xml:space="preserve">, </w:t>
      </w:r>
      <w:r>
        <w:rPr>
          <w:i/>
          <w:iCs/>
          <w:sz w:val="22"/>
        </w:rPr>
        <w:t xml:space="preserve">223</w:t>
      </w:r>
      <w:r>
        <w:rPr>
          <w:sz w:val="22"/>
        </w:rPr>
        <w:t xml:space="preserve">(1), 220–227. https://doi.org/10.1016/j.ijheh.2019.08.009</w:t>
      </w:r>
      <w:r>
        <w:rPr>
          <w:sz w:val="22"/>
        </w:rPr>
      </w:r>
    </w:p>
    <w:p>
      <w:pPr>
        <w:pStyle w:val="788"/>
        <w:pBdr/>
        <w:spacing w:line="240" w:lineRule="auto"/>
        <w:ind w:hanging="806" w:left="806"/>
        <w:rPr>
          <w:sz w:val="22"/>
          <w:szCs w:val="22"/>
        </w:rPr>
      </w:pPr>
      <w:r>
        <w:rPr>
          <w:color w:val="000000"/>
          <w:sz w:val="22"/>
          <w:szCs w:val="22"/>
        </w:rPr>
        <w:t xml:space="preserve">Garry, V. F. (2004). Pesticides and children. </w:t>
      </w:r>
      <w:r>
        <w:rPr>
          <w:i/>
          <w:iCs/>
          <w:color w:val="000000"/>
          <w:sz w:val="22"/>
          <w:szCs w:val="22"/>
        </w:rPr>
        <w:t xml:space="preserve">Toxicology and Applied Pharmacology</w:t>
      </w:r>
      <w:r>
        <w:rPr>
          <w:color w:val="000000"/>
          <w:sz w:val="22"/>
          <w:szCs w:val="22"/>
        </w:rPr>
        <w:t xml:space="preserve">, </w:t>
      </w:r>
      <w:r>
        <w:rPr>
          <w:i/>
          <w:iCs/>
          <w:color w:val="000000"/>
          <w:sz w:val="22"/>
          <w:szCs w:val="22"/>
        </w:rPr>
        <w:t xml:space="preserve">198</w:t>
      </w:r>
      <w:r>
        <w:rPr>
          <w:color w:val="000000"/>
          <w:sz w:val="22"/>
          <w:szCs w:val="22"/>
        </w:rPr>
        <w:t xml:space="preserve">(2), 152–163. https://doi.org/10.1016/j.taap.2003.11.027</w:t>
      </w:r>
      <w:r>
        <w:rPr>
          <w:sz w:val="22"/>
          <w:szCs w:val="22"/>
        </w:rPr>
      </w:r>
    </w:p>
    <w:p>
      <w:pPr>
        <w:pStyle w:val="788"/>
        <w:pBdr/>
        <w:spacing w:line="240" w:lineRule="auto"/>
        <w:ind w:hanging="806" w:left="806"/>
        <w:rPr>
          <w:sz w:val="22"/>
        </w:rPr>
      </w:pPr>
      <w:r>
        <w:rPr>
          <w:sz w:val="22"/>
          <w:lang w:val="es-MX"/>
        </w:rPr>
        <w:t xml:space="preserve">González-Alzaga, B., Lacasaña, M., Aguilar-Garduño, C., Rodríguez-Barranco, M., Ballester, F., Rebagliato, M., &amp; Hernández, A. F. (2014). </w:t>
      </w:r>
      <w:r>
        <w:rPr>
          <w:sz w:val="22"/>
        </w:rPr>
        <w:t xml:space="preserve">A systematic review of neurodevelopmental effects of prenatal and postnatal organophosphate pesticide exposure. </w:t>
      </w:r>
      <w:r>
        <w:rPr>
          <w:i/>
          <w:iCs/>
          <w:sz w:val="22"/>
        </w:rPr>
        <w:t xml:space="preserve">Toxicology Letters</w:t>
      </w:r>
      <w:r>
        <w:rPr>
          <w:sz w:val="22"/>
        </w:rPr>
        <w:t xml:space="preserve">, </w:t>
      </w:r>
      <w:r>
        <w:rPr>
          <w:i/>
          <w:iCs/>
          <w:sz w:val="22"/>
        </w:rPr>
        <w:t xml:space="preserve">230</w:t>
      </w:r>
      <w:r>
        <w:rPr>
          <w:sz w:val="22"/>
        </w:rPr>
        <w:t xml:space="preserve">(2), 104–121. https://doi.org/10.1016/j.toxlet.2013.11.019</w:t>
      </w:r>
      <w:r>
        <w:rPr>
          <w:sz w:val="22"/>
        </w:rPr>
      </w:r>
    </w:p>
    <w:p>
      <w:pPr>
        <w:pStyle w:val="788"/>
        <w:pBdr/>
        <w:spacing w:line="240" w:lineRule="auto"/>
        <w:ind w:hanging="806" w:left="806"/>
        <w:rPr>
          <w:sz w:val="22"/>
        </w:rPr>
      </w:pPr>
      <w:r>
        <w:rPr>
          <w:sz w:val="22"/>
        </w:rPr>
        <w:t xml:space="preserve">Grandjean, P., Harari, R., Barr, D. B., &amp; Debes, F. (2006). Pesticide Exposure and Stunting as Independent Predictors of Neurobehavioral Deficits in Ecuadorian School Children | Pediatrics | American Academy of Pediatrics. </w:t>
      </w:r>
      <w:r>
        <w:rPr>
          <w:i/>
          <w:iCs/>
          <w:sz w:val="22"/>
        </w:rPr>
        <w:t xml:space="preserve">Pediatrics</w:t>
      </w:r>
      <w:r>
        <w:rPr>
          <w:sz w:val="22"/>
        </w:rPr>
        <w:t xml:space="preserve">, </w:t>
      </w:r>
      <w:r>
        <w:rPr>
          <w:i/>
          <w:iCs/>
          <w:sz w:val="22"/>
        </w:rPr>
        <w:t xml:space="preserve">117</w:t>
      </w:r>
      <w:r>
        <w:rPr>
          <w:sz w:val="22"/>
        </w:rPr>
        <w:t xml:space="preserve">(3), e546–e556. https://doi.org/10.1542/peds.2005-1781</w:t>
      </w:r>
      <w:r>
        <w:rPr>
          <w:sz w:val="22"/>
        </w:rPr>
      </w:r>
    </w:p>
    <w:p>
      <w:pPr>
        <w:pStyle w:val="788"/>
        <w:pBdr/>
        <w:spacing w:line="240" w:lineRule="auto"/>
        <w:ind w:hanging="806" w:left="806"/>
        <w:rPr>
          <w:sz w:val="22"/>
          <w:lang w:val="es-MX"/>
        </w:rPr>
      </w:pPr>
      <w:r>
        <w:rPr>
          <w:sz w:val="22"/>
        </w:rPr>
        <w:t xml:space="preserve">Gunier, R. B., Bradman, A., Harley, K. G., &amp; Eskenazi, B. (2017). </w:t>
      </w:r>
      <w:r>
        <w:rPr>
          <w:sz w:val="22"/>
        </w:rPr>
        <w:t xml:space="preserve">Will buffer zones around schools in agricultural areas be adequate to protect children from the potential adverse effects of pesticide exposure? </w:t>
      </w:r>
      <w:r>
        <w:rPr>
          <w:i/>
          <w:iCs/>
          <w:sz w:val="22"/>
          <w:lang w:val="es-MX"/>
        </w:rPr>
        <w:t xml:space="preserve">PLOS Biology</w:t>
      </w:r>
      <w:r>
        <w:rPr>
          <w:sz w:val="22"/>
          <w:lang w:val="es-MX"/>
        </w:rPr>
        <w:t xml:space="preserve">, </w:t>
      </w:r>
      <w:r>
        <w:rPr>
          <w:i/>
          <w:iCs/>
          <w:sz w:val="22"/>
          <w:lang w:val="es-MX"/>
        </w:rPr>
        <w:t xml:space="preserve">15</w:t>
      </w:r>
      <w:r>
        <w:rPr>
          <w:sz w:val="22"/>
          <w:lang w:val="es-MX"/>
        </w:rPr>
        <w:t xml:space="preserve">(12), e2004741. https://doi.org/10.1371/journal.pbio.2004741</w:t>
      </w:r>
      <w:r>
        <w:rPr>
          <w:sz w:val="22"/>
          <w:lang w:val="es-MX"/>
        </w:rPr>
      </w:r>
    </w:p>
    <w:p>
      <w:pPr>
        <w:pStyle w:val="788"/>
        <w:pBdr/>
        <w:spacing w:line="240" w:lineRule="auto"/>
        <w:ind w:hanging="806" w:left="806"/>
        <w:rPr>
          <w:sz w:val="22"/>
        </w:rPr>
      </w:pPr>
      <w:r>
        <w:rPr>
          <w:sz w:val="22"/>
          <w:lang w:val="es-MX"/>
        </w:rPr>
        <w:t xml:space="preserve">Gunier, R. B., Bradman, A., Harley, K. G., Kogut, K., &amp; Eskenazi, B. (2017). </w:t>
      </w:r>
      <w:r>
        <w:rPr>
          <w:sz w:val="22"/>
        </w:rPr>
        <w:t xml:space="preserve">Prenatal Residential Proximity to Agricultural Pesticide Use and IQ in 7-Year-Old Children. </w:t>
      </w:r>
      <w:r>
        <w:rPr>
          <w:i/>
          <w:iCs/>
          <w:sz w:val="22"/>
        </w:rPr>
        <w:t xml:space="preserve">Environmental Health Perspectives</w:t>
      </w:r>
      <w:r>
        <w:rPr>
          <w:sz w:val="22"/>
        </w:rPr>
        <w:t xml:space="preserve">, </w:t>
      </w:r>
      <w:r>
        <w:rPr>
          <w:i/>
          <w:iCs/>
          <w:sz w:val="22"/>
        </w:rPr>
        <w:t xml:space="preserve">125</w:t>
      </w:r>
      <w:r>
        <w:rPr>
          <w:sz w:val="22"/>
        </w:rPr>
        <w:t xml:space="preserve">(5), 057002. https://doi.org/10.1289/EHP504</w:t>
      </w:r>
      <w:r>
        <w:rPr>
          <w:sz w:val="22"/>
        </w:rPr>
      </w:r>
    </w:p>
    <w:p>
      <w:pPr>
        <w:pStyle w:val="788"/>
        <w:pBdr/>
        <w:spacing w:line="240" w:lineRule="auto"/>
        <w:ind w:hanging="806" w:left="806"/>
        <w:rPr>
          <w:sz w:val="22"/>
        </w:rPr>
      </w:pPr>
      <w:r>
        <w:rPr>
          <w:sz w:val="22"/>
        </w:rPr>
        <w:t xml:space="preserve">Handal, A. J., Hund, L., Páez, M., Bear, S., Greenberg, C., Fenske, R. A., &amp; Barr, D. B. (2016). Characterization of Pesticide Exposure in a Sample of Pregnant Women in Ecuador. </w:t>
      </w:r>
      <w:r>
        <w:rPr>
          <w:i/>
          <w:iCs/>
          <w:sz w:val="22"/>
        </w:rPr>
        <w:t xml:space="preserve">Archives of Environmental Contamination and Toxicology</w:t>
      </w:r>
      <w:r>
        <w:rPr>
          <w:sz w:val="22"/>
        </w:rPr>
        <w:t xml:space="preserve">, </w:t>
      </w:r>
      <w:r>
        <w:rPr>
          <w:i/>
          <w:iCs/>
          <w:sz w:val="22"/>
        </w:rPr>
        <w:t xml:space="preserve">70</w:t>
      </w:r>
      <w:r>
        <w:rPr>
          <w:sz w:val="22"/>
        </w:rPr>
        <w:t xml:space="preserve">(4), 627–639. https://doi.org/10.1007/s00244-015-0217-9</w:t>
      </w:r>
      <w:r>
        <w:rPr>
          <w:sz w:val="22"/>
        </w:rPr>
      </w:r>
    </w:p>
    <w:p>
      <w:pPr>
        <w:pStyle w:val="788"/>
        <w:pBdr/>
        <w:spacing w:line="240" w:lineRule="auto"/>
        <w:ind w:hanging="806" w:left="806"/>
        <w:rPr>
          <w:sz w:val="22"/>
          <w:lang w:val="es-MX"/>
        </w:rPr>
      </w:pPr>
      <w:r>
        <w:rPr>
          <w:sz w:val="22"/>
          <w:lang w:val="es-MX"/>
        </w:rPr>
        <w:t xml:space="preserve">Harari Compilador, R. (2004). </w:t>
      </w:r>
      <w:r>
        <w:rPr>
          <w:i/>
          <w:iCs/>
          <w:sz w:val="22"/>
          <w:lang w:val="es-MX"/>
        </w:rPr>
        <w:t xml:space="preserve">Seguridad, salud y ambiente en la floricultura</w:t>
      </w:r>
      <w:r>
        <w:rPr>
          <w:sz w:val="22"/>
          <w:lang w:val="es-MX"/>
        </w:rPr>
        <w:t xml:space="preserve">. </w:t>
      </w:r>
      <w:r>
        <w:rPr>
          <w:sz w:val="22"/>
          <w:lang w:val="es-MX"/>
        </w:rPr>
        <w:t xml:space="preserve">IFA, PROMSA. https://www.ifa.org.ec/docs/floricultura.pdf</w:t>
      </w:r>
      <w:r>
        <w:rPr>
          <w:sz w:val="22"/>
          <w:lang w:val="es-MX"/>
        </w:rPr>
      </w:r>
    </w:p>
    <w:p>
      <w:pPr>
        <w:pStyle w:val="788"/>
        <w:pBdr/>
        <w:spacing w:line="240" w:lineRule="auto"/>
        <w:ind w:hanging="806" w:left="806"/>
        <w:rPr>
          <w:sz w:val="22"/>
        </w:rPr>
      </w:pPr>
      <w:r>
        <w:rPr>
          <w:sz w:val="22"/>
          <w:lang w:val="es-MX"/>
        </w:rPr>
        <w:t xml:space="preserve">Hyland, C., Bradshaw, P. T., Gunier, R. B., Mora, A. M., Kogut, K., Deardorff, J., Sagiv, S. K., Bradman, A., &amp; Eskenazi, B. (2021). </w:t>
      </w:r>
      <w:r>
        <w:rPr>
          <w:sz w:val="22"/>
        </w:rPr>
        <w:t xml:space="preserve">Associations between pesticide mixtures applied near home during pregnancy and early childhood with adolescent behavioral and emotional problems in the CHAMACOS study. </w:t>
      </w:r>
      <w:r>
        <w:rPr>
          <w:i/>
          <w:iCs/>
          <w:sz w:val="22"/>
        </w:rPr>
        <w:t xml:space="preserve">Environmental Epidemiology</w:t>
      </w:r>
      <w:r>
        <w:rPr>
          <w:sz w:val="22"/>
        </w:rPr>
        <w:t xml:space="preserve">, </w:t>
      </w:r>
      <w:r>
        <w:rPr>
          <w:i/>
          <w:iCs/>
          <w:sz w:val="22"/>
        </w:rPr>
        <w:t xml:space="preserve">5</w:t>
      </w:r>
      <w:r>
        <w:rPr>
          <w:sz w:val="22"/>
        </w:rPr>
        <w:t xml:space="preserve">(3), e150. https://doi.org/10.1097/EE9.0000000000000150</w:t>
      </w:r>
      <w:r>
        <w:rPr>
          <w:sz w:val="22"/>
        </w:rPr>
      </w:r>
    </w:p>
    <w:p>
      <w:pPr>
        <w:pStyle w:val="788"/>
        <w:pBdr/>
        <w:spacing w:line="240" w:lineRule="auto"/>
        <w:ind w:hanging="806" w:left="806"/>
        <w:rPr>
          <w:sz w:val="22"/>
        </w:rPr>
      </w:pPr>
      <w:r>
        <w:rPr>
          <w:sz w:val="22"/>
        </w:rPr>
        <w:t xml:space="preserve">Hyland, C., &amp; Laribi, O. (2017). </w:t>
      </w:r>
      <w:r>
        <w:rPr>
          <w:sz w:val="22"/>
        </w:rPr>
        <w:t xml:space="preserve">Review of take-home pesticide exposure pathway in children living in agricultural areas. </w:t>
      </w:r>
      <w:r>
        <w:rPr>
          <w:i/>
          <w:iCs/>
          <w:sz w:val="22"/>
        </w:rPr>
        <w:t xml:space="preserve">Environmental Research</w:t>
      </w:r>
      <w:r>
        <w:rPr>
          <w:sz w:val="22"/>
        </w:rPr>
        <w:t xml:space="preserve">, </w:t>
      </w:r>
      <w:r>
        <w:rPr>
          <w:i/>
          <w:iCs/>
          <w:sz w:val="22"/>
        </w:rPr>
        <w:t xml:space="preserve">156</w:t>
      </w:r>
      <w:r>
        <w:rPr>
          <w:sz w:val="22"/>
        </w:rPr>
        <w:t xml:space="preserve">, 559–570. https://doi.org/10.1016/j.envres.2017.04.017</w:t>
      </w:r>
      <w:r>
        <w:rPr>
          <w:sz w:val="22"/>
        </w:rPr>
      </w:r>
    </w:p>
    <w:p>
      <w:pPr>
        <w:pStyle w:val="788"/>
        <w:pBdr/>
        <w:spacing w:line="240" w:lineRule="auto"/>
        <w:ind w:hanging="806" w:left="806"/>
        <w:rPr>
          <w:sz w:val="22"/>
        </w:rPr>
      </w:pPr>
      <w:r>
        <w:rPr>
          <w:sz w:val="22"/>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
        <w:t xml:space="preserve">Journal of Toxicology and Environmental Health, Part A</w:t>
      </w:r>
      <w:r>
        <w:rPr>
          <w:sz w:val="22"/>
        </w:rPr>
        <w:t xml:space="preserve">, </w:t>
      </w:r>
      <w:r>
        <w:rPr>
          <w:i/>
          <w:iCs/>
          <w:sz w:val="22"/>
        </w:rPr>
        <w:t xml:space="preserve">80</w:t>
      </w:r>
      <w:r>
        <w:rPr>
          <w:sz w:val="22"/>
        </w:rPr>
        <w:t xml:space="preserve">(10–12), 542–555. https://doi.org/10.1080/15287394.2017.1362612</w:t>
      </w:r>
      <w:r>
        <w:rPr>
          <w:sz w:val="22"/>
        </w:rPr>
      </w:r>
    </w:p>
    <w:p>
      <w:pPr>
        <w:pBdr/>
        <w:spacing/>
        <w:ind w:hanging="806" w:left="806"/>
        <w:rPr>
          <w:rFonts w:eastAsia="Times New Roman"/>
          <w:sz w:val="22"/>
          <w:szCs w:val="22"/>
          <w:lang w:eastAsia="en-US"/>
        </w:rPr>
      </w:pPr>
      <w:r>
        <w:rPr>
          <w:rFonts w:eastAsia="Times New Roman"/>
          <w:color w:val="1b1b1b"/>
          <w:sz w:val="22"/>
          <w:szCs w:val="22"/>
          <w:shd w:val="clear" w:color="auto" w:fill="ffffff"/>
          <w:lang w:eastAsia="en-US"/>
        </w:rPr>
        <w:t xml:space="preserve">Kang W, Hernández SP, Rahman MS, Voigt K, Malvaso A. Inhibitory Control Development: A Network Neuroscience Perspective. Front Psychol. 2022 Oct 10;13:651547. doi: 10.3389/fpsyg.2022.651547. PMID: 36300046; PMCID: PMC9588931.</w:t>
      </w:r>
      <w:r>
        <w:rPr>
          <w:rFonts w:eastAsia="Times New Roman"/>
          <w:sz w:val="22"/>
          <w:szCs w:val="22"/>
          <w:lang w:eastAsia="en-US"/>
        </w:rPr>
      </w:r>
    </w:p>
    <w:p>
      <w:pPr>
        <w:pStyle w:val="788"/>
        <w:pBdr/>
        <w:spacing w:line="240" w:lineRule="auto"/>
        <w:ind w:hanging="806" w:left="806"/>
        <w:rPr>
          <w:sz w:val="22"/>
        </w:rPr>
      </w:pPr>
      <w:r>
        <w:rPr>
          <w:sz w:val="22"/>
        </w:rPr>
        <w:t xml:space="preserve">Kofman, O., Berger, A., Massarwa, A., Friedman, A., &amp; Jaffar, A. A. (2006). Motor Inhibition and Learning Impairments in School-Aged Children Following Exposure to Organophosphate Pesticides in Infancy. </w:t>
      </w:r>
      <w:r>
        <w:rPr>
          <w:i/>
          <w:iCs/>
          <w:sz w:val="22"/>
        </w:rPr>
        <w:t xml:space="preserve">Pediatric Research</w:t>
      </w:r>
      <w:r>
        <w:rPr>
          <w:sz w:val="22"/>
        </w:rPr>
        <w:t xml:space="preserve">, </w:t>
      </w:r>
      <w:r>
        <w:rPr>
          <w:i/>
          <w:iCs/>
          <w:sz w:val="22"/>
        </w:rPr>
        <w:t xml:space="preserve">60</w:t>
      </w:r>
      <w:r>
        <w:rPr>
          <w:sz w:val="22"/>
        </w:rPr>
        <w:t xml:space="preserve">(1), 88–92. https://doi.org/10.1203/01.pdr.0000219467.47013.35</w:t>
      </w:r>
      <w:r>
        <w:rPr>
          <w:sz w:val="22"/>
        </w:rPr>
      </w:r>
    </w:p>
    <w:p>
      <w:pPr>
        <w:pStyle w:val="788"/>
        <w:pBdr/>
        <w:spacing w:line="240" w:lineRule="auto"/>
        <w:ind w:hanging="806" w:left="806"/>
        <w:rPr>
          <w:sz w:val="22"/>
        </w:rPr>
      </w:pPr>
      <w:r>
        <w:rPr>
          <w:sz w:val="22"/>
        </w:rPr>
        <w:t xml:space="preserve">Korkman †, M., Lahti-Nuuttila, P., Laasonen, M., Kemp, S. L., &amp; Holdnack, J. (2013). Neurocognitive development in 5- to 16-year-old North American children: A cross-sectional study. </w:t>
      </w:r>
      <w:r>
        <w:rPr>
          <w:i/>
          <w:iCs/>
          <w:sz w:val="22"/>
        </w:rPr>
        <w:t xml:space="preserve">Child Neuropsychology</w:t>
      </w:r>
      <w:r>
        <w:rPr>
          <w:sz w:val="22"/>
        </w:rPr>
        <w:t xml:space="preserve">, </w:t>
      </w:r>
      <w:r>
        <w:rPr>
          <w:i/>
          <w:iCs/>
          <w:sz w:val="22"/>
        </w:rPr>
        <w:t xml:space="preserve">19</w:t>
      </w:r>
      <w:r>
        <w:rPr>
          <w:sz w:val="22"/>
        </w:rPr>
        <w:t xml:space="preserve">(5), 516–539. https://doi.org/10.1080/09297049.2012.705822</w:t>
      </w:r>
      <w:r>
        <w:rPr>
          <w:sz w:val="22"/>
        </w:rPr>
      </w:r>
    </w:p>
    <w:p>
      <w:pPr>
        <w:pStyle w:val="788"/>
        <w:pBdr/>
        <w:spacing w:line="240" w:lineRule="auto"/>
        <w:ind w:hanging="806" w:left="806"/>
        <w:rPr>
          <w:sz w:val="22"/>
        </w:rPr>
      </w:pPr>
      <w:r>
        <w:rPr>
          <w:sz w:val="22"/>
        </w:rPr>
        <w:t xml:space="preserve">Korkman, M., Kirk, U., &amp; Kemp, S. (2007). </w:t>
      </w:r>
      <w:r>
        <w:rPr>
          <w:i/>
          <w:iCs/>
          <w:sz w:val="22"/>
        </w:rPr>
        <w:t xml:space="preserve">NEPSY II: Clinical and Interpretive Manual</w:t>
      </w:r>
      <w:r>
        <w:rPr>
          <w:sz w:val="22"/>
        </w:rPr>
        <w:t xml:space="preserve"> (Second Edition). The Psychological Corporation.</w:t>
      </w:r>
      <w:r>
        <w:rPr>
          <w:sz w:val="22"/>
        </w:rPr>
      </w:r>
    </w:p>
    <w:p>
      <w:pPr>
        <w:pStyle w:val="788"/>
        <w:pBdr/>
        <w:spacing w:line="240" w:lineRule="auto"/>
        <w:ind w:hanging="806" w:left="806"/>
        <w:rPr>
          <w:sz w:val="22"/>
        </w:rPr>
      </w:pPr>
      <w:r>
        <w:rPr>
          <w:sz w:val="22"/>
        </w:rPr>
        <w:t xml:space="preserve">Korpinen, E., Slama, S., Rosenqvist, J., &amp; Haavisto, A. (2023). WPPSI-IV and NEPSY-II performance in mono- and bilingual 5–6-year-old children: Findings from The FinSwed Study. </w:t>
      </w:r>
      <w:r>
        <w:rPr>
          <w:i/>
          <w:iCs/>
          <w:sz w:val="22"/>
        </w:rPr>
        <w:t xml:space="preserve">Scandinavian Journal of Psychology</w:t>
      </w:r>
      <w:r>
        <w:rPr>
          <w:sz w:val="22"/>
        </w:rPr>
        <w:t xml:space="preserve">, </w:t>
      </w:r>
      <w:r>
        <w:rPr>
          <w:i/>
          <w:iCs/>
          <w:sz w:val="22"/>
        </w:rPr>
        <w:t xml:space="preserve">64</w:t>
      </w:r>
      <w:r>
        <w:rPr>
          <w:sz w:val="22"/>
        </w:rPr>
        <w:t xml:space="preserve">(4), 409–420. https://doi.org/10.1111/sjop.12895</w:t>
      </w:r>
      <w:r>
        <w:rPr>
          <w:sz w:val="22"/>
        </w:rPr>
      </w:r>
    </w:p>
    <w:p>
      <w:pPr>
        <w:pStyle w:val="788"/>
        <w:pBdr/>
        <w:spacing w:line="240" w:lineRule="auto"/>
        <w:ind w:hanging="806" w:left="806"/>
        <w:rPr>
          <w:sz w:val="22"/>
          <w:lang w:val="es-MX"/>
        </w:rPr>
      </w:pPr>
      <w:r>
        <w:rPr>
          <w:sz w:val="22"/>
        </w:rPr>
        <w:t xml:space="preserve">Lu, C., Fenske, R., Simcox, N., &amp; Kalman, D. (2000). Pesticide Exposure of Children in an Agricultural Community: Evidence of Household Proximity to Farmland and Take Home Exposure Pathways. </w:t>
      </w:r>
      <w:r>
        <w:rPr>
          <w:i/>
          <w:iCs/>
          <w:sz w:val="22"/>
          <w:lang w:val="es-MX"/>
        </w:rPr>
        <w:t xml:space="preserve">Environmental Research</w:t>
      </w:r>
      <w:r>
        <w:rPr>
          <w:sz w:val="22"/>
          <w:lang w:val="es-MX"/>
        </w:rPr>
        <w:t xml:space="preserve">, </w:t>
      </w:r>
      <w:r>
        <w:rPr>
          <w:i/>
          <w:iCs/>
          <w:sz w:val="22"/>
          <w:lang w:val="es-MX"/>
        </w:rPr>
        <w:t xml:space="preserve">84</w:t>
      </w:r>
      <w:r>
        <w:rPr>
          <w:sz w:val="22"/>
          <w:lang w:val="es-MX"/>
        </w:rPr>
        <w:t xml:space="preserve">, 290–302. https://doi.org/10.1006/enrs.2000.4076</w:t>
      </w:r>
      <w:r>
        <w:rPr>
          <w:sz w:val="22"/>
          <w:lang w:val="es-MX"/>
        </w:rPr>
      </w:r>
    </w:p>
    <w:p>
      <w:pPr>
        <w:pStyle w:val="788"/>
        <w:pBdr/>
        <w:spacing w:line="240" w:lineRule="auto"/>
        <w:ind w:hanging="806" w:left="806"/>
        <w:rPr>
          <w:sz w:val="22"/>
        </w:rPr>
      </w:pPr>
      <w:r>
        <w:rPr>
          <w:sz w:val="22"/>
          <w:lang w:val="es-MX"/>
        </w:rPr>
        <w:t xml:space="preserve">Lucero, B., &amp; Muñoz-Quezada, M. T. (2021). </w:t>
      </w:r>
      <w:r>
        <w:rPr>
          <w:sz w:val="22"/>
        </w:rPr>
        <w:t xml:space="preserve">Neurobehavioral, Neuromotor, and Neurocognitive Effects in Agricultural Workers and Their Children Exposed to Pyrethroid Pesticides: A Review. </w:t>
      </w:r>
      <w:r>
        <w:rPr>
          <w:i/>
          <w:iCs/>
          <w:sz w:val="22"/>
        </w:rPr>
        <w:t xml:space="preserve">Frontiers in Human Neuroscience</w:t>
      </w:r>
      <w:r>
        <w:rPr>
          <w:sz w:val="22"/>
        </w:rPr>
        <w:t xml:space="preserve">, </w:t>
      </w:r>
      <w:r>
        <w:rPr>
          <w:i/>
          <w:iCs/>
          <w:sz w:val="22"/>
        </w:rPr>
        <w:t xml:space="preserve">15</w:t>
      </w:r>
      <w:r>
        <w:rPr>
          <w:sz w:val="22"/>
        </w:rPr>
        <w:t xml:space="preserve">. https://doi.org/10.3389/fnhum.2021.648171</w:t>
      </w:r>
      <w:r>
        <w:rPr>
          <w:sz w:val="22"/>
        </w:rPr>
      </w:r>
    </w:p>
    <w:p>
      <w:pPr>
        <w:pStyle w:val="788"/>
        <w:pBdr/>
        <w:spacing w:line="240" w:lineRule="auto"/>
        <w:ind w:hanging="806" w:left="806"/>
        <w:rPr>
          <w:sz w:val="22"/>
        </w:rPr>
      </w:pPr>
      <w:r>
        <w:rPr>
          <w:sz w:val="22"/>
        </w:rPr>
        <w:t xml:space="preserve">Marks, A. R., Harley, K., Bradman, A., Kogut, K., Barr, D. B., Johnson, C., Calderon, N., &amp; Eskenazi, B. (2010). Organophosphate Pesticide Exposure and Attention in Young Mexican-American Children: The CHAMACOS Study. </w:t>
      </w:r>
      <w:r>
        <w:rPr>
          <w:i/>
          <w:iCs/>
          <w:sz w:val="22"/>
        </w:rPr>
        <w:t xml:space="preserve">Environmental Health Perspectives</w:t>
      </w:r>
      <w:r>
        <w:rPr>
          <w:sz w:val="22"/>
        </w:rPr>
        <w:t xml:space="preserve">, </w:t>
      </w:r>
      <w:r>
        <w:rPr>
          <w:i/>
          <w:iCs/>
          <w:sz w:val="22"/>
        </w:rPr>
        <w:t xml:space="preserve">118</w:t>
      </w:r>
      <w:r>
        <w:rPr>
          <w:sz w:val="22"/>
        </w:rPr>
        <w:t xml:space="preserve">(12), 1768–1774. https://doi.org/10.1289/ehp.1002056</w:t>
      </w:r>
      <w:r>
        <w:rPr>
          <w:sz w:val="22"/>
        </w:rPr>
      </w:r>
    </w:p>
    <w:p>
      <w:pPr>
        <w:pStyle w:val="788"/>
        <w:pBdr/>
        <w:spacing w:line="240" w:lineRule="auto"/>
        <w:ind w:hanging="806" w:left="806"/>
        <w:rPr>
          <w:sz w:val="22"/>
        </w:rPr>
      </w:pPr>
      <w:r>
        <w:rPr>
          <w:sz w:val="22"/>
        </w:rPr>
        <w:t xml:space="preserve">Miller, D. C. (2012). </w:t>
      </w:r>
      <w:r>
        <w:rPr>
          <w:i/>
          <w:iCs/>
          <w:sz w:val="22"/>
        </w:rPr>
        <w:t xml:space="preserve">How to Report and Interpret the NEPSY-‐II Scores Within a School Neuropsyc</w:t>
      </w:r>
      <w:r>
        <w:rPr>
          <w:sz w:val="22"/>
        </w:rPr>
        <w:t xml:space="preserve"> (Second Edition). https://docslib.org/doc/8718539/how-to-report-and-interpret-the-nepsy-ii-scores-within-a-school-neuropsyc</w:t>
      </w:r>
      <w:r>
        <w:rPr>
          <w:sz w:val="22"/>
        </w:rPr>
      </w:r>
    </w:p>
    <w:p>
      <w:pPr>
        <w:pStyle w:val="788"/>
        <w:pBdr/>
        <w:spacing w:line="240" w:lineRule="auto"/>
        <w:ind w:hanging="806" w:left="806"/>
        <w:rPr>
          <w:sz w:val="22"/>
          <w:lang w:val="es-MX"/>
        </w:rPr>
      </w:pPr>
      <w:r>
        <w:rPr>
          <w:sz w:val="22"/>
        </w:rPr>
        <w:t xml:space="preserve">Miller, D. C. (2015). </w:t>
      </w:r>
      <w:r>
        <w:rPr>
          <w:i/>
          <w:iCs/>
          <w:sz w:val="22"/>
        </w:rPr>
        <w:t xml:space="preserve">NEPSY-II presentation – How to administer the Nepsy-2</w:t>
      </w:r>
      <w:r>
        <w:rPr>
          <w:sz w:val="22"/>
        </w:rPr>
        <w:t xml:space="preserve">. </w:t>
      </w:r>
      <w:r>
        <w:rPr>
          <w:sz w:val="22"/>
          <w:lang w:val="es-MX"/>
        </w:rPr>
        <w:t xml:space="preserve">TASP Conference. https://www.txasp.org/assets/conference-materials/2015/miller_nepsyii_tasp.pdf</w:t>
      </w:r>
      <w:r>
        <w:rPr>
          <w:sz w:val="22"/>
          <w:lang w:val="es-MX"/>
        </w:rPr>
      </w:r>
    </w:p>
    <w:p>
      <w:pPr>
        <w:pStyle w:val="788"/>
        <w:pBdr/>
        <w:spacing w:line="240" w:lineRule="auto"/>
        <w:ind w:hanging="806" w:left="806"/>
        <w:rPr>
          <w:sz w:val="22"/>
        </w:rPr>
      </w:pPr>
      <w:r>
        <w:rPr>
          <w:sz w:val="22"/>
          <w:lang w:val="es-MX"/>
        </w:rPr>
        <w:t xml:space="preserve">Muñoz-Quezada, M., Lucero, B., Barr, D., Steenland, K., Levy, K., Ryan, P., Iglesias, V., Alvarado Orellana, S. A., Concha, C., Rojas, E., &amp; Vega, C. (2013). </w:t>
      </w:r>
      <w:r>
        <w:rPr>
          <w:sz w:val="22"/>
        </w:rPr>
        <w:t xml:space="preserve">Neurodevelopmental effects in </w:t>
      </w:r>
      <w:r>
        <w:rPr>
          <w:sz w:val="22"/>
        </w:rPr>
        <w:t xml:space="preserve">children associated with exposure to organophosphate pesticides: A systematic review. </w:t>
      </w:r>
      <w:r>
        <w:rPr>
          <w:i/>
          <w:iCs/>
          <w:sz w:val="22"/>
        </w:rPr>
        <w:t xml:space="preserve">Neurotoxicology</w:t>
      </w:r>
      <w:r>
        <w:rPr>
          <w:sz w:val="22"/>
        </w:rPr>
        <w:t xml:space="preserve">, </w:t>
      </w:r>
      <w:r>
        <w:rPr>
          <w:i/>
          <w:iCs/>
          <w:sz w:val="22"/>
        </w:rPr>
        <w:t xml:space="preserve">39</w:t>
      </w:r>
      <w:r>
        <w:rPr>
          <w:sz w:val="22"/>
        </w:rPr>
        <w:t xml:space="preserve">. https://doi.org/10.1016/j.neuro.2013.09.003</w:t>
      </w:r>
      <w:r>
        <w:rPr>
          <w:sz w:val="22"/>
        </w:rPr>
      </w:r>
    </w:p>
    <w:p>
      <w:pPr>
        <w:pStyle w:val="788"/>
        <w:pBdr/>
        <w:spacing w:line="240" w:lineRule="auto"/>
        <w:ind w:hanging="806" w:left="806"/>
        <w:rPr>
          <w:sz w:val="22"/>
        </w:rPr>
      </w:pPr>
      <w:r>
        <w:rPr>
          <w:sz w:val="22"/>
        </w:rPr>
        <w:t xml:space="preserve">Ramírez, V., Gálvez-Ontiveros, Y., González-Domenech, P. J., Baca, M. Á., Rodrigo, L., &amp; Rivas, A. (2022). </w:t>
      </w:r>
      <w:r>
        <w:rPr>
          <w:sz w:val="22"/>
        </w:rPr>
        <w:t xml:space="preserve">Role of endocrine disrupting chemicals in children’s neurodevelopment. </w:t>
      </w:r>
      <w:r>
        <w:rPr>
          <w:i/>
          <w:iCs/>
          <w:sz w:val="22"/>
        </w:rPr>
        <w:t xml:space="preserve">Environmental Research</w:t>
      </w:r>
      <w:r>
        <w:rPr>
          <w:sz w:val="22"/>
        </w:rPr>
        <w:t xml:space="preserve">, </w:t>
      </w:r>
      <w:r>
        <w:rPr>
          <w:i/>
          <w:iCs/>
          <w:sz w:val="22"/>
        </w:rPr>
        <w:t xml:space="preserve">203</w:t>
      </w:r>
      <w:r>
        <w:rPr>
          <w:sz w:val="22"/>
        </w:rPr>
        <w:t xml:space="preserve">, 111890. https://doi.org/10.1016/j.envres.2021.111890</w:t>
      </w:r>
      <w:r>
        <w:rPr>
          <w:sz w:val="22"/>
        </w:rPr>
      </w:r>
    </w:p>
    <w:p>
      <w:pPr>
        <w:pStyle w:val="788"/>
        <w:pBdr/>
        <w:spacing w:line="240" w:lineRule="auto"/>
        <w:ind w:hanging="806" w:left="806"/>
        <w:rPr>
          <w:sz w:val="22"/>
          <w:lang w:val="es-EC"/>
        </w:rPr>
      </w:pPr>
      <w:r>
        <w:rPr>
          <w:sz w:val="22"/>
        </w:rPr>
        <w:t xml:space="preserve">Reed, J. E., Burns, C. J., &amp; Pisa, F. (2023). Literature landscape of neurodevelopment and pesticides: A scoping review of methodologies. </w:t>
      </w:r>
      <w:r>
        <w:rPr>
          <w:i/>
          <w:iCs/>
          <w:sz w:val="22"/>
          <w:lang w:val="es-EC"/>
        </w:rPr>
        <w:t xml:space="preserve">Global Epidemiology</w:t>
      </w:r>
      <w:r>
        <w:rPr>
          <w:sz w:val="22"/>
          <w:lang w:val="es-EC"/>
        </w:rPr>
        <w:t xml:space="preserve">, </w:t>
      </w:r>
      <w:r>
        <w:rPr>
          <w:i/>
          <w:iCs/>
          <w:sz w:val="22"/>
          <w:lang w:val="es-EC"/>
        </w:rPr>
        <w:t xml:space="preserve">6</w:t>
      </w:r>
      <w:r>
        <w:rPr>
          <w:sz w:val="22"/>
          <w:lang w:val="es-EC"/>
        </w:rPr>
        <w:t xml:space="preserve">, 100121. https://doi.org/10.1016/j.gloepi.2023.100121</w:t>
      </w:r>
      <w:r>
        <w:rPr>
          <w:sz w:val="22"/>
          <w:lang w:val="es-EC"/>
        </w:rPr>
      </w:r>
    </w:p>
    <w:p>
      <w:pPr>
        <w:pStyle w:val="788"/>
        <w:pBdr/>
        <w:spacing w:line="240" w:lineRule="auto"/>
        <w:ind w:hanging="806" w:left="806"/>
        <w:rPr>
          <w:sz w:val="22"/>
        </w:rPr>
      </w:pPr>
      <w:r>
        <w:rPr>
          <w:sz w:val="22"/>
          <w:lang w:val="es-EC"/>
        </w:rPr>
        <w:t xml:space="preserve">Rosas, L. G., &amp; Eskenazi, B. (2008). </w:t>
      </w:r>
      <w:r>
        <w:rPr>
          <w:sz w:val="22"/>
        </w:rPr>
        <w:t xml:space="preserve">Pesticides and child neurodevelopment. </w:t>
      </w:r>
      <w:r>
        <w:rPr>
          <w:i/>
          <w:iCs/>
          <w:sz w:val="22"/>
        </w:rPr>
        <w:t xml:space="preserve">Current Opinion in Pediatrics</w:t>
      </w:r>
      <w:r>
        <w:rPr>
          <w:sz w:val="22"/>
        </w:rPr>
        <w:t xml:space="preserve">, </w:t>
      </w:r>
      <w:r>
        <w:rPr>
          <w:i/>
          <w:iCs/>
          <w:sz w:val="22"/>
        </w:rPr>
        <w:t xml:space="preserve">20</w:t>
      </w:r>
      <w:r>
        <w:rPr>
          <w:sz w:val="22"/>
        </w:rPr>
        <w:t xml:space="preserve">(2), 191. https://doi.org/10.1097/MOP.0b013e3282f60a7d</w:t>
      </w:r>
      <w:r>
        <w:rPr>
          <w:sz w:val="22"/>
        </w:rPr>
      </w:r>
    </w:p>
    <w:p>
      <w:pPr>
        <w:pStyle w:val="788"/>
        <w:pBdr/>
        <w:spacing w:line="240" w:lineRule="auto"/>
        <w:ind w:hanging="806" w:left="806"/>
        <w:rPr>
          <w:sz w:val="22"/>
        </w:rPr>
      </w:pPr>
      <w:r>
        <w:rPr>
          <w:sz w:val="22"/>
          <w:lang w:val="pt-BR"/>
        </w:rPr>
        <w:t xml:space="preserve">Sánchez Lizardi, P., O’Rourke, M. K., &amp; Morris, R. J. (2008). </w:t>
      </w:r>
      <w:r>
        <w:rPr>
          <w:sz w:val="22"/>
        </w:rPr>
        <w:t xml:space="preserve">The Effects of Organophosphate Pesticide Exposure on Hispanic Children’s Cognitive and Behavioral Functioning. </w:t>
      </w:r>
      <w:r>
        <w:rPr>
          <w:i/>
          <w:iCs/>
          <w:sz w:val="22"/>
        </w:rPr>
        <w:t xml:space="preserve">Journal of Pediatric Psychology</w:t>
      </w:r>
      <w:r>
        <w:rPr>
          <w:sz w:val="22"/>
        </w:rPr>
        <w:t xml:space="preserve">, </w:t>
      </w:r>
      <w:r>
        <w:rPr>
          <w:i/>
          <w:iCs/>
          <w:sz w:val="22"/>
        </w:rPr>
        <w:t xml:space="preserve">33</w:t>
      </w:r>
      <w:r>
        <w:rPr>
          <w:sz w:val="22"/>
        </w:rPr>
        <w:t xml:space="preserve">(1), 91–101. https://doi.org/10.1093/jpepsy/jsm047</w:t>
      </w:r>
      <w:r>
        <w:rPr>
          <w:sz w:val="22"/>
        </w:rPr>
      </w:r>
    </w:p>
    <w:p>
      <w:pPr>
        <w:pStyle w:val="788"/>
        <w:pBdr/>
        <w:spacing w:line="240" w:lineRule="auto"/>
        <w:ind w:hanging="806" w:left="806"/>
        <w:rPr>
          <w:sz w:val="22"/>
        </w:rPr>
      </w:pPr>
      <w:r>
        <w:rPr>
          <w:sz w:val="22"/>
        </w:rPr>
        <w:t xml:space="preserve">Sapbamrer, R., &amp; Hongsibsong, S. (2019). Effects of prenatal and postnatal exposure to organophosphate pesticides on child neurodevelopment in different age groups: A systematic review. </w:t>
      </w:r>
      <w:r>
        <w:rPr>
          <w:i/>
          <w:iCs/>
          <w:sz w:val="22"/>
        </w:rPr>
        <w:t xml:space="preserve">Environmental Science and Pollution Research</w:t>
      </w:r>
      <w:r>
        <w:rPr>
          <w:sz w:val="22"/>
        </w:rPr>
        <w:t xml:space="preserve">, </w:t>
      </w:r>
      <w:r>
        <w:rPr>
          <w:i/>
          <w:iCs/>
          <w:sz w:val="22"/>
        </w:rPr>
        <w:t xml:space="preserve">26</w:t>
      </w:r>
      <w:r>
        <w:rPr>
          <w:sz w:val="22"/>
        </w:rPr>
        <w:t xml:space="preserve">(18), 18267–18290. https://doi.org/10.1007/s11356-019-05126-w</w:t>
      </w:r>
      <w:r>
        <w:rPr>
          <w:sz w:val="22"/>
        </w:rPr>
      </w:r>
    </w:p>
    <w:p>
      <w:pPr>
        <w:pStyle w:val="788"/>
        <w:pBdr/>
        <w:spacing w:line="240" w:lineRule="auto"/>
        <w:ind w:hanging="806" w:left="806"/>
        <w:rPr>
          <w:sz w:val="22"/>
        </w:rPr>
      </w:pPr>
      <w:r>
        <w:rPr>
          <w:sz w:val="22"/>
        </w:rPr>
        <w:t xml:space="preserve">Shelton, J. F., Geraghty, E. M., Tancredi, D. J., Delwiche, L. D., Schmidt, R. J., Ritz, B., Hansen, R. L., &amp; Hertz-Picciotto, I. (2014). Neurodevelopmental Disorders and Prenatal Residential Proximity to Agricultural Pesticides: The CHARGE Study. </w:t>
      </w:r>
      <w:r>
        <w:rPr>
          <w:i/>
          <w:iCs/>
          <w:sz w:val="22"/>
        </w:rPr>
        <w:t xml:space="preserve">Environmental Health Perspectives</w:t>
      </w:r>
      <w:r>
        <w:rPr>
          <w:sz w:val="22"/>
        </w:rPr>
        <w:t xml:space="preserve">, </w:t>
      </w:r>
      <w:r>
        <w:rPr>
          <w:i/>
          <w:iCs/>
          <w:sz w:val="22"/>
        </w:rPr>
        <w:t xml:space="preserve">122</w:t>
      </w:r>
      <w:r>
        <w:rPr>
          <w:sz w:val="22"/>
        </w:rPr>
        <w:t xml:space="preserve">(10), 1103–1109. https://doi.org/10.1289/ehp.1307044</w:t>
      </w:r>
      <w:r>
        <w:rPr>
          <w:sz w:val="22"/>
        </w:rPr>
      </w:r>
    </w:p>
    <w:p>
      <w:pPr>
        <w:pStyle w:val="788"/>
        <w:pBdr/>
        <w:spacing w:line="240" w:lineRule="auto"/>
        <w:ind w:hanging="806" w:left="806"/>
        <w:rPr>
          <w:sz w:val="22"/>
        </w:rPr>
      </w:pPr>
      <w:r>
        <w:rPr>
          <w:sz w:val="22"/>
        </w:rPr>
        <w:t xml:space="preserve">Simcox, N. J., Fenske, R. A., Wolz, S. A., Lee, I. C., &amp; Kalman, D. A. (1995). Pesticides in household dust and soil: Exposure pathways for children of agricultural families. </w:t>
      </w:r>
      <w:r>
        <w:rPr>
          <w:i/>
          <w:iCs/>
          <w:sz w:val="22"/>
        </w:rPr>
        <w:t xml:space="preserve">Environmental Health Perspectives</w:t>
      </w:r>
      <w:r>
        <w:rPr>
          <w:sz w:val="22"/>
        </w:rPr>
        <w:t xml:space="preserve">, </w:t>
      </w:r>
      <w:r>
        <w:rPr>
          <w:i/>
          <w:iCs/>
          <w:sz w:val="22"/>
        </w:rPr>
        <w:t xml:space="preserve">103</w:t>
      </w:r>
      <w:r>
        <w:rPr>
          <w:sz w:val="22"/>
        </w:rPr>
        <w:t xml:space="preserve">(12), 1126–1134. https://doi.org/10.1289/ehp.951031126</w:t>
      </w:r>
      <w:r>
        <w:rPr>
          <w:sz w:val="22"/>
        </w:rPr>
      </w:r>
    </w:p>
    <w:p>
      <w:pPr>
        <w:pStyle w:val="788"/>
        <w:pBdr/>
        <w:spacing w:line="240" w:lineRule="auto"/>
        <w:ind w:hanging="806" w:left="806"/>
        <w:rPr>
          <w:sz w:val="22"/>
        </w:rPr>
      </w:pPr>
      <w:r>
        <w:rPr>
          <w:sz w:val="22"/>
        </w:rPr>
        <w:t xml:space="preserve">Suarez-Lopez, J. R., Butcher, C. R., Gahagan, S., Checkoway, H., Alexander, B. H., &amp; Al-Delaimy, W. K. (2018). Acetylcholinesterase activity and time after a peak pesticide-use period among Ecuadorian children. </w:t>
      </w:r>
      <w:r>
        <w:rPr>
          <w:i/>
          <w:iCs/>
          <w:sz w:val="22"/>
        </w:rPr>
        <w:t xml:space="preserve">International Archives of Occupational and Environmental Health</w:t>
      </w:r>
      <w:r>
        <w:rPr>
          <w:sz w:val="22"/>
        </w:rPr>
        <w:t xml:space="preserve">, </w:t>
      </w:r>
      <w:r>
        <w:rPr>
          <w:i/>
          <w:iCs/>
          <w:sz w:val="22"/>
        </w:rPr>
        <w:t xml:space="preserve">91</w:t>
      </w:r>
      <w:r>
        <w:rPr>
          <w:sz w:val="22"/>
        </w:rPr>
        <w:t xml:space="preserve">(2), 175–184. https://doi.org/10.1007/s00420-017-1265-4</w:t>
      </w:r>
      <w:r>
        <w:rPr>
          <w:sz w:val="22"/>
        </w:rPr>
      </w:r>
    </w:p>
    <w:p>
      <w:pPr>
        <w:pStyle w:val="788"/>
        <w:pBdr/>
        <w:spacing w:line="240" w:lineRule="auto"/>
        <w:ind w:hanging="806" w:left="806"/>
        <w:rPr>
          <w:sz w:val="22"/>
        </w:rPr>
      </w:pPr>
      <w:r>
        <w:rPr>
          <w:sz w:val="22"/>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
        <w:t xml:space="preserve">Neurotoxicology</w:t>
      </w:r>
      <w:r>
        <w:rPr>
          <w:sz w:val="22"/>
        </w:rPr>
        <w:t xml:space="preserve">, </w:t>
      </w:r>
      <w:r>
        <w:rPr>
          <w:i/>
          <w:iCs/>
          <w:sz w:val="22"/>
        </w:rPr>
        <w:t xml:space="preserve">60</w:t>
      </w:r>
      <w:r>
        <w:rPr>
          <w:sz w:val="22"/>
        </w:rPr>
        <w:t xml:space="preserve">, 125–133. https://doi.org/10.1016/j.neuro.2017.02.002</w:t>
      </w:r>
      <w:r>
        <w:rPr>
          <w:sz w:val="22"/>
        </w:rPr>
      </w:r>
    </w:p>
    <w:p>
      <w:pPr>
        <w:pStyle w:val="788"/>
        <w:pBdr/>
        <w:spacing w:line="240" w:lineRule="auto"/>
        <w:ind w:hanging="806" w:left="806"/>
        <w:rPr>
          <w:sz w:val="22"/>
          <w:lang w:val="pt-BR"/>
        </w:rPr>
      </w:pPr>
      <w:r>
        <w:rPr>
          <w:sz w:val="22"/>
        </w:rPr>
        <w:t xml:space="preserve">Suarez-Lopez, J. R., Himes, J. H., Jacobs, D. R., Alexander, B. H., &amp; Gunnar, M. R. (2013). Acetylcholinesterase Activity and Neurodevelopment in Boys and Girls | Pediatrics | American Academy of Pediatrics. </w:t>
      </w:r>
      <w:r>
        <w:rPr>
          <w:i/>
          <w:iCs/>
          <w:sz w:val="22"/>
          <w:lang w:val="pt-BR"/>
        </w:rPr>
        <w:t xml:space="preserve">Pediatrics</w:t>
      </w:r>
      <w:r>
        <w:rPr>
          <w:sz w:val="22"/>
          <w:lang w:val="pt-BR"/>
        </w:rPr>
        <w:t xml:space="preserve">, </w:t>
      </w:r>
      <w:r>
        <w:rPr>
          <w:i/>
          <w:iCs/>
          <w:sz w:val="22"/>
          <w:lang w:val="pt-BR"/>
        </w:rPr>
        <w:t xml:space="preserve">132</w:t>
      </w:r>
      <w:r>
        <w:rPr>
          <w:sz w:val="22"/>
          <w:lang w:val="pt-BR"/>
        </w:rPr>
        <w:t xml:space="preserve">(6), e1649–e1658. https://doi.org/10.1542/peds.2013-0108</w:t>
      </w:r>
      <w:r>
        <w:rPr>
          <w:sz w:val="22"/>
          <w:lang w:val="pt-BR"/>
        </w:rPr>
      </w:r>
    </w:p>
    <w:p>
      <w:pPr>
        <w:pBdr/>
        <w:spacing/>
        <w:ind w:hanging="634" w:left="634"/>
        <w:rPr>
          <w:rFonts w:eastAsia="Times New Roman"/>
          <w:lang w:eastAsia="en-US"/>
        </w:rPr>
      </w:pPr>
      <w:r>
        <w:rPr>
          <w:rFonts w:eastAsia="Times New Roman"/>
          <w:lang w:eastAsia="en-US"/>
        </w:rPr>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lang w:eastAsia="en-US"/>
        </w:rPr>
        <w:t xml:space="preserve">Int J </w:t>
      </w:r>
      <w:r>
        <w:rPr>
          <w:rFonts w:eastAsia="Times New Roman"/>
          <w:i/>
          <w:iCs/>
          <w:lang w:eastAsia="en-US"/>
        </w:rPr>
        <w:t xml:space="preserve">Hyg</w:t>
      </w:r>
      <w:r>
        <w:rPr>
          <w:rFonts w:eastAsia="Times New Roman"/>
          <w:i/>
          <w:iCs/>
          <w:lang w:eastAsia="en-US"/>
        </w:rPr>
        <w:t xml:space="preserve"> Environ Health</w:t>
      </w:r>
      <w:r>
        <w:rPr>
          <w:rFonts w:eastAsia="Times New Roman"/>
          <w:lang w:eastAsia="en-US"/>
        </w:rPr>
        <w:t xml:space="preserve">. 2019;222(7):981-990. </w:t>
      </w:r>
      <w:r>
        <w:rPr>
          <w:rFonts w:eastAsia="Times New Roman"/>
          <w:lang w:eastAsia="en-US"/>
        </w:rPr>
        <w:t xml:space="preserve">doi:10.1016/j.ijheh</w:t>
      </w:r>
      <w:r>
        <w:rPr>
          <w:rFonts w:eastAsia="Times New Roman"/>
          <w:lang w:eastAsia="en-US"/>
        </w:rPr>
        <w:t xml:space="preserve">.2019.06.001</w:t>
      </w:r>
      <w:r>
        <w:rPr>
          <w:rFonts w:eastAsia="Times New Roman"/>
          <w:lang w:eastAsia="en-US"/>
        </w:rPr>
      </w:r>
    </w:p>
    <w:p>
      <w:pPr>
        <w:pStyle w:val="788"/>
        <w:pBdr/>
        <w:spacing w:line="240" w:lineRule="auto"/>
        <w:ind w:hanging="806" w:left="806"/>
        <w:rPr>
          <w:sz w:val="22"/>
          <w:lang w:val="es-MX"/>
        </w:rPr>
      </w:pPr>
      <w:r>
        <w:rPr>
          <w:sz w:val="22"/>
          <w:lang w:val="pt-BR"/>
        </w:rPr>
        <w:t xml:space="preserve">Suárez-López, J. R., Nazeeh, N., Kayser, G., Suarez-Torres, J., Checkoway, H., López-Paredes, D., Jacobs, D. R., &amp; de la Cruz, F. (2020). </w:t>
      </w:r>
      <w:r>
        <w:rPr>
          <w:sz w:val="22"/>
        </w:rPr>
        <w:t xml:space="preserve">Residential proximity to greenhouse crops and pesticide exposure (via acetylcholinesterase activity) assessed from childhood through adolescence. </w:t>
      </w:r>
      <w:r>
        <w:rPr>
          <w:i/>
          <w:iCs/>
          <w:sz w:val="22"/>
          <w:lang w:val="es-MX"/>
        </w:rPr>
        <w:t xml:space="preserve">Environmental Research</w:t>
      </w:r>
      <w:r>
        <w:rPr>
          <w:sz w:val="22"/>
          <w:lang w:val="es-MX"/>
        </w:rPr>
        <w:t xml:space="preserve">, </w:t>
      </w:r>
      <w:r>
        <w:rPr>
          <w:i/>
          <w:iCs/>
          <w:sz w:val="22"/>
          <w:lang w:val="es-MX"/>
        </w:rPr>
        <w:t xml:space="preserve">188</w:t>
      </w:r>
      <w:r>
        <w:rPr>
          <w:sz w:val="22"/>
          <w:lang w:val="es-MX"/>
        </w:rPr>
        <w:t xml:space="preserve">, 109728. https://doi.org/10.1016/j.envres.2020.109728</w:t>
      </w:r>
      <w:r>
        <w:rPr>
          <w:sz w:val="22"/>
          <w:lang w:val="es-MX"/>
        </w:rPr>
      </w:r>
    </w:p>
    <w:p>
      <w:pPr>
        <w:pStyle w:val="788"/>
        <w:pBdr/>
        <w:spacing w:line="240" w:lineRule="auto"/>
        <w:ind w:hanging="806" w:left="806"/>
        <w:rPr>
          <w:sz w:val="22"/>
        </w:rPr>
      </w:pPr>
      <w:r>
        <w:rPr>
          <w:sz w:val="22"/>
          <w:lang w:val="es-MX"/>
        </w:rPr>
        <w:t xml:space="preserve">Tessari, L., Angriman, M., Díaz-Román, A., Zhang, J., Conca, A., &amp; Cortese, S. (2022). </w:t>
      </w:r>
      <w:r>
        <w:rPr>
          <w:sz w:val="22"/>
        </w:rPr>
        <w:t xml:space="preserve">Association Between Exposure to Pesticides and ADHD or Autism Spectrum Disorder: A Systematic Review of the Literature. </w:t>
      </w:r>
      <w:r>
        <w:rPr>
          <w:i/>
          <w:iCs/>
          <w:sz w:val="22"/>
        </w:rPr>
        <w:t xml:space="preserve">Journal of Attention Disorders</w:t>
      </w:r>
      <w:r>
        <w:rPr>
          <w:sz w:val="22"/>
        </w:rPr>
        <w:t xml:space="preserve">, </w:t>
      </w:r>
      <w:r>
        <w:rPr>
          <w:i/>
          <w:iCs/>
          <w:sz w:val="22"/>
        </w:rPr>
        <w:t xml:space="preserve">26</w:t>
      </w:r>
      <w:r>
        <w:rPr>
          <w:sz w:val="22"/>
        </w:rPr>
        <w:t xml:space="preserve">(1), 48–71. https://doi.org/10.1177/1087054720940402</w:t>
      </w:r>
      <w:r>
        <w:rPr>
          <w:sz w:val="22"/>
        </w:rPr>
      </w:r>
    </w:p>
    <w:p>
      <w:pPr>
        <w:pStyle w:val="788"/>
        <w:pBdr/>
        <w:spacing w:line="240" w:lineRule="auto"/>
        <w:ind w:hanging="806" w:left="806"/>
        <w:rPr>
          <w:sz w:val="22"/>
        </w:rPr>
      </w:pPr>
      <w:r>
        <w:rPr>
          <w:sz w:val="22"/>
        </w:rPr>
        <w:t xml:space="preserve">Thistle, J. E., Roell, K. R., Choi, G., Villanger, G. D., Drover, S. S., Sakhi, A. K., Thomsen, C., Zeiner, P., Knudsen, G., Reichborn-Kjennerud, T., Øvergaard, K. R., Herring, A., Aase, H., &amp; Engel, S. </w:t>
      </w:r>
      <w:r>
        <w:rPr>
          <w:sz w:val="22"/>
        </w:rPr>
        <w:t xml:space="preserve">M. (2020). Prenatal exposure to organophosphate pesticides and executive function in the Norwegian Mother, Father and Child Cohort. </w:t>
      </w:r>
      <w:r>
        <w:rPr>
          <w:i/>
          <w:iCs/>
          <w:sz w:val="22"/>
        </w:rPr>
        <w:t xml:space="preserve">ISEE Conference Abstracts</w:t>
      </w:r>
      <w:r>
        <w:rPr>
          <w:sz w:val="22"/>
        </w:rPr>
        <w:t xml:space="preserve">, </w:t>
      </w:r>
      <w:r>
        <w:rPr>
          <w:i/>
          <w:iCs/>
          <w:sz w:val="22"/>
        </w:rPr>
        <w:t xml:space="preserve">2020</w:t>
      </w:r>
      <w:r>
        <w:rPr>
          <w:sz w:val="22"/>
        </w:rPr>
        <w:t xml:space="preserve">(1). https://doi.org/10.1289/isee.2020.virtual.P-0820</w:t>
      </w:r>
      <w:r>
        <w:rPr>
          <w:sz w:val="22"/>
        </w:rPr>
      </w:r>
    </w:p>
    <w:p>
      <w:pPr>
        <w:pStyle w:val="788"/>
        <w:pBdr/>
        <w:spacing w:line="240" w:lineRule="auto"/>
        <w:ind w:hanging="806" w:left="806"/>
        <w:rPr>
          <w:sz w:val="22"/>
        </w:rPr>
      </w:pPr>
      <w:r>
        <w:rPr>
          <w:sz w:val="22"/>
        </w:rPr>
        <w:t xml:space="preserve">Wagner-Schuman, M., Richardso</w:t>
      </w:r>
      <w:r>
        <w:rPr>
          <w:sz w:val="22"/>
        </w:rPr>
        <w:t xml:space="preserve">n, J. R., Auinger, P., Braun, J. M., Lanphear, B. P., Epstein, J. N., Yolton, K., &amp; Froehlich, T. E. (2015). Association of pyrethroid pesticide exposure with attention-deficit/hyperactivity disorder in a nationally representative sample of U.S. children. </w:t>
      </w:r>
      <w:r>
        <w:rPr>
          <w:i/>
          <w:iCs/>
          <w:sz w:val="22"/>
        </w:rPr>
        <w:t xml:space="preserve">Environmental Health</w:t>
      </w:r>
      <w:r>
        <w:rPr>
          <w:sz w:val="22"/>
        </w:rPr>
        <w:t xml:space="preserve">, </w:t>
      </w:r>
      <w:r>
        <w:rPr>
          <w:i/>
          <w:iCs/>
          <w:sz w:val="22"/>
        </w:rPr>
        <w:t xml:space="preserve">14</w:t>
      </w:r>
      <w:r>
        <w:rPr>
          <w:sz w:val="22"/>
        </w:rPr>
        <w:t xml:space="preserve">(1), 44. https://doi.org/10.1186/s12940-015-0030-y</w:t>
      </w:r>
      <w:r>
        <w:rPr>
          <w:sz w:val="22"/>
        </w:rPr>
      </w:r>
    </w:p>
    <w:p>
      <w:pPr>
        <w:pStyle w:val="788"/>
        <w:pBdr/>
        <w:spacing w:line="240" w:lineRule="auto"/>
        <w:ind w:hanging="806" w:left="806"/>
        <w:rPr>
          <w:sz w:val="22"/>
        </w:rPr>
      </w:pPr>
      <w:r>
        <w:rPr>
          <w:sz w:val="22"/>
        </w:rPr>
        <w:t xml:space="preserve">Ward, M. H., Lubin, J., Giglierano, J., Colt, J. S., Wolter, C., Bekiroglu, N., Camann, D., Hartge, P., &amp; Nuckols, J. R. (2006). Proximity to Crops and Residential Exposure to Agricultural Herbicides in Iowa. </w:t>
      </w:r>
      <w:r>
        <w:rPr>
          <w:i/>
          <w:iCs/>
          <w:sz w:val="22"/>
        </w:rPr>
        <w:t xml:space="preserve">Environmental Health Perspectives</w:t>
      </w:r>
      <w:r>
        <w:rPr>
          <w:sz w:val="22"/>
        </w:rPr>
        <w:t xml:space="preserve">, </w:t>
      </w:r>
      <w:r>
        <w:rPr>
          <w:i/>
          <w:iCs/>
          <w:sz w:val="22"/>
        </w:rPr>
        <w:t xml:space="preserve">114</w:t>
      </w:r>
      <w:r>
        <w:rPr>
          <w:sz w:val="22"/>
        </w:rPr>
        <w:t xml:space="preserve">(6), 893–897. https://doi.org/10.1289/ehp.8770</w:t>
      </w:r>
      <w:r>
        <w:rPr>
          <w:sz w:val="22"/>
        </w:rPr>
      </w:r>
    </w:p>
    <w:p>
      <w:pPr>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ind w:hanging="806" w:left="806"/>
        <w:rPr>
          <w:color w:val="000000"/>
          <w:sz w:val="22"/>
          <w:szCs w:val="22"/>
        </w:rPr>
      </w:pPr>
      <w:r>
        <w:rPr>
          <w:color w:val="000000"/>
          <w:sz w:val="22"/>
          <w:szCs w:val="22"/>
        </w:rPr>
        <w:t xml:space="preserve">WHO. </w:t>
      </w:r>
      <w:r>
        <w:rPr>
          <w:i/>
          <w:iCs/>
          <w:color w:val="000000"/>
          <w:sz w:val="22"/>
          <w:szCs w:val="22"/>
        </w:rPr>
        <w:t xml:space="preserve">Training Course on Child Growth Assessment</w:t>
      </w:r>
      <w:r>
        <w:rPr>
          <w:color w:val="000000"/>
          <w:sz w:val="22"/>
          <w:szCs w:val="22"/>
        </w:rPr>
        <w:t xml:space="preserve">. World Health Organization; 2008.</w:t>
      </w:r>
      <w:r>
        <w:rPr>
          <w:color w:val="000000"/>
          <w:sz w:val="22"/>
          <w:szCs w:val="22"/>
        </w:rPr>
      </w:r>
    </w:p>
    <w:p>
      <w:pPr>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ind w:hanging="806" w:left="806"/>
        <w:rPr>
          <w:color w:val="000000"/>
          <w:sz w:val="22"/>
          <w:szCs w:val="22"/>
        </w:rPr>
      </w:pPr>
      <w:r>
        <w:rPr>
          <w:color w:val="000000"/>
          <w:sz w:val="22"/>
          <w:szCs w:val="22"/>
        </w:rPr>
        <w:t xml:space="preserve">WHO Multicentre Growth Reference Study Group. WHO Child Growth Standards based on length/height, weight and age. </w:t>
      </w:r>
      <w:r>
        <w:rPr>
          <w:i/>
          <w:iCs/>
          <w:color w:val="000000"/>
          <w:sz w:val="22"/>
          <w:szCs w:val="22"/>
        </w:rPr>
        <w:t xml:space="preserve">Acta paediatrica</w:t>
      </w:r>
      <w:r>
        <w:rPr>
          <w:color w:val="000000"/>
          <w:sz w:val="22"/>
          <w:szCs w:val="22"/>
        </w:rPr>
        <w:t xml:space="preserve">. 2006;450:76-85. </w:t>
      </w:r>
      <w:r>
        <w:rPr>
          <w:color w:val="000000"/>
          <w:sz w:val="22"/>
          <w:szCs w:val="22"/>
        </w:rPr>
      </w:r>
    </w:p>
    <w:p>
      <w:pPr>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ind w:hanging="806" w:left="806"/>
        <w:rPr>
          <w:color w:val="000000"/>
          <w:sz w:val="22"/>
          <w:szCs w:val="22"/>
        </w:rPr>
      </w:pPr>
      <w:r>
        <w:rPr>
          <w:color w:val="000000"/>
          <w:sz w:val="22"/>
          <w:szCs w:val="22"/>
        </w:rPr>
        <w:t xml:space="preserve">Yen, J., Yang, K., Skomal, A., Tub, X., Kayser, G.L.., Gahagan, S., Suarez-Torres, J.,Hong, S., Moore, </w:t>
      </w:r>
      <w:r>
        <w:rPr>
          <w:color w:val="000000"/>
          <w:sz w:val="22"/>
          <w:szCs w:val="22"/>
        </w:rPr>
        <w:t xml:space="preserve"> </w:t>
      </w:r>
      <w:r>
        <w:rPr>
          <w:color w:val="000000"/>
          <w:sz w:val="22"/>
          <w:szCs w:val="22"/>
        </w:rPr>
        <w:t xml:space="preserve">R., Suarez-Lopez, J.R. Associations Between Neonicotinoid, Pyrethroid, and Organophosphate Insecticide Metabolites with Neurobehavioral Performance in Ecuadorian Adolescents</w:t>
      </w:r>
      <w:r>
        <w:rPr>
          <w:color w:val="000000"/>
          <w:sz w:val="22"/>
          <w:szCs w:val="22"/>
        </w:rPr>
        <w:t xml:space="preserve"> In review.</w:t>
      </w:r>
      <w:r>
        <w:rPr>
          <w:color w:val="000000"/>
          <w:sz w:val="22"/>
          <w:szCs w:val="22"/>
        </w:rPr>
      </w:r>
    </w:p>
    <w:p>
      <w:pPr>
        <w:pBdr/>
        <w:spacing/>
        <w:ind w:hanging="806" w:left="806"/>
        <w:rPr>
          <w:color w:val="000000"/>
          <w:sz w:val="22"/>
          <w:szCs w:val="22"/>
        </w:rPr>
      </w:pPr>
      <w:r>
        <w:rPr>
          <w:color w:val="000000"/>
          <w:sz w:val="22"/>
          <w:szCs w:val="22"/>
        </w:rPr>
        <w:fldChar w:fldCharType="end"/>
      </w:r>
      <w:r>
        <w:rPr>
          <w:color w:val="000000"/>
          <w:sz w:val="22"/>
          <w:szCs w:val="22"/>
        </w:rPr>
        <w:br w:type="page" w:clear="all"/>
      </w:r>
      <w:r>
        <w:rPr>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b/>
          <w:bCs/>
          <w:color w:val="000000"/>
          <w:sz w:val="22"/>
          <w:szCs w:val="22"/>
        </w:rPr>
      </w:pPr>
      <w:r>
        <w:rPr>
          <w:b/>
          <w:bCs/>
          <w:color w:val="000000"/>
          <w:sz w:val="22"/>
          <w:szCs w:val="22"/>
        </w:rPr>
        <w:t xml:space="preserve">Supplementary Tables</w:t>
      </w:r>
      <w:r>
        <w:rPr>
          <w:b/>
          <w:bCs/>
          <w:color w:val="000000"/>
          <w:sz w:val="22"/>
          <w:szCs w:val="22"/>
        </w:rPr>
        <w:t xml:space="preserve"> and Figures</w:t>
      </w:r>
      <w:r>
        <w:rPr>
          <w:b/>
          <w:bCs/>
          <w:color w:val="000000"/>
          <w:sz w:val="22"/>
          <w:szCs w:val="22"/>
        </w:rPr>
        <w:t xml:space="preserve">:</w:t>
      </w:r>
      <w:r>
        <w:rPr>
          <w:b/>
          <w:bCs/>
          <w:color w:val="000000"/>
          <w:sz w:val="22"/>
          <w:szCs w:val="22"/>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w:commentRangeStart w:id="126"/>
      <w:r>
        <w:rPr>
          <w:b/>
          <w:bCs/>
          <w:color w:val="000000"/>
          <w:sz w:val="22"/>
          <w:szCs w:val="22"/>
        </w:rPr>
        <w:t xml:space="preserve">Supplementary Table 1. </w:t>
      </w:r>
      <w:r>
        <w:rPr>
          <w:color w:val="000000"/>
          <w:sz w:val="22"/>
          <w:szCs w:val="22"/>
        </w:rPr>
        <w:t xml:space="preserve">Summary of NEPSY-II subdomains stratified by distance from residency to nearest plantation. Every subdomain has </w:t>
      </w:r>
      <w:r>
        <w:rPr>
          <w:color w:val="000000"/>
          <w:sz w:val="22"/>
          <w:szCs w:val="22"/>
        </w:rPr>
        <w:t xml:space="preserve">its</w:t>
      </w:r>
      <w:r>
        <w:rPr>
          <w:color w:val="000000"/>
          <w:sz w:val="22"/>
          <w:szCs w:val="22"/>
        </w:rPr>
        <w:t xml:space="preserve"> mean (</w:t>
      </w:r>
      <w:r>
        <w:rPr>
          <w:color w:val="000000"/>
          <w:sz w:val="22"/>
          <w:szCs w:val="22"/>
        </w:rPr>
        <w:t xml:space="preserve">sd</w:t>
      </w:r>
      <w:r>
        <w:rPr>
          <w:color w:val="000000"/>
          <w:sz w:val="22"/>
          <w:szCs w:val="22"/>
        </w:rPr>
        <w:t xml:space="preserve">) reported</w:t>
      </w:r>
      <w:r>
        <w:rPr>
          <w:color w:val="000000"/>
          <w:sz w:val="22"/>
          <w:szCs w:val="22"/>
        </w:rPr>
        <w:t xml:space="preserve">, and p-value</w:t>
      </w:r>
      <w:r>
        <w:rPr>
          <w:color w:val="000000"/>
          <w:sz w:val="22"/>
          <w:szCs w:val="22"/>
        </w:rPr>
        <w:t xml:space="preserve">s are calculated from</w:t>
      </w:r>
      <w:r>
        <w:rPr>
          <w:color w:val="000000"/>
          <w:sz w:val="22"/>
          <w:szCs w:val="22"/>
        </w:rPr>
        <w:t xml:space="preserve"> a</w:t>
      </w:r>
      <w:r>
        <w:rPr>
          <w:color w:val="000000"/>
          <w:sz w:val="22"/>
          <w:szCs w:val="22"/>
        </w:rPr>
        <w:t xml:space="preserve"> one-way </w:t>
      </w:r>
      <w:r>
        <w:rPr>
          <w:color w:val="000000"/>
          <w:sz w:val="22"/>
          <w:szCs w:val="22"/>
        </w:rPr>
        <w:t xml:space="preserve">ANOVA test.</w:t>
      </w:r>
      <w:commentRangeEnd w:id="126"/>
      <w:r>
        <w:commentReference w:id="126"/>
      </w:r>
      <w:r>
        <w:rPr>
          <w:rStyle w:val="768"/>
          <w:color w:val="000000"/>
          <w:sz w:val="22"/>
          <w:szCs w:val="22"/>
        </w:rPr>
      </w:r>
      <w:r>
        <w:rPr>
          <w:color w:val="000000"/>
          <w:sz w:val="22"/>
          <w:szCs w:val="22"/>
        </w:rPr>
      </w:r>
    </w:p>
    <w:p>
      <w:pPr>
        <w:pBdr/>
        <w:spacing/>
        <w:ind/>
        <w:rPr>
          <w:color w:val="000000"/>
          <w:sz w:val="22"/>
          <w:szCs w:val="22"/>
        </w:rPr>
      </w:pPr>
      <w:r>
        <w:rPr>
          <w:color w:val="000000"/>
          <w:sz w:val="22"/>
          <w:szCs w:val="22"/>
        </w:rPr>
      </w:r>
      <w:r>
        <w:rPr>
          <w:color w:val="000000"/>
          <w:sz w:val="22"/>
          <w:szCs w:val="22"/>
        </w:rPr>
      </w:r>
    </w:p>
    <w:tbl>
      <w:tblPr>
        <w:tblInd w:w="-815" w:type="dxa"/>
        <w:tblW w:w="10278" w:type="dxa"/>
        <w:tblBorders/>
        <w:tblLook w:val="04A0" w:firstRow="1" w:lastRow="0" w:firstColumn="1" w:lastColumn="0" w:noHBand="0" w:noVBand="1"/>
        <w:tblStyle w:val="780"/>
      </w:tblPr>
      <w:tblGrid>
        <w:gridCol w:w="2174"/>
        <w:gridCol w:w="1321"/>
        <w:gridCol w:w="576"/>
        <w:gridCol w:w="1371"/>
        <w:gridCol w:w="1281"/>
        <w:gridCol w:w="1371"/>
        <w:gridCol w:w="1281"/>
        <w:gridCol w:w="903"/>
      </w:tblGrid>
      <w:tr>
        <w:trPr/>
        <w:tc>
          <w:tcPr>
            <w:tcBorders/>
            <w:tcW w:w="2174"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Variable</w:t>
            </w:r>
            <w:r>
              <w:rPr>
                <w:rFonts w:cstheme="minorHAnsi"/>
                <w:b/>
                <w:bCs/>
                <w:color w:val="000000"/>
                <w:sz w:val="18"/>
                <w:szCs w:val="18"/>
              </w:rPr>
            </w:r>
          </w:p>
        </w:tc>
        <w:tc>
          <w:tcPr>
            <w:tcBorders/>
            <w:tcW w:w="132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Visit Time</w:t>
            </w:r>
            <w:r>
              <w:rPr>
                <w:rFonts w:cstheme="minorHAnsi"/>
                <w:b/>
                <w:bCs/>
                <w:color w:val="000000"/>
                <w:sz w:val="18"/>
                <w:szCs w:val="18"/>
              </w:rPr>
            </w:r>
          </w:p>
        </w:tc>
        <w:tc>
          <w:tcPr>
            <w:tcBorders/>
            <w:tcW w:w="576"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N</w:t>
            </w:r>
            <w:r>
              <w:rPr>
                <w:rFonts w:cstheme="minorHAnsi"/>
                <w:b/>
                <w:bCs/>
                <w:color w:val="000000"/>
                <w:sz w:val="18"/>
                <w:szCs w:val="18"/>
              </w:rPr>
            </w:r>
          </w:p>
        </w:tc>
        <w:tc>
          <w:tcPr>
            <w:tcBorders/>
            <w:tcW w:w="137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1</w:t>
            </w:r>
            <w:r>
              <w:rPr>
                <w:rFonts w:cstheme="minorHAnsi"/>
                <w:b/>
                <w:bCs/>
                <w:color w:val="000000"/>
                <w:sz w:val="18"/>
                <w:szCs w:val="18"/>
                <w:vertAlign w:val="superscript"/>
              </w:rPr>
              <w:t xml:space="preserve">st</w:t>
            </w:r>
            <w:r>
              <w:rPr>
                <w:rFonts w:cstheme="minorHAnsi"/>
                <w:b/>
                <w:bCs/>
                <w:color w:val="000000"/>
                <w:sz w:val="18"/>
                <w:szCs w:val="18"/>
              </w:rPr>
              <w:t xml:space="preserve"> quartile</w:t>
            </w:r>
            <w:r>
              <w:rPr>
                <w:rFonts w:cstheme="minorHAnsi"/>
                <w:b/>
                <w:bCs/>
                <w:color w:val="000000"/>
                <w:sz w:val="18"/>
                <w:szCs w:val="18"/>
              </w:rPr>
            </w:r>
          </w:p>
        </w:tc>
        <w:tc>
          <w:tcPr>
            <w:tcBorders/>
            <w:tcW w:w="128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2</w:t>
            </w:r>
            <w:r>
              <w:rPr>
                <w:rFonts w:cstheme="minorHAnsi"/>
                <w:b/>
                <w:bCs/>
                <w:color w:val="000000"/>
                <w:sz w:val="18"/>
                <w:szCs w:val="18"/>
                <w:vertAlign w:val="superscript"/>
              </w:rPr>
              <w:t xml:space="preserve">nd</w:t>
            </w:r>
            <w:r>
              <w:rPr>
                <w:rFonts w:cstheme="minorHAnsi"/>
                <w:b/>
                <w:bCs/>
                <w:color w:val="000000"/>
                <w:sz w:val="18"/>
                <w:szCs w:val="18"/>
              </w:rPr>
              <w:t xml:space="preserve"> quartile</w:t>
            </w:r>
            <w:r>
              <w:rPr>
                <w:rFonts w:cstheme="minorHAnsi"/>
                <w:b/>
                <w:bCs/>
                <w:color w:val="000000"/>
                <w:sz w:val="18"/>
                <w:szCs w:val="18"/>
              </w:rPr>
            </w:r>
          </w:p>
        </w:tc>
        <w:tc>
          <w:tcPr>
            <w:tcBorders/>
            <w:tcW w:w="137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3</w:t>
            </w:r>
            <w:r>
              <w:rPr>
                <w:rFonts w:cstheme="minorHAnsi"/>
                <w:b/>
                <w:bCs/>
                <w:color w:val="000000"/>
                <w:sz w:val="18"/>
                <w:szCs w:val="18"/>
                <w:vertAlign w:val="superscript"/>
              </w:rPr>
              <w:t xml:space="preserve">rd</w:t>
            </w:r>
            <w:r>
              <w:rPr>
                <w:rFonts w:cstheme="minorHAnsi"/>
                <w:b/>
                <w:bCs/>
                <w:color w:val="000000"/>
                <w:sz w:val="18"/>
                <w:szCs w:val="18"/>
              </w:rPr>
              <w:t xml:space="preserve"> quartile</w:t>
            </w:r>
            <w:r>
              <w:rPr>
                <w:rFonts w:cstheme="minorHAnsi"/>
                <w:b/>
                <w:bCs/>
                <w:color w:val="000000"/>
                <w:sz w:val="18"/>
                <w:szCs w:val="18"/>
              </w:rPr>
            </w:r>
          </w:p>
        </w:tc>
        <w:tc>
          <w:tcPr>
            <w:tcBorders/>
            <w:tcW w:w="1281"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4</w:t>
            </w:r>
            <w:r>
              <w:rPr>
                <w:rFonts w:cstheme="minorHAnsi"/>
                <w:b/>
                <w:bCs/>
                <w:color w:val="000000"/>
                <w:sz w:val="18"/>
                <w:szCs w:val="18"/>
                <w:vertAlign w:val="superscript"/>
              </w:rPr>
              <w:t xml:space="preserve">th</w:t>
            </w:r>
            <w:r>
              <w:rPr>
                <w:rFonts w:cstheme="minorHAnsi"/>
                <w:b/>
                <w:bCs/>
                <w:color w:val="000000"/>
                <w:sz w:val="18"/>
                <w:szCs w:val="18"/>
              </w:rPr>
              <w:t xml:space="preserve"> quartile</w:t>
            </w:r>
            <w:r>
              <w:rPr>
                <w:rFonts w:cstheme="minorHAnsi"/>
                <w:b/>
                <w:bCs/>
                <w:color w:val="000000"/>
                <w:sz w:val="18"/>
                <w:szCs w:val="18"/>
              </w:rPr>
            </w:r>
          </w:p>
        </w:tc>
        <w:tc>
          <w:tcPr>
            <w:tcBorders/>
            <w:tcW w:w="903" w:type="dxa"/>
            <w:textDirection w:val="lrTb"/>
            <w:noWrap w:val="false"/>
          </w:tcPr>
          <w:p>
            <w:pPr>
              <w:pBdr/>
              <w:spacing/>
              <w:ind/>
              <w:jc w:val="center"/>
              <w:rPr>
                <w:rFonts w:cstheme="minorHAnsi"/>
                <w:b/>
                <w:bCs/>
                <w:color w:val="000000"/>
                <w:sz w:val="18"/>
                <w:szCs w:val="18"/>
              </w:rPr>
            </w:pPr>
            <w:r>
              <w:rPr>
                <w:rFonts w:cstheme="minorHAnsi"/>
                <w:b/>
                <w:bCs/>
                <w:color w:val="000000"/>
                <w:sz w:val="18"/>
                <w:szCs w:val="18"/>
              </w:rPr>
              <w:t xml:space="preserve">P-value</w:t>
            </w:r>
            <w:r>
              <w:rPr>
                <w:rFonts w:cstheme="minorHAnsi"/>
                <w:b/>
                <w:bCs/>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Auditory attention combined (</w:t>
            </w:r>
            <w:r>
              <w:rPr>
                <w:rFonts w:cstheme="minorHAnsi"/>
                <w:color w:val="000000"/>
                <w:sz w:val="18"/>
                <w:szCs w:val="18"/>
              </w:rPr>
              <w:t xml:space="preserve">aac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239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7.37 (3.44)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8.31 (3.81)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8.26 (3.01)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8.74 (3.39)</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0.182</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7.99 (4.14)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8.58 (3.72)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8.66 (3.81)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8.6</w:t>
            </w:r>
            <w:r>
              <w:rPr>
                <w:rFonts w:cstheme="minorHAnsi"/>
                <w:color w:val="000000"/>
                <w:sz w:val="18"/>
                <w:szCs w:val="18"/>
              </w:rPr>
              <w:t xml:space="preserve">0</w:t>
            </w:r>
            <w:r>
              <w:rPr>
                <w:rFonts w:cstheme="minorHAnsi"/>
                <w:color w:val="000000"/>
                <w:sz w:val="18"/>
                <w:szCs w:val="18"/>
              </w:rPr>
              <w:t xml:space="preserve"> (3.37)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0.642</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9.83 (3.16)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9.30 (3.67)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9.41 (3.51)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9.65 (3.35)</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0.601</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Response set combined (</w:t>
            </w:r>
            <w:r>
              <w:rPr>
                <w:rFonts w:cstheme="minorHAnsi"/>
                <w:color w:val="000000"/>
                <w:sz w:val="18"/>
                <w:szCs w:val="18"/>
              </w:rPr>
              <w:t xml:space="preserve">rsc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8.32 (3.7</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8.88 (3.39)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8.93 (2.81)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9.15 (2.98)</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0.768</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9.11 (3.04)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9.82 (3.20)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9.48 (2.85)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9.33 (2.99)</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0.511</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10.11 (2.69)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9.52 (2.78)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9.64 (2.98)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9.63 (2.78)</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0.337</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Inhibition-inhibition combined (</w:t>
            </w:r>
            <w:r>
              <w:rPr>
                <w:rFonts w:cstheme="minorHAnsi"/>
                <w:color w:val="000000"/>
                <w:sz w:val="18"/>
                <w:szCs w:val="18"/>
              </w:rPr>
              <w:t xml:space="preserve">iic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231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6.26 (3.39)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7.64 (2.91)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7.05 (2.97)</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7.41 (3.03)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0.083</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5.82 (3.04)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6.62 (3.47)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6.69 (3.06)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7.17 (3.25)</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0.067</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6.38 (2.85)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6.34 (3.23)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7.28 (3.25)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7.07 (3.38)</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0.032</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Inhibition-naming combined (</w:t>
            </w:r>
            <w:r>
              <w:rPr>
                <w:rFonts w:cstheme="minorHAnsi"/>
                <w:color w:val="000000"/>
                <w:sz w:val="18"/>
                <w:szCs w:val="18"/>
              </w:rPr>
              <w:t xml:space="preserve">inc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239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7.05 (3.39)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7.11 (3.91)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w:t>
            </w:r>
            <w:r>
              <w:rPr>
                <w:rFonts w:cstheme="minorHAnsi"/>
                <w:color w:val="000000"/>
                <w:sz w:val="18"/>
                <w:szCs w:val="18"/>
              </w:rPr>
              <w:t xml:space="preserve">0</w:t>
            </w:r>
            <w:r>
              <w:rPr>
                <w:rFonts w:cstheme="minorHAnsi"/>
                <w:color w:val="000000"/>
                <w:sz w:val="18"/>
                <w:szCs w:val="18"/>
              </w:rPr>
              <w:t xml:space="preserve"> (3.66)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6.98 (3.8</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0.998</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5.91 (2.79)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6.16 (2.92)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6.35 (3.06)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6.59 (2.3</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0.464</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6.31 (2.92)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6.19 (3.13)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6.93 (2.97)</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6.48 (2.87)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0.202</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Inhibition-switching combined (</w:t>
            </w:r>
            <w:r>
              <w:rPr>
                <w:rFonts w:cstheme="minorHAnsi"/>
                <w:color w:val="000000"/>
                <w:sz w:val="18"/>
                <w:szCs w:val="18"/>
              </w:rPr>
              <w:t xml:space="preserve">isc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100</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6.83 (2.19)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w:t>
            </w:r>
            <w:r>
              <w:rPr>
                <w:rFonts w:cstheme="minorHAnsi"/>
                <w:color w:val="000000"/>
                <w:sz w:val="18"/>
                <w:szCs w:val="18"/>
              </w:rPr>
              <w:t xml:space="preserve">.00</w:t>
            </w:r>
            <w:r>
              <w:rPr>
                <w:rFonts w:cstheme="minorHAnsi"/>
                <w:color w:val="000000"/>
                <w:sz w:val="18"/>
                <w:szCs w:val="18"/>
              </w:rPr>
              <w:t xml:space="preserve"> (1.9</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7.69 (3.11)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7.29 (2.37)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0.112</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321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6.78 (2.78)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7.61 (2.75)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7.51 (2.85)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8.26 (2.4</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0.008</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7.16 (2.64)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7.35 (3.26)</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7.45 (3.12)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7.89 (3.58)</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0.281</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Comprehension of instructions total score</w:t>
            </w:r>
            <w:r>
              <w:rPr>
                <w:rFonts w:cstheme="minorHAnsi"/>
                <w:color w:val="000000"/>
                <w:sz w:val="18"/>
                <w:szCs w:val="18"/>
              </w:rPr>
              <w:t xml:space="preserve"> (</w:t>
            </w:r>
            <w:r>
              <w:rPr>
                <w:rFonts w:cstheme="minorHAnsi"/>
                <w:color w:val="000000"/>
                <w:sz w:val="18"/>
                <w:szCs w:val="18"/>
              </w:rPr>
              <w:t xml:space="preserve">cits</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306</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7.14 (3.32)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7.09 (2.61)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w:t>
            </w:r>
            <w:r>
              <w:rPr>
                <w:rFonts w:cstheme="minorHAnsi"/>
                <w:color w:val="000000"/>
                <w:sz w:val="18"/>
                <w:szCs w:val="18"/>
              </w:rPr>
              <w:t xml:space="preserve">.00</w:t>
            </w:r>
            <w:r>
              <w:rPr>
                <w:rFonts w:cstheme="minorHAnsi"/>
                <w:color w:val="000000"/>
                <w:sz w:val="18"/>
                <w:szCs w:val="18"/>
              </w:rPr>
              <w:t xml:space="preserve"> (2.61)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8.25 (3.01)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0.025</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6.56 (2.65)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6.16 (2.73)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6.31 (2.53)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6.35 (2.31)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0.657</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Speeded naming combined (</w:t>
            </w:r>
            <w:r>
              <w:rPr>
                <w:rFonts w:cstheme="minorHAnsi"/>
                <w:color w:val="000000"/>
                <w:sz w:val="18"/>
                <w:szCs w:val="18"/>
              </w:rPr>
              <w:t xml:space="preserve">snc</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242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5.74 (3.23)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5.87 (2.69)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5.36 (2.99)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6.61 (3.17)</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0.153</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7.95 (3.05)</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7.41 (2.98)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8.31 (2.84)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7.27 (2.46)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0.01</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Memory for faces total score (</w:t>
            </w:r>
            <w:r>
              <w:rPr>
                <w:rFonts w:cstheme="minorHAnsi"/>
                <w:color w:val="000000"/>
                <w:sz w:val="18"/>
                <w:szCs w:val="18"/>
              </w:rPr>
              <w:t xml:space="preserve">mffts</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248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7.33 (3.19)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7.61 (2.71)</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7.12 (2.89)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7.68 (2.41)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0.668</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7.99 (2.61)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8.2</w:t>
            </w:r>
            <w:r>
              <w:rPr>
                <w:rFonts w:cstheme="minorHAnsi"/>
                <w:color w:val="000000"/>
                <w:sz w:val="18"/>
                <w:szCs w:val="18"/>
              </w:rPr>
              <w:t xml:space="preserve">0</w:t>
            </w:r>
            <w:r>
              <w:rPr>
                <w:rFonts w:cstheme="minorHAnsi"/>
                <w:color w:val="000000"/>
                <w:sz w:val="18"/>
                <w:szCs w:val="18"/>
              </w:rPr>
              <w:t xml:space="preserve"> (3.12)</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8.11 (2.31)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8.33 (2.66)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0.78</w:t>
            </w:r>
            <w:r>
              <w:rPr>
                <w:rFonts w:cstheme="minorHAnsi"/>
                <w:color w:val="000000"/>
                <w:sz w:val="18"/>
                <w:szCs w:val="18"/>
              </w:rPr>
              <w:t xml:space="preserve">0</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Memory for faces delayed total score (</w:t>
            </w:r>
            <w:r>
              <w:rPr>
                <w:rFonts w:cstheme="minorHAnsi"/>
                <w:color w:val="000000"/>
                <w:sz w:val="18"/>
                <w:szCs w:val="18"/>
              </w:rPr>
              <w:t xml:space="preserve">mffdts</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246</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8.45 (2.84)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8.76 (3.24)</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8.94 (2.81)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8.58 (2.95)</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0.813</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8.36 (2.81)</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8.81 (2.79)</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8.08 (2.69)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8.51 (2.83)</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0.192</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Design copying process total score (</w:t>
            </w:r>
            <w:r>
              <w:rPr>
                <w:rFonts w:cstheme="minorHAnsi"/>
                <w:color w:val="000000"/>
                <w:sz w:val="18"/>
                <w:szCs w:val="18"/>
              </w:rPr>
              <w:t xml:space="preserve">dcgts</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295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w:t>
            </w:r>
            <w:r>
              <w:rPr>
                <w:rFonts w:cstheme="minorHAnsi"/>
                <w:color w:val="000000"/>
                <w:sz w:val="18"/>
                <w:szCs w:val="18"/>
              </w:rPr>
              <w:t xml:space="preserve">.00</w:t>
            </w:r>
            <w:r>
              <w:rPr>
                <w:rFonts w:cstheme="minorHAnsi"/>
                <w:color w:val="000000"/>
                <w:sz w:val="18"/>
                <w:szCs w:val="18"/>
              </w:rPr>
              <w:t xml:space="preserve"> (4.84)</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10.74 (4.88)</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11.74 (4.78)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10.26 (5.01)</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0.149</w:t>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center"/>
            <w:vMerge w:val="continue"/>
            <w:textDirection w:val="lrTb"/>
            <w:noWrap w:val="false"/>
          </w:tcPr>
          <w:p>
            <w:pPr>
              <w:pBdr/>
              <w:spacing/>
              <w:ind/>
              <w:jc w:val="center"/>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9.78 (3.29)</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9.43 (3.75)</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9.2</w:t>
            </w:r>
            <w:r>
              <w:rPr>
                <w:rFonts w:cstheme="minorHAnsi"/>
                <w:color w:val="000000"/>
                <w:sz w:val="18"/>
                <w:szCs w:val="18"/>
              </w:rPr>
              <w:t xml:space="preserve">0</w:t>
            </w:r>
            <w:r>
              <w:rPr>
                <w:rFonts w:cstheme="minorHAnsi"/>
                <w:color w:val="000000"/>
                <w:sz w:val="18"/>
                <w:szCs w:val="18"/>
              </w:rPr>
              <w:t xml:space="preserve"> (3.82)</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9.71 (3.44)</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0.531</w:t>
            </w:r>
            <w:r>
              <w:rPr>
                <w:rFonts w:cstheme="minorHAnsi"/>
                <w:color w:val="000000"/>
                <w:sz w:val="18"/>
                <w:szCs w:val="18"/>
              </w:rPr>
            </w:r>
          </w:p>
        </w:tc>
      </w:tr>
      <w:tr>
        <w:trPr/>
        <w:tc>
          <w:tcPr>
            <w:tcBorders/>
            <w:tcW w:w="2174" w:type="dxa"/>
            <w:vAlign w:val="center"/>
            <w:vMerge w:val="restart"/>
            <w:textDirection w:val="lrTb"/>
            <w:noWrap w:val="false"/>
          </w:tcPr>
          <w:p>
            <w:pPr>
              <w:pBdr/>
              <w:spacing/>
              <w:ind/>
              <w:jc w:val="center"/>
              <w:rPr>
                <w:rFonts w:cstheme="minorHAnsi"/>
                <w:color w:val="000000"/>
                <w:sz w:val="18"/>
                <w:szCs w:val="18"/>
              </w:rPr>
            </w:pPr>
            <w:r>
              <w:rPr>
                <w:rFonts w:cstheme="minorHAnsi"/>
                <w:color w:val="000000"/>
                <w:sz w:val="18"/>
                <w:szCs w:val="18"/>
              </w:rPr>
              <w:t xml:space="preserve">Geometric puzzles total score (</w:t>
            </w:r>
            <w:r>
              <w:rPr>
                <w:rFonts w:cstheme="minorHAnsi"/>
                <w:color w:val="000000"/>
                <w:sz w:val="18"/>
                <w:szCs w:val="18"/>
              </w:rPr>
              <w:t xml:space="preserve">gpts</w:t>
            </w:r>
            <w:r>
              <w:rPr>
                <w:rFonts w:cstheme="minorHAnsi"/>
                <w:color w:val="000000"/>
                <w:sz w:val="18"/>
                <w:szCs w:val="18"/>
              </w:rPr>
              <w:t xml:space="preserve">)</w:t>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2008</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306</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8.88 (3.93)</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8.74 (2.83)</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8.38 (3.06)</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8.18 (2.96)</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0.519</w:t>
            </w:r>
            <w:r>
              <w:rPr>
                <w:rFonts w:cstheme="minorHAnsi"/>
                <w:color w:val="000000"/>
                <w:sz w:val="18"/>
                <w:szCs w:val="18"/>
              </w:rPr>
            </w:r>
          </w:p>
        </w:tc>
      </w:tr>
      <w:tr>
        <w:trPr/>
        <w:tc>
          <w:tcPr>
            <w:tcBorders/>
            <w:tcW w:w="2174" w:type="dxa"/>
            <w:vAlign w:val="bottom"/>
            <w:vMerge w:val="continue"/>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Spring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NA</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r>
      <w:tr>
        <w:trPr/>
        <w:tc>
          <w:tcPr>
            <w:tcBorders/>
            <w:tcW w:w="2174" w:type="dxa"/>
            <w:vAlign w:val="bottom"/>
            <w:vMerge w:val="continue"/>
            <w:textDirection w:val="lrTb"/>
            <w:noWrap w:val="false"/>
          </w:tcPr>
          <w:p>
            <w:pPr>
              <w:pBdr/>
              <w:spacing/>
              <w:ind/>
              <w:rPr>
                <w:rFonts w:cstheme="minorHAnsi"/>
                <w:color w:val="000000"/>
                <w:sz w:val="18"/>
                <w:szCs w:val="18"/>
              </w:rPr>
            </w:pPr>
            <w:r>
              <w:rPr>
                <w:rFonts w:cstheme="minorHAnsi"/>
                <w:color w:val="000000"/>
                <w:sz w:val="18"/>
                <w:szCs w:val="18"/>
              </w:rPr>
            </w:r>
            <w:r>
              <w:rPr>
                <w:rFonts w:cstheme="minorHAnsi"/>
                <w:color w:val="000000"/>
                <w:sz w:val="18"/>
                <w:szCs w:val="18"/>
              </w:rPr>
            </w:r>
          </w:p>
        </w:tc>
        <w:tc>
          <w:tcPr>
            <w:tcBorders/>
            <w:tcW w:w="1321" w:type="dxa"/>
            <w:textDirection w:val="lrTb"/>
            <w:noWrap w:val="false"/>
          </w:tcPr>
          <w:p>
            <w:pPr>
              <w:pBdr/>
              <w:spacing/>
              <w:ind/>
              <w:rPr>
                <w:rFonts w:cstheme="minorHAnsi"/>
                <w:color w:val="000000"/>
                <w:sz w:val="18"/>
                <w:szCs w:val="18"/>
              </w:rPr>
            </w:pPr>
            <w:r>
              <w:rPr>
                <w:rFonts w:cstheme="minorHAnsi"/>
                <w:color w:val="000000"/>
                <w:sz w:val="18"/>
                <w:szCs w:val="18"/>
              </w:rPr>
              <w:t xml:space="preserve">Summer 2016</w:t>
            </w:r>
            <w:r>
              <w:rPr>
                <w:rFonts w:cstheme="minorHAnsi"/>
                <w:color w:val="000000"/>
                <w:sz w:val="18"/>
                <w:szCs w:val="18"/>
              </w:rPr>
            </w:r>
          </w:p>
        </w:tc>
        <w:tc>
          <w:tcPr>
            <w:tcBorders/>
            <w:tcW w:w="576"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527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7.8</w:t>
            </w:r>
            <w:r>
              <w:rPr>
                <w:rFonts w:cstheme="minorHAnsi"/>
                <w:color w:val="000000"/>
                <w:sz w:val="18"/>
                <w:szCs w:val="18"/>
              </w:rPr>
              <w:t xml:space="preserve">0</w:t>
            </w:r>
            <w:r>
              <w:rPr>
                <w:rFonts w:cstheme="minorHAnsi"/>
                <w:color w:val="000000"/>
                <w:sz w:val="18"/>
                <w:szCs w:val="18"/>
              </w:rPr>
              <w:t xml:space="preserve"> (2.58)</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7.67 (2.37)</w:t>
            </w:r>
            <w:r>
              <w:rPr>
                <w:rFonts w:cstheme="minorHAnsi"/>
                <w:color w:val="000000"/>
                <w:sz w:val="18"/>
                <w:szCs w:val="18"/>
              </w:rPr>
            </w:r>
          </w:p>
        </w:tc>
        <w:tc>
          <w:tcPr>
            <w:tcBorders/>
            <w:tcW w:w="137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7.72 (2.5</w:t>
            </w:r>
            <w:r>
              <w:rPr>
                <w:rFonts w:cstheme="minorHAnsi"/>
                <w:color w:val="000000"/>
                <w:sz w:val="18"/>
                <w:szCs w:val="18"/>
              </w:rPr>
              <w:t xml:space="preserve">0</w:t>
            </w:r>
            <w:r>
              <w:rPr>
                <w:rFonts w:cstheme="minorHAnsi"/>
                <w:color w:val="000000"/>
                <w:sz w:val="18"/>
                <w:szCs w:val="18"/>
              </w:rPr>
              <w:t xml:space="preserve">)</w:t>
            </w:r>
            <w:r>
              <w:rPr>
                <w:rFonts w:cstheme="minorHAnsi"/>
                <w:color w:val="000000"/>
                <w:sz w:val="18"/>
                <w:szCs w:val="18"/>
              </w:rPr>
            </w:r>
          </w:p>
        </w:tc>
        <w:tc>
          <w:tcPr>
            <w:tcBorders/>
            <w:tcW w:w="1281"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8.19 (2.29)</w:t>
            </w:r>
            <w:r>
              <w:rPr>
                <w:rFonts w:cstheme="minorHAnsi"/>
                <w:color w:val="000000"/>
                <w:sz w:val="18"/>
                <w:szCs w:val="18"/>
              </w:rPr>
            </w:r>
          </w:p>
        </w:tc>
        <w:tc>
          <w:tcPr>
            <w:tcBorders/>
            <w:tcW w:w="903" w:type="dxa"/>
            <w:vAlign w:val="bottom"/>
            <w:textDirection w:val="lrTb"/>
            <w:noWrap w:val="false"/>
          </w:tcPr>
          <w:p>
            <w:pPr>
              <w:pBdr/>
              <w:spacing/>
              <w:ind/>
              <w:rPr>
                <w:rFonts w:cstheme="minorHAnsi"/>
                <w:color w:val="000000"/>
                <w:sz w:val="18"/>
                <w:szCs w:val="18"/>
              </w:rPr>
            </w:pPr>
            <w:r>
              <w:rPr>
                <w:rFonts w:cstheme="minorHAnsi"/>
                <w:color w:val="000000"/>
                <w:sz w:val="18"/>
                <w:szCs w:val="18"/>
              </w:rPr>
              <w:t xml:space="preserve">0.305</w:t>
            </w:r>
            <w:r>
              <w:rPr>
                <w:rFonts w:cstheme="minorHAnsi"/>
                <w:color w:val="000000"/>
                <w:sz w:val="18"/>
                <w:szCs w:val="18"/>
              </w:rPr>
            </w:r>
          </w:p>
        </w:tc>
      </w:tr>
    </w:tbl>
    <w:p>
      <w:pPr>
        <w:pBdr/>
        <w:spacing/>
        <w:ind/>
        <w:rPr>
          <w:rFonts w:asciiTheme="minorHAnsi" w:hAnsiTheme="minorHAnsi" w:cstheme="minorHAnsi"/>
          <w:color w:val="000000"/>
          <w:sz w:val="18"/>
          <w:szCs w:val="18"/>
        </w:rPr>
      </w:pPr>
      <w:r>
        <w:rPr>
          <w:rFonts w:asciiTheme="minorHAnsi" w:hAnsiTheme="minorHAnsi" w:cstheme="minorHAnsi"/>
          <w:color w:val="000000"/>
          <w:sz w:val="18"/>
          <w:szCs w:val="18"/>
        </w:rPr>
        <w:t xml:space="preserve">* Significant value (p&lt;0.05)</w:t>
      </w:r>
      <w:r>
        <w:rPr>
          <w:rFonts w:asciiTheme="minorHAnsi" w:hAnsiTheme="minorHAnsi" w:cstheme="minorHAnsi"/>
          <w:color w:val="000000"/>
          <w:sz w:val="18"/>
          <w:szCs w:val="18"/>
        </w:rPr>
      </w:r>
    </w:p>
    <w:p>
      <w:pPr>
        <w:pBdr/>
        <w:spacing/>
        <w:ind/>
        <w:rPr>
          <w:color w:val="000000"/>
          <w:sz w:val="22"/>
          <w:szCs w:val="22"/>
        </w:rPr>
      </w:pPr>
      <w:r>
        <w:rPr>
          <w:color w:val="000000"/>
          <w:sz w:val="22"/>
          <w:szCs w:val="22"/>
        </w:rPr>
      </w:r>
      <w:r>
        <w:rPr>
          <w:color w:val="000000"/>
          <w:sz w:val="22"/>
          <w:szCs w:val="22"/>
        </w:rPr>
      </w:r>
    </w:p>
    <w:p>
      <w:pPr>
        <w:pBdr/>
        <w:spacing/>
        <w:ind/>
        <w:rPr>
          <w:color w:val="000000"/>
          <w:sz w:val="22"/>
          <w:szCs w:val="22"/>
        </w:rPr>
      </w:pPr>
      <w:r>
        <mc:AlternateContent>
          <mc:Choice Requires="wpg">
            <w:drawing>
              <wp:inline xmlns:wp="http://schemas.openxmlformats.org/drawingml/2006/wordprocessingDrawing" distT="0" distB="0" distL="0" distR="0">
                <wp:extent cx="3787140" cy="3784712"/>
                <wp:effectExtent l="0" t="0" r="3810" b="6350"/>
                <wp:docPr id="6"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pic:cNvPicPr>
                        <pic:nvPr/>
                      </pic:nvPicPr>
                      <pic:blipFill>
                        <a:blip r:embed="rId17"/>
                        <a:stretch/>
                      </pic:blipFill>
                      <pic:spPr bwMode="auto">
                        <a:xfrm>
                          <a:off x="0" y="0"/>
                          <a:ext cx="3793517" cy="3791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8.20pt;height:298.01pt;mso-wrap-distance-left:0.00pt;mso-wrap-distance-top:0.00pt;mso-wrap-distance-right:0.00pt;mso-wrap-distance-bottom:0.00pt;z-index:1;" stroked="false">
                <v:imagedata r:id="rId17" o:title=""/>
                <o:lock v:ext="edit" rotation="t"/>
              </v:shape>
            </w:pict>
          </mc:Fallback>
        </mc:AlternateContent>
      </w:r>
      <w:r>
        <w:rPr>
          <w:color w:val="000000"/>
          <w:sz w:val="22"/>
          <w:szCs w:val="22"/>
        </w:rPr>
      </w:r>
    </w:p>
    <w:p>
      <w:pPr>
        <w:pBdr/>
        <w:spacing/>
        <w:ind/>
        <w:rPr>
          <w:color w:val="000000"/>
          <w:sz w:val="22"/>
          <w:szCs w:val="22"/>
        </w:rPr>
      </w:pPr>
      <w:r>
        <mc:AlternateContent>
          <mc:Choice Requires="wpg">
            <w:drawing>
              <wp:inline xmlns:wp="http://schemas.openxmlformats.org/drawingml/2006/wordprocessingDrawing" distT="0" distB="0" distL="0" distR="0">
                <wp:extent cx="3719121" cy="3714750"/>
                <wp:effectExtent l="0" t="0" r="0" b="0"/>
                <wp:docPr id="7"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a:picLocks noChangeAspect="1"/>
                        </pic:cNvPicPr>
                        <pic:nvPr/>
                      </pic:nvPicPr>
                      <pic:blipFill>
                        <a:blip r:embed="rId18"/>
                        <a:stretch/>
                      </pic:blipFill>
                      <pic:spPr bwMode="auto">
                        <a:xfrm>
                          <a:off x="0" y="0"/>
                          <a:ext cx="3720885" cy="3716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2.84pt;height:292.50pt;mso-wrap-distance-left:0.00pt;mso-wrap-distance-top:0.00pt;mso-wrap-distance-right:0.00pt;mso-wrap-distance-bottom:0.00pt;z-index:1;" stroked="false">
                <v:imagedata r:id="rId18" o:title=""/>
                <o:lock v:ext="edit" rotation="t"/>
              </v:shape>
            </w:pict>
          </mc:Fallback>
        </mc:AlternateContent>
      </w:r>
      <w:r>
        <w:rPr>
          <w:color w:val="000000"/>
          <w:sz w:val="22"/>
          <w:szCs w:val="22"/>
        </w:rPr>
      </w:r>
    </w:p>
    <w:p>
      <w:pPr>
        <w:pBdr/>
        <w:spacing/>
        <w:ind/>
        <w:rPr>
          <w:color w:val="000000"/>
          <w:sz w:val="22"/>
          <w:szCs w:val="22"/>
        </w:rPr>
      </w:pPr>
      <w:r>
        <w:rPr>
          <w:b/>
          <w:bCs/>
          <w:color w:val="000000"/>
          <w:sz w:val="22"/>
          <w:szCs w:val="22"/>
        </w:rPr>
        <w:t xml:space="preserve">Supplementary Figure 1</w:t>
      </w:r>
      <w:r>
        <w:rPr>
          <w:color w:val="000000"/>
          <w:sz w:val="22"/>
          <w:szCs w:val="22"/>
        </w:rPr>
        <w:t xml:space="preserve">: Least Square Means LOESS Curves for distance </w:t>
      </w:r>
      <w:r>
        <w:rPr>
          <w:color w:val="000000"/>
          <w:sz w:val="22"/>
          <w:szCs w:val="22"/>
        </w:rPr>
        <w:t xml:space="preserve">and</w:t>
      </w:r>
      <w:r>
        <w:rPr>
          <w:color w:val="000000"/>
          <w:sz w:val="22"/>
          <w:szCs w:val="22"/>
        </w:rPr>
        <w:t xml:space="preserve"> area variables with respect to select NEPSY scores. The LOESS Curves are adjusted for age, race, gender, days after </w:t>
      </w:r>
      <w:r>
        <w:rPr>
          <w:color w:val="000000"/>
          <w:sz w:val="22"/>
          <w:szCs w:val="22"/>
        </w:rPr>
        <w:t xml:space="preserve">Mother’s Day</w:t>
      </w:r>
      <w:r>
        <w:rPr>
          <w:color w:val="000000"/>
          <w:sz w:val="22"/>
          <w:szCs w:val="22"/>
        </w:rPr>
        <w:t xml:space="preserve"> harvest z-score age-for-height, parental salary and education, and cohabitation with agricultural worker</w:t>
      </w:r>
      <w:commentRangeStart w:id="127"/>
      <w:r>
        <w:rPr>
          <w:color w:val="000000"/>
          <w:sz w:val="22"/>
          <w:szCs w:val="22"/>
        </w:rPr>
        <w:t xml:space="preserve">.</w:t>
      </w:r>
      <w:commentRangeEnd w:id="127"/>
      <w:r>
        <w:commentReference w:id="127"/>
      </w:r>
      <w:r>
        <w:rPr>
          <w:rStyle w:val="768"/>
          <w:color w:val="000000"/>
          <w:sz w:val="22"/>
          <w:szCs w:val="22"/>
        </w:rPr>
      </w:r>
      <w:r>
        <w:rPr>
          <w:color w:val="000000"/>
          <w:sz w:val="22"/>
          <w:szCs w:val="22"/>
        </w:rPr>
      </w:r>
    </w:p>
    <w:sectPr>
      <w:headerReference w:type="default" r:id="rId9"/>
      <w:footnotePr/>
      <w:endnotePr/>
      <w:type w:val="nextPage"/>
      <w:pgSz w:h="15840" w:orient="portrait" w:w="12240"/>
      <w:pgMar w:top="1440" w:right="1440" w:bottom="1440" w:left="1440" w:header="720" w:footer="720" w:gutter="0"/>
      <w:lnNumType w:countBy="1" w:restart="continuous"/>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7" w:author="Suarez, Jose" w:date="2025-06-04T16:50:00Z" w:initials="JS">
    <w:p w14:paraId="00000001" w14:textId="00000001">
      <w:pPr>
        <w:spacing w:line="240" w:after="0" w:lineRule="auto" w:before="0"/>
        <w:ind w:firstLine="0" w:left="0" w:right="0"/>
        <w:jc w:val="left"/>
      </w:pPr>
      <w:r>
        <w:rPr>
          <w:rFonts w:eastAsia="Arial" w:ascii="Arial" w:hAnsi="Arial" w:cs="Arial"/>
          <w:sz w:val="22"/>
        </w:rPr>
        <w:t xml:space="preserve">Describe in the footnote what the dots lines and shades mean</w:t>
      </w:r>
    </w:p>
  </w:comment>
  <w:comment w:id="126" w:author="Suarez, Jose" w:date="2025-06-04T16:34:00Z" w:initials="JS">
    <w:p w14:paraId="00000002" w14:textId="00000002">
      <w:pPr>
        <w:spacing w:line="240" w:after="0" w:lineRule="auto" w:before="0"/>
        <w:ind w:firstLine="0" w:left="0" w:right="0"/>
        <w:jc w:val="left"/>
      </w:pPr>
      <w:r>
        <w:rPr>
          <w:rFonts w:eastAsia="Arial" w:ascii="Arial" w:hAnsi="Arial" w:cs="Arial"/>
          <w:sz w:val="22"/>
        </w:rPr>
        <w:t xml:space="preserve">Table can be dropped (see my comment in the text)</w:t>
      </w:r>
    </w:p>
  </w:comment>
  <w:comment w:id="124" w:author="Briana N Chronister" w:date="2024-10-11T15:29:00Z" w:initials="BC">
    <w:p w14:paraId="00000003" w14:textId="00000003">
      <w:pPr>
        <w:spacing w:line="240" w:after="0" w:lineRule="auto" w:before="0"/>
        <w:ind w:firstLine="0" w:left="0" w:right="0"/>
        <w:jc w:val="left"/>
      </w:pPr>
      <w:r>
        <w:rPr>
          <w:rFonts w:eastAsia="Arial" w:ascii="Arial" w:hAnsi="Arial" w:cs="Arial"/>
          <w:sz w:val="22"/>
        </w:rPr>
        <w:t xml:space="preserve">I know we had this for 2016. Is there not info for 2008 about schools for participants?</w:t>
      </w:r>
    </w:p>
  </w:comment>
  <w:comment w:id="125" w:author="Kayser, Georgia" w:date="2024-10-23T15:24:00Z" w:initials="KG">
    <w:p w14:paraId="00000004" w14:textId="00000004">
      <w:pPr>
        <w:spacing w:line="240" w:after="0" w:lineRule="auto" w:before="0"/>
        <w:ind w:firstLine="0" w:left="0" w:right="0"/>
        <w:jc w:val="left"/>
      </w:pPr>
      <w:r>
        <w:rPr>
          <w:rFonts w:eastAsia="Arial" w:ascii="Arial" w:hAnsi="Arial" w:cs="Arial"/>
          <w:sz w:val="22"/>
        </w:rPr>
        <w:t xml:space="preserve">no data for 2008</w:t>
      </w:r>
    </w:p>
  </w:comment>
  <w:comment w:id="122" w:author="Briana N Chronister" w:date="2024-10-11T15:19:00Z" w:initials="BC">
    <w:p w14:paraId="00000005" w14:textId="00000005">
      <w:pPr>
        <w:spacing w:line="240" w:after="0" w:lineRule="auto" w:before="0"/>
        <w:ind w:firstLine="0" w:left="0" w:right="0"/>
        <w:jc w:val="left"/>
      </w:pPr>
      <w:r>
        <w:rPr>
          <w:rFonts w:eastAsia="Arial" w:ascii="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123" w:author="Briana N Chronister" w:date="2024-10-11T16:22:00Z" w:initials="BC">
    <w:p w14:paraId="00000006" w14:textId="00000006">
      <w:pPr>
        <w:spacing w:line="240" w:after="0" w:lineRule="auto" w:before="0"/>
        <w:ind w:firstLine="0" w:left="0" w:right="0"/>
        <w:jc w:val="left"/>
      </w:pPr>
      <w:r>
        <w:rPr>
          <w:rFonts w:eastAsia="Arial" w:ascii="Arial" w:hAnsi="Arial" w:cs="Arial"/>
          <w:sz w:val="22"/>
        </w:rPr>
        <w:t xml:space="preserve">I feel like there should be more description of results that look at distance with neurobehavior if there are any</w:t>
      </w:r>
    </w:p>
  </w:comment>
  <w:comment w:id="120" w:author="Briana N Chronister" w:date="2024-10-11T15:18:00Z" w:initials="BC">
    <w:p w14:paraId="00000007" w14:textId="00000007">
      <w:pPr>
        <w:spacing w:line="240" w:after="0" w:lineRule="auto" w:before="0"/>
        <w:ind w:firstLine="0" w:left="0" w:right="0"/>
        <w:jc w:val="left"/>
      </w:pPr>
      <w:r>
        <w:rPr>
          <w:rFonts w:eastAsia="Arial" w:ascii="Arial" w:hAnsi="Arial" w:cs="Arial"/>
          <w:sz w:val="22"/>
        </w:rPr>
        <w:t xml:space="preserve">A way to estimate this would be to run an OR model looking at having greenhouses within 50m compared to those who do not and see if nepsy scores differed. </w:t>
      </w:r>
    </w:p>
  </w:comment>
  <w:comment w:id="121" w:author="Kayser, Georgia" w:date="2024-10-23T15:29:00Z" w:initials="KG">
    <w:p w14:paraId="00000008" w14:textId="00000008">
      <w:pPr>
        <w:spacing w:line="240" w:after="0" w:lineRule="auto" w:before="0"/>
        <w:ind w:firstLine="0" w:left="0" w:right="0"/>
        <w:jc w:val="left"/>
      </w:pPr>
      <w:r>
        <w:rPr>
          <w:rFonts w:eastAsia="Arial" w:ascii="Arial" w:hAnsi="Arial" w:cs="Arial"/>
          <w:sz w:val="22"/>
        </w:rPr>
        <w:t xml:space="preserve">We mention this limitation with the data.</w:t>
      </w:r>
    </w:p>
  </w:comment>
  <w:comment w:id="117" w:author="Briana N Chronister" w:date="2024-10-11T15:09:00Z" w:initials="BC">
    <w:p w14:paraId="00000009" w14:textId="00000009">
      <w:pPr>
        <w:spacing w:line="240" w:after="0" w:lineRule="auto" w:before="0"/>
        <w:ind w:firstLine="0" w:left="0" w:right="0"/>
        <w:jc w:val="left"/>
      </w:pPr>
      <w:r>
        <w:rPr>
          <w:rFonts w:eastAsia="Arial" w:ascii="Arial" w:hAnsi="Arial" w:cs="Arial"/>
          <w:sz w:val="22"/>
        </w:rPr>
        <w:t xml:space="preserve">This wasn’t the case for all of them, were some of the strongest point estimates (like figure 3) were in the smallest bufers. </w:t>
      </w:r>
    </w:p>
  </w:comment>
  <w:comment w:id="118" w:author="Briana N Chronister" w:date="2024-10-11T15:10:00Z" w:initials="BC">
    <w:p w14:paraId="0000000A" w14:textId="0000000A">
      <w:pPr>
        <w:spacing w:line="240" w:after="0" w:lineRule="auto" w:before="0"/>
        <w:ind w:firstLine="0" w:left="0" w:right="0"/>
        <w:jc w:val="left"/>
      </w:pPr>
      <w:r>
        <w:rPr>
          <w:rFonts w:eastAsia="Arial" w:ascii="Arial" w:hAnsi="Arial" w:cs="Arial"/>
          <w:sz w:val="22"/>
        </w:rPr>
        <w:t xml:space="preserve">Like IIC in figure 2</w:t>
      </w:r>
    </w:p>
  </w:comment>
  <w:comment w:id="119" w:author="Kayser, Georgia" w:date="2024-11-20T11:54:00Z" w:initials="KG">
    <w:p w14:paraId="0000000B" w14:textId="0000000B">
      <w:pPr>
        <w:spacing w:line="240" w:after="0" w:lineRule="auto" w:before="0"/>
        <w:ind w:firstLine="0" w:left="0" w:right="0"/>
        <w:jc w:val="left"/>
      </w:pPr>
      <w:r>
        <w:rPr>
          <w:rFonts w:eastAsia="Arial" w:ascii="Arial" w:hAnsi="Arial" w:cs="Arial"/>
          <w:sz w:val="22"/>
        </w:rPr>
        <w:t xml:space="preserve">we added often, as IIC is significant at the 50m radii.</w:t>
      </w:r>
    </w:p>
  </w:comment>
  <w:comment w:id="116" w:author="Briana N Chronister" w:date="2024-10-11T15:09:00Z" w:initials="BC">
    <w:p w14:paraId="0000000C" w14:textId="0000000C">
      <w:pPr>
        <w:spacing w:line="240" w:after="0" w:lineRule="auto" w:before="0"/>
        <w:ind w:firstLine="0" w:left="0" w:right="0"/>
        <w:jc w:val="left"/>
      </w:pPr>
      <w:r>
        <w:rPr>
          <w:rFonts w:eastAsia="Arial" w:ascii="Arial" w:hAnsi="Arial" w:cs="Arial"/>
          <w:sz w:val="22"/>
        </w:rPr>
        <w:t xml:space="preserve">Was there meant to be a citation here?</w:t>
      </w:r>
    </w:p>
  </w:comment>
  <w:comment w:id="115" w:author="Briana N Chronister" w:date="2024-10-11T15:06:00Z" w:initials="BC">
    <w:p w14:paraId="0000000D" w14:textId="0000000D">
      <w:pPr>
        <w:spacing w:line="240" w:after="0" w:lineRule="auto" w:before="0"/>
        <w:ind w:firstLine="0" w:left="0" w:right="0"/>
        <w:jc w:val="left"/>
      </w:pPr>
      <w:r>
        <w:rPr>
          <w:rFonts w:eastAsia="Arial" w:ascii="Arial" w:hAnsi="Arial" w:cs="Arial"/>
          <w:sz w:val="22"/>
        </w:rPr>
        <w:t xml:space="preserve">I feel like there is going to be a question as to how you chose these buffers. It could be beneficial to pre-emptively list why in the methods. </w:t>
      </w:r>
    </w:p>
  </w:comment>
  <w:comment w:id="114" w:author="Suarez, Jose" w:date="2025-06-04T17:40:00Z" w:initials="JS">
    <w:p w14:paraId="0000000E" w14:textId="0000000E">
      <w:pPr>
        <w:spacing w:line="240" w:after="0" w:lineRule="auto" w:before="0"/>
        <w:ind w:firstLine="0" w:left="0" w:right="0"/>
        <w:jc w:val="left"/>
      </w:pPr>
      <w:r>
        <w:rPr>
          <w:rFonts w:eastAsia="Arial" w:ascii="Arial" w:hAnsi="Arial" w:cs="Arial"/>
          <w:sz w:val="22"/>
        </w:rPr>
        <w:t xml:space="preserve">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113" w:author="Suarez, Jose" w:date="2025-06-04T17:44:00Z" w:initials="JS">
    <w:p w14:paraId="0000000F" w14:textId="0000000F">
      <w:pPr>
        <w:spacing w:line="240" w:after="0" w:lineRule="auto" w:before="0"/>
        <w:ind w:firstLine="0" w:left="0" w:right="0"/>
        <w:jc w:val="left"/>
      </w:pPr>
      <w:r>
        <w:rPr>
          <w:rFonts w:eastAsia="Arial" w:ascii="Arial" w:hAnsi="Arial" w:cs="Arial"/>
          <w:sz w:val="22"/>
        </w:rPr>
        <w:t xml:space="preserve">You can see if the OR findings improve by using different NEPSY cutoffs. The cutoff selection can change the associations.</w:t>
      </w:r>
    </w:p>
  </w:comment>
  <w:comment w:id="111" w:author="Suarez, Jose" w:date="2025-06-04T17:42:00Z" w:initials="JS">
    <w:p w14:paraId="00000010" w14:textId="00000010">
      <w:pPr>
        <w:spacing w:line="240" w:after="0" w:lineRule="auto" w:before="0"/>
        <w:ind w:firstLine="0" w:left="0" w:right="0"/>
        <w:jc w:val="left"/>
      </w:pPr>
      <w:r>
        <w:rPr>
          <w:rFonts w:eastAsia="Arial" w:ascii="Arial" w:hAnsi="Arial" w:cs="Arial"/>
          <w:sz w:val="22"/>
        </w:rPr>
        <w:t xml:space="preserve">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12" w:author="Kayser, Georgia" w:date="2025-07-17T17:18:00Z" w:initials="KG">
    <w:p w14:paraId="00000011" w14:textId="00000011">
      <w:pPr>
        <w:spacing w:line="240" w:after="0" w:lineRule="auto" w:before="0"/>
        <w:ind w:firstLine="0" w:left="0" w:right="0"/>
        <w:jc w:val="left"/>
      </w:pPr>
      <w:r>
        <w:rPr>
          <w:rFonts w:eastAsia="Arial" w:ascii="Arial" w:hAnsi="Arial" w:cs="Arial"/>
          <w:sz w:val="22"/>
        </w:rPr>
        <w:t xml:space="preserve">Jasen</w:t>
      </w:r>
    </w:p>
  </w:comment>
  <w:comment w:id="110" w:author="Suarez, Jose" w:date="2025-06-04T17:36:00Z" w:initials="JS">
    <w:p w14:paraId="00000012" w14:textId="00000012">
      <w:pPr>
        <w:spacing w:line="240" w:after="0" w:lineRule="auto" w:before="0"/>
        <w:ind w:firstLine="0" w:left="0" w:right="0"/>
        <w:jc w:val="left"/>
      </w:pPr>
      <w:r>
        <w:rPr>
          <w:rFonts w:eastAsia="Arial" w:ascii="Arial" w:hAnsi="Arial" w:cs="Arial"/>
          <w:sz w:val="22"/>
        </w:rPr>
        <w:t xml:space="preserve">Also did you account for test retest in Exam 3 for the domain of Attention/INhibitory (and related subtests). This is important</w:t>
      </w:r>
    </w:p>
  </w:comment>
  <w:comment w:id="109" w:author="Suarez, Jose" w:date="2025-06-04T17:35:00Z" w:initials="JS">
    <w:p w14:paraId="00000013" w14:textId="00000013">
      <w:pPr>
        <w:spacing w:line="240" w:after="0" w:lineRule="auto" w:before="0"/>
        <w:ind w:firstLine="0" w:left="0" w:right="0"/>
        <w:jc w:val="left"/>
      </w:pPr>
      <w:r>
        <w:rPr>
          <w:rFonts w:eastAsia="Arial" w:ascii="Arial" w:hAnsi="Arial" w:cs="Arial"/>
          <w:sz w:val="22"/>
        </w:rPr>
        <w:t xml:space="preserve">Not sure what you mean by “to get similar percentiles”. Clarify. This is one of the advantages of using internal cutoffs instead of the clinical ones. An internal cutoff would be selecting those below the 10th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107" w:author="Suarez, Jose" w:date="2025-06-04T17:32:00Z" w:initials="JS">
    <w:p w14:paraId="00000014" w14:textId="00000014">
      <w:pPr>
        <w:spacing w:line="240" w:after="0" w:lineRule="auto" w:before="0"/>
        <w:ind w:firstLine="0" w:left="0" w:right="0"/>
        <w:jc w:val="left"/>
      </w:pPr>
      <w:r>
        <w:rPr>
          <w:rFonts w:eastAsia="Arial" w:ascii="Arial" w:hAnsi="Arial" w:cs="Arial"/>
          <w:sz w:val="22"/>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108" w:author="Kayser, Georgia" w:date="2025-07-17T17:11:00Z" w:initials="KG">
    <w:p w14:paraId="00000015" w14:textId="00000015">
      <w:pPr>
        <w:spacing w:line="240" w:after="0" w:lineRule="auto" w:before="0"/>
        <w:ind w:firstLine="0" w:left="0" w:right="0"/>
        <w:jc w:val="left"/>
      </w:pPr>
      <w:r>
        <w:rPr>
          <w:rFonts w:eastAsia="Arial" w:ascii="Arial" w:hAnsi="Arial" w:cs="Arial"/>
          <w:sz w:val="22"/>
        </w:rPr>
        <w:t xml:space="preserve">Jasen, can check prevalences of low scores, below expected score </w:t>
      </w:r>
    </w:p>
  </w:comment>
  <w:comment w:id="104" w:author="Briana N Chronister" w:date="2024-10-11T14:47:00Z" w:initials="BC">
    <w:p w14:paraId="00000016" w14:textId="00000016">
      <w:pPr>
        <w:spacing w:line="240" w:after="0" w:lineRule="auto" w:before="0"/>
        <w:ind w:firstLine="0" w:left="0" w:right="0"/>
        <w:jc w:val="left"/>
      </w:pPr>
      <w:r>
        <w:rPr>
          <w:rFonts w:eastAsia="Arial" w:ascii="Arial" w:hAnsi="Arial" w:cs="Arial"/>
          <w:sz w:val="22"/>
        </w:rPr>
        <w:t xml:space="preserve">This needs to be described in the stats section</w:t>
      </w:r>
    </w:p>
  </w:comment>
  <w:comment w:id="105" w:author="Briana N Chronister" w:date="2024-10-11T14:53:00Z" w:initials="BC">
    <w:p w14:paraId="00000017" w14:textId="00000017">
      <w:pPr>
        <w:spacing w:line="240" w:after="0" w:lineRule="auto" w:before="0"/>
        <w:ind w:firstLine="0" w:left="0" w:right="0"/>
        <w:jc w:val="left"/>
      </w:pPr>
      <w:r>
        <w:rPr>
          <w:rFonts w:eastAsia="Arial" w:ascii="Arial" w:hAnsi="Arial" w:cs="Arial"/>
          <w:sz w:val="22"/>
        </w:rPr>
        <w:t xml:space="preserve">So for the OR model, are you looking at the odds of having a NEPSY score greater than 5, using the lower category as a reference, for a doubling of the distance or SA?</w:t>
      </w:r>
    </w:p>
  </w:comment>
  <w:comment w:id="106" w:author="Jasen Zhang" w:date="2024-10-29T11:03:00Z" w:initials="JZ">
    <w:p w14:paraId="00000018" w14:textId="00000018">
      <w:pPr>
        <w:spacing w:line="240" w:after="0" w:lineRule="auto" w:before="0"/>
        <w:ind w:firstLine="0" w:left="0" w:right="0"/>
        <w:jc w:val="left"/>
      </w:pPr>
      <w:r>
        <w:rPr>
          <w:rFonts w:eastAsia="Arial" w:ascii="Arial" w:hAnsi="Arial" w:cs="Arial"/>
          <w:sz w:val="22"/>
        </w:rPr>
        <w:t xml:space="preserve">Yes</w:t>
      </w:r>
    </w:p>
  </w:comment>
  <w:comment w:id="101" w:author="Briana N Chronister" w:date="2024-10-11T14:59:00Z" w:initials="BC">
    <w:p w14:paraId="00000019" w14:textId="00000019">
      <w:pPr>
        <w:spacing w:line="240" w:after="0" w:lineRule="auto" w:before="0"/>
        <w:ind w:firstLine="0" w:left="0" w:right="0"/>
        <w:jc w:val="left"/>
      </w:pPr>
      <w:r>
        <w:rPr>
          <w:rFonts w:eastAsia="Arial" w:ascii="Arial" w:hAnsi="Arial" w:cs="Arial"/>
          <w:sz w:val="22"/>
        </w:rPr>
        <w:t xml:space="preserve">Is this a GEE using a logit link funciton?</w:t>
      </w:r>
    </w:p>
  </w:comment>
  <w:comment w:id="102" w:author="Kayser, Georgia" w:date="2024-10-23T15:22:00Z" w:initials="KG">
    <w:p w14:paraId="0000001A" w14:textId="0000001A">
      <w:pPr>
        <w:spacing w:line="240" w:after="0" w:lineRule="auto" w:before="0"/>
        <w:ind w:firstLine="0" w:left="0" w:right="0"/>
        <w:jc w:val="left"/>
      </w:pPr>
      <w:r>
        <w:rPr>
          <w:rFonts w:eastAsia="Arial" w:ascii="Arial" w:hAnsi="Arial" w:cs="Arial"/>
          <w:sz w:val="22"/>
        </w:rPr>
        <w:t xml:space="preserve">Jasen</w:t>
      </w:r>
    </w:p>
  </w:comment>
  <w:comment w:id="103" w:author="Jasen Zhang" w:date="2024-10-29T11:51:00Z" w:initials="JZ">
    <w:p w14:paraId="0000001B" w14:textId="0000001B">
      <w:pPr>
        <w:spacing w:line="240" w:after="0" w:lineRule="auto" w:before="0"/>
        <w:ind w:firstLine="0" w:left="0" w:right="0"/>
        <w:jc w:val="left"/>
      </w:pPr>
      <w:r>
        <w:rPr>
          <w:rFonts w:eastAsia="Arial" w:ascii="Arial" w:hAnsi="Arial" w:cs="Arial"/>
          <w:sz w:val="22"/>
        </w:rPr>
        <w:t xml:space="preserve">Yes. I clarified this in the methods.</w:t>
      </w:r>
    </w:p>
  </w:comment>
  <w:comment w:id="99" w:author="Suarez, Jose" w:date="2025-06-04T16:45:00Z" w:initials="JS">
    <w:p w14:paraId="0000001C" w14:textId="0000001C">
      <w:pPr>
        <w:spacing w:line="240" w:after="0" w:lineRule="auto" w:before="0"/>
        <w:ind w:firstLine="0" w:left="0" w:right="0"/>
        <w:jc w:val="left"/>
      </w:pPr>
      <w:r>
        <w:rPr>
          <w:rFonts w:eastAsia="Arial" w:ascii="Arial" w:hAnsi="Arial" w:cs="Arial"/>
          <w:sz w:val="22"/>
        </w:rPr>
        <w:t xml:space="preserve">Footnote of fig: Add adjustments</w:t>
      </w:r>
    </w:p>
  </w:comment>
  <w:comment w:id="100" w:author="Kayser, Georgia" w:date="2025-07-17T17:07:00Z" w:initials="KG">
    <w:p w14:paraId="0000001D" w14:textId="0000001D">
      <w:pPr>
        <w:spacing w:line="240" w:after="0" w:lineRule="auto" w:before="0"/>
        <w:ind w:firstLine="0" w:left="0" w:right="0"/>
        <w:jc w:val="left"/>
      </w:pPr>
      <w:r>
        <w:rPr>
          <w:rFonts w:eastAsia="Arial" w:ascii="Arial" w:hAnsi="Arial" w:cs="Arial"/>
          <w:sz w:val="22"/>
        </w:rPr>
        <w:t xml:space="preserve">Jasen</w:t>
      </w:r>
    </w:p>
  </w:comment>
  <w:comment w:id="96" w:author="Briana N Chronister" w:date="2024-10-11T14:24:00Z" w:initials="BC">
    <w:p w14:paraId="0000001E" w14:textId="0000001E">
      <w:pPr>
        <w:spacing w:line="240" w:after="0" w:lineRule="auto" w:before="0"/>
        <w:ind w:firstLine="0" w:left="0" w:right="0"/>
        <w:jc w:val="left"/>
      </w:pPr>
      <w:r>
        <w:rPr>
          <w:rFonts w:eastAsia="Arial" w:ascii="Arial" w:hAnsi="Arial" w:cs="Arial"/>
          <w:sz w:val="22"/>
        </w:rPr>
        <w:t xml:space="preserve">I really like these figures! It could help to have the point estimates too. But fine either way</w:t>
      </w:r>
    </w:p>
  </w:comment>
  <w:comment w:id="97" w:author="Kayser, Georgia" w:date="2024-10-23T15:22:00Z" w:initials="KG">
    <w:p w14:paraId="0000001F" w14:textId="0000001F">
      <w:pPr>
        <w:spacing w:line="240" w:after="0" w:lineRule="auto" w:before="0"/>
        <w:ind w:firstLine="0" w:left="0" w:right="0"/>
        <w:jc w:val="left"/>
      </w:pPr>
      <w:r>
        <w:rPr>
          <w:rFonts w:eastAsia="Arial" w:ascii="Arial" w:hAnsi="Arial" w:cs="Arial"/>
          <w:sz w:val="22"/>
        </w:rPr>
        <w:t xml:space="preserve">Jasen</w:t>
      </w:r>
    </w:p>
  </w:comment>
  <w:comment w:id="98" w:author="Jasen Zhang" w:date="2024-10-29T11:50:00Z" w:initials="JZ">
    <w:p w14:paraId="00000020" w14:textId="00000020">
      <w:pPr>
        <w:spacing w:line="240" w:after="0" w:lineRule="auto" w:before="0"/>
        <w:ind w:firstLine="0" w:left="0" w:right="0"/>
        <w:jc w:val="left"/>
      </w:pPr>
      <w:r>
        <w:rPr>
          <w:rFonts w:eastAsia="Arial" w:ascii="Arial" w:hAnsi="Arial" w:cs="Arial"/>
          <w:sz w:val="22"/>
        </w:rPr>
        <w:t xml:space="preserve">Point estimates are described already. They are just the point in the middle of the 95% CI.</w:t>
      </w:r>
    </w:p>
  </w:comment>
  <w:comment w:id="95" w:author="Briana N Chronister" w:date="2024-10-11T14:44:00Z" w:initials="BC">
    <w:p w14:paraId="00000021" w14:textId="00000021">
      <w:pPr>
        <w:spacing w:line="240" w:after="0" w:lineRule="auto" w:before="0"/>
        <w:ind w:firstLine="0" w:left="0" w:right="0"/>
        <w:jc w:val="left"/>
      </w:pPr>
      <w:r>
        <w:rPr>
          <w:rFonts w:eastAsia="Arial" w:ascii="Arial" w:hAnsi="Arial" w:cs="Arial"/>
          <w:sz w:val="22"/>
        </w:rPr>
        <w:t xml:space="preserve">In the methods, it would be beneficial to include a statement on what the hypothesized directions should be for the distance variables versus the SA variables so reviewers do not get confused. </w:t>
      </w:r>
    </w:p>
  </w:comment>
  <w:comment w:id="94" w:author="Suarez, Jose" w:date="2025-06-04T17:23:00Z" w:initials="JS">
    <w:p w14:paraId="00000022" w14:textId="00000022">
      <w:pPr>
        <w:spacing w:line="240" w:after="0" w:lineRule="auto" w:before="0"/>
        <w:ind w:firstLine="0" w:left="0" w:right="0"/>
        <w:jc w:val="left"/>
      </w:pPr>
      <w:r>
        <w:rPr>
          <w:rFonts w:eastAsia="Arial" w:ascii="Arial" w:hAnsi="Arial" w:cs="Arial"/>
          <w:sz w:val="22"/>
        </w:rPr>
        <w:t xml:space="preserve">Inhibition is a subtest. IIC, INC, ISC are components within the subtest. Make sure this is described in the methods. </w:t>
      </w:r>
    </w:p>
  </w:comment>
  <w:comment w:id="93" w:author="Suarez, Jose" w:date="2025-06-04T16:49:00Z" w:initials="JS">
    <w:p w14:paraId="00000023" w14:textId="00000023">
      <w:pPr>
        <w:spacing w:line="240" w:after="0" w:lineRule="auto" w:before="0"/>
        <w:ind w:firstLine="0" w:left="0" w:right="0"/>
        <w:jc w:val="left"/>
      </w:pPr>
      <w:r>
        <w:rPr>
          <w:rFonts w:eastAsia="Arial" w:ascii="Arial" w:hAnsi="Arial" w:cs="Arial"/>
          <w:sz w:val="22"/>
        </w:rPr>
        <w:t xml:space="preserve">Don’t use “causes” in the manuscript. Too strong of a term… use “is associated with”. Please check for this throughout the text</w:t>
      </w:r>
    </w:p>
  </w:comment>
  <w:comment w:id="91" w:author="Briana N Chronister" w:date="2024-10-11T14:40:00Z" w:initials="BC">
    <w:p w14:paraId="00000024" w14:textId="00000024">
      <w:pPr>
        <w:spacing w:line="240" w:after="0" w:lineRule="auto" w:before="0"/>
        <w:ind w:firstLine="0" w:left="0" w:right="0"/>
        <w:jc w:val="left"/>
      </w:pPr>
      <w:r>
        <w:rPr>
          <w:rFonts w:eastAsia="Arial" w:ascii="Arial" w:hAnsi="Arial" w:cs="Arial"/>
          <w:sz w:val="22"/>
        </w:rPr>
        <w:t xml:space="preserve">I am unsure how this is estimated. I thought the beta estimates were interpreted as a doubling of the Surface area or distance variables. Is a doubling for the 100m buffer 10m2?</w:t>
      </w:r>
    </w:p>
  </w:comment>
  <w:comment w:id="92" w:author="Jasen Zhang" w:date="2024-10-29T11:49:00Z" w:initials="JZ">
    <w:p w14:paraId="00000025" w14:textId="00000025">
      <w:pPr>
        <w:spacing w:line="240" w:after="0" w:lineRule="auto" w:before="0"/>
        <w:ind w:firstLine="0" w:left="0" w:right="0"/>
        <w:jc w:val="left"/>
      </w:pPr>
      <w:r>
        <w:rPr>
          <w:rFonts w:eastAsia="Arial" w:ascii="Arial" w:hAnsi="Arial" w:cs="Arial"/>
          <w:sz w:val="22"/>
        </w:rPr>
        <w:t xml:space="preserve">We are reporting the effects of DOUBLING the exposure variable (distance or area).</w:t>
      </w:r>
    </w:p>
  </w:comment>
  <w:comment w:id="89" w:author="Briana N Chronister" w:date="2024-10-11T14:37:00Z" w:initials="BC">
    <w:p w14:paraId="00000026" w14:textId="00000026">
      <w:pPr>
        <w:spacing w:line="240" w:after="0" w:lineRule="auto" w:before="0"/>
        <w:ind w:firstLine="0" w:left="0" w:right="0"/>
        <w:jc w:val="left"/>
      </w:pPr>
      <w:r>
        <w:rPr>
          <w:rFonts w:eastAsia="Arial" w:ascii="Arial" w:hAnsi="Arial" w:cs="Arial"/>
          <w:sz w:val="22"/>
        </w:rPr>
        <w:t xml:space="preserve">Chi square needs to be described in methods</w:t>
      </w:r>
    </w:p>
  </w:comment>
  <w:comment w:id="90" w:author="Jasen Zhang" w:date="2024-10-29T09:54:00Z" w:initials="JZ">
    <w:p w14:paraId="00000027" w14:textId="00000027">
      <w:pPr>
        <w:spacing w:line="240" w:after="0" w:lineRule="auto" w:before="0"/>
        <w:ind w:firstLine="0" w:left="0" w:right="0"/>
        <w:jc w:val="left"/>
      </w:pPr>
      <w:r>
        <w:rPr>
          <w:rFonts w:eastAsia="Arial" w:ascii="Arial" w:hAnsi="Arial" w:cs="Arial"/>
          <w:sz w:val="22"/>
        </w:rPr>
        <w:t xml:space="preserve">done</w:t>
      </w:r>
    </w:p>
  </w:comment>
  <w:comment w:id="86" w:author="Suarez, Jose" w:date="2025-06-04T14:36:00Z" w:initials="JS">
    <w:p w14:paraId="00000028" w14:textId="00000028">
      <w:pPr>
        <w:spacing w:line="240" w:after="0" w:lineRule="auto" w:before="0"/>
        <w:ind w:firstLine="0" w:left="0" w:right="0"/>
        <w:jc w:val="left"/>
      </w:pPr>
      <w:r>
        <w:rPr>
          <w:rFonts w:eastAsia="Arial" w:ascii="Arial" w:hAnsi="Arial" w:cs="Arial"/>
          <w:sz w:val="22"/>
        </w:rPr>
        <w:t xml:space="preserve">As with you previous paper, this needs to be switched to GLM or linear regression or preferably robust regression (it handles skewed variables the best). ANOVA is not appropriate. You can use GLM or robust regression to replace both ANOVA and Chi square.</w:t>
      </w:r>
    </w:p>
  </w:comment>
  <w:comment w:id="87" w:author="Suarez, Jose" w:date="2025-06-04T14:37:00Z" w:initials="JS">
    <w:p w14:paraId="00000029" w14:textId="00000029">
      <w:pPr>
        <w:spacing w:line="240" w:after="0" w:lineRule="auto" w:before="0"/>
        <w:ind w:firstLine="0" w:left="0" w:right="0"/>
        <w:jc w:val="left"/>
      </w:pPr>
      <w:r>
        <w:rPr>
          <w:rFonts w:eastAsia="Arial" w:ascii="Arial" w:hAnsi="Arial" w:cs="Arial"/>
          <w:sz w:val="22"/>
        </w:rPr>
        <w:t xml:space="preserve">Also to make the table simpler, switch to tertiles instead of quartiles</w:t>
      </w:r>
    </w:p>
  </w:comment>
  <w:comment w:id="88" w:author="Kayser, Georgia" w:date="2025-07-17T17:07:00Z" w:initials="KG">
    <w:p w14:paraId="0000002A" w14:textId="0000002A">
      <w:pPr>
        <w:spacing w:line="240" w:after="0" w:lineRule="auto" w:before="0"/>
        <w:ind w:firstLine="0" w:left="0" w:right="0"/>
        <w:jc w:val="left"/>
      </w:pPr>
      <w:r>
        <w:rPr>
          <w:rFonts w:eastAsia="Arial" w:ascii="Arial" w:hAnsi="Arial" w:cs="Arial"/>
          <w:sz w:val="22"/>
        </w:rPr>
        <w:t xml:space="preserve">Jasen</w:t>
      </w:r>
    </w:p>
  </w:comment>
  <w:comment w:id="83" w:author="Briana N Chronister" w:date="2024-10-11T14:36:00Z" w:initials="BC">
    <w:p w14:paraId="0000002B" w14:textId="0000002B">
      <w:pPr>
        <w:spacing w:line="240" w:after="0" w:lineRule="auto" w:before="0"/>
        <w:ind w:firstLine="0" w:left="0" w:right="0"/>
        <w:jc w:val="left"/>
      </w:pPr>
      <w:r>
        <w:rPr>
          <w:rFonts w:eastAsia="Arial" w:ascii="Arial" w:hAnsi="Arial" w:cs="Arial"/>
          <w:sz w:val="22"/>
        </w:rPr>
        <w:t xml:space="preserve">Is this for the combined scores as well, or just the subdomains?</w:t>
      </w:r>
    </w:p>
  </w:comment>
  <w:comment w:id="84" w:author="Kayser, Georgia" w:date="2024-10-23T15:21:00Z" w:initials="KG">
    <w:p w14:paraId="0000002C" w14:textId="0000002C">
      <w:pPr>
        <w:spacing w:line="240" w:after="0" w:lineRule="auto" w:before="0"/>
        <w:ind w:firstLine="0" w:left="0" w:right="0"/>
        <w:jc w:val="left"/>
      </w:pPr>
      <w:r>
        <w:rPr>
          <w:rFonts w:eastAsia="Arial" w:ascii="Arial" w:hAnsi="Arial" w:cs="Arial"/>
          <w:sz w:val="22"/>
        </w:rPr>
        <w:t xml:space="preserve">Jasen</w:t>
      </w:r>
    </w:p>
  </w:comment>
  <w:comment w:id="85" w:author="Jasen Zhang" w:date="2024-10-29T11:40:00Z" w:initials="JZ">
    <w:p w14:paraId="0000002D" w14:textId="0000002D">
      <w:pPr>
        <w:spacing w:line="240" w:after="0" w:lineRule="auto" w:before="0"/>
        <w:ind w:firstLine="0" w:left="0" w:right="0"/>
        <w:jc w:val="left"/>
      </w:pPr>
      <w:r>
        <w:rPr>
          <w:rFonts w:eastAsia="Arial" w:ascii="Arial" w:hAnsi="Arial" w:cs="Arial"/>
          <w:sz w:val="22"/>
        </w:rPr>
        <w:t xml:space="preserve">I’m not too knowledgeable about NEPSY itself.</w:t>
      </w:r>
    </w:p>
  </w:comment>
  <w:comment w:id="81" w:author="Suarez, Jose" w:date="2025-06-04T16:39:00Z" w:initials="JS">
    <w:p w14:paraId="0000002E" w14:textId="0000002E">
      <w:pPr>
        <w:spacing w:line="240" w:after="0" w:lineRule="auto" w:before="0"/>
        <w:ind w:firstLine="0" w:left="0" w:right="0"/>
        <w:jc w:val="left"/>
      </w:pPr>
      <w:r>
        <w:rPr>
          <w:rFonts w:eastAsia="Arial" w:ascii="Arial" w:hAnsi="Arial" w:cs="Arial"/>
          <w:sz w:val="22"/>
        </w:rPr>
        <w:t xml:space="preserve">Is this an overall Nepsy score? IF so state that</w:t>
      </w:r>
    </w:p>
  </w:comment>
  <w:comment w:id="82" w:author="Kayser, Georgia" w:date="2025-07-17T15:48:00Z" w:initials="KG">
    <w:p w14:paraId="0000002F" w14:textId="0000002F">
      <w:pPr>
        <w:spacing w:line="240" w:after="0" w:lineRule="auto" w:before="0"/>
        <w:ind w:firstLine="0" w:left="0" w:right="0"/>
        <w:jc w:val="left"/>
      </w:pPr>
      <w:r>
        <w:rPr>
          <w:rFonts w:eastAsia="Arial" w:ascii="Arial" w:hAnsi="Arial" w:cs="Arial"/>
          <w:sz w:val="22"/>
        </w:rPr>
        <w:t xml:space="preserve">DOne</w:t>
      </w:r>
    </w:p>
  </w:comment>
  <w:comment w:id="78" w:author="Briana N Chronister" w:date="2024-10-11T15:11:00Z" w:initials="BC">
    <w:p w14:paraId="00000030" w14:textId="00000030">
      <w:pPr>
        <w:spacing w:line="240" w:after="0" w:lineRule="auto" w:before="0"/>
        <w:ind w:firstLine="0" w:left="0" w:right="0"/>
        <w:jc w:val="left"/>
      </w:pPr>
      <w:r>
        <w:rPr>
          <w:rFonts w:eastAsia="Arial" w:ascii="Arial" w:hAnsi="Arial" w:cs="Arial"/>
          <w:sz w:val="22"/>
        </w:rPr>
        <w:t xml:space="preserve">Since this is non zero, I think this table should include a count of how many people had zero values for each buffer. </w:t>
      </w:r>
    </w:p>
  </w:comment>
  <w:comment w:id="79" w:author="Briana N Chronister" w:date="2024-10-11T15:11:00Z" w:initials="BC">
    <w:p w14:paraId="00000031" w14:textId="00000031">
      <w:pPr>
        <w:spacing w:line="240" w:after="0" w:lineRule="auto" w:before="0"/>
        <w:ind w:firstLine="0" w:left="0" w:right="0"/>
        <w:jc w:val="left"/>
      </w:pPr>
      <w:r>
        <w:rPr>
          <w:rFonts w:eastAsia="Arial" w:ascii="Arial" w:hAnsi="Arial" w:cs="Arial"/>
          <w:sz w:val="22"/>
        </w:rPr>
        <w:t xml:space="preserve">Esp since it is described in the discussion</w:t>
      </w:r>
    </w:p>
  </w:comment>
  <w:comment w:id="80" w:author="Kayser, Georgia" w:date="2024-10-23T15:21:00Z" w:initials="KG">
    <w:p w14:paraId="00000032" w14:textId="00000032">
      <w:pPr>
        <w:spacing w:line="240" w:after="0" w:lineRule="auto" w:before="0"/>
        <w:ind w:firstLine="0" w:left="0" w:right="0"/>
        <w:jc w:val="left"/>
      </w:pPr>
      <w:r>
        <w:rPr>
          <w:rFonts w:eastAsia="Arial" w:ascii="Arial" w:hAnsi="Arial" w:cs="Arial"/>
          <w:sz w:val="22"/>
        </w:rPr>
        <w:t xml:space="preserve">Jasen</w:t>
      </w:r>
    </w:p>
  </w:comment>
  <w:comment w:id="77" w:author="Suarez, Jose" w:date="2025-06-04T13:46:00Z" w:initials="JS">
    <w:p w14:paraId="00000033" w14:textId="00000033">
      <w:pPr>
        <w:spacing w:line="240" w:after="0" w:lineRule="auto" w:before="0"/>
        <w:ind w:firstLine="0" w:left="0" w:right="0"/>
        <w:jc w:val="left"/>
      </w:pPr>
      <w:r>
        <w:rPr>
          <w:rFonts w:eastAsia="Arial" w:ascii="Arial" w:hAnsi="Arial" w:cs="Arial"/>
          <w:sz w:val="22"/>
        </w:rPr>
        <w:t xml:space="preserve">Update table numbers</w:t>
      </w:r>
    </w:p>
  </w:comment>
  <w:comment w:id="75" w:author="Suarez, Jose" w:date="2025-06-04T16:47:00Z" w:initials="JS">
    <w:p w14:paraId="00000034" w14:textId="00000034">
      <w:pPr>
        <w:spacing w:line="240" w:after="0" w:lineRule="auto" w:before="0"/>
        <w:ind w:firstLine="0" w:left="0" w:right="0"/>
        <w:jc w:val="left"/>
      </w:pPr>
      <w:r>
        <w:rPr>
          <w:rFonts w:eastAsia="Arial" w:ascii="Arial" w:hAnsi="Arial" w:cs="Arial"/>
          <w:sz w:val="22"/>
        </w:rPr>
        <w:t xml:space="preserve">Make sure that the title of Figure 2 clarifies that thoes are longitudinal analyses (GEEGLM) and that you are presenting beta coefficients. Also make sure to describe what the beta coefficients mean (assuming that is what you are presenting)</w:t>
      </w:r>
    </w:p>
  </w:comment>
  <w:comment w:id="76" w:author="Suarez, Jose" w:date="2025-06-04T17:22:00Z" w:initials="JS">
    <w:p w14:paraId="00000035" w14:textId="00000035">
      <w:pPr>
        <w:spacing w:line="240" w:after="0" w:lineRule="auto" w:before="0"/>
        <w:ind w:firstLine="0" w:left="0" w:right="0"/>
        <w:jc w:val="left"/>
      </w:pPr>
      <w:r>
        <w:rPr>
          <w:rFonts w:eastAsia="Arial" w:ascii="Arial" w:hAnsi="Arial" w:cs="Arial"/>
          <w:sz w:val="22"/>
        </w:rPr>
        <w:t xml:space="preserve">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74" w:author="Suarez, Jose" w:date="2025-06-04T16:44:00Z" w:initials="JS">
    <w:p w14:paraId="00000036" w14:textId="00000036">
      <w:pPr>
        <w:spacing w:line="240" w:after="0" w:lineRule="auto" w:before="0"/>
        <w:ind w:firstLine="0" w:left="0" w:right="0"/>
        <w:jc w:val="left"/>
      </w:pPr>
      <w:r>
        <w:rPr>
          <w:rFonts w:eastAsia="Arial" w:ascii="Arial" w:hAnsi="Arial" w:cs="Arial"/>
          <w:sz w:val="22"/>
        </w:rPr>
        <w:t xml:space="preserve">Table s1 doesn’t present longitudinal analyses</w:t>
      </w:r>
    </w:p>
  </w:comment>
  <w:comment w:id="72" w:author="Suarez, Jose" w:date="2025-06-04T16:41:00Z" w:initials="JS">
    <w:p w14:paraId="00000037" w14:textId="00000037">
      <w:pPr>
        <w:spacing w:line="240" w:after="0" w:lineRule="auto" w:before="0"/>
        <w:ind w:firstLine="0" w:left="0" w:right="0"/>
        <w:jc w:val="left"/>
      </w:pPr>
      <w:r>
        <w:rPr>
          <w:rFonts w:eastAsia="Arial" w:ascii="Arial" w:hAnsi="Arial" w:cs="Arial"/>
          <w:sz w:val="22"/>
        </w:rPr>
        <w:t xml:space="preserve">What is the “Inhibition subdomain”? This hasn’t been described</w:t>
      </w:r>
    </w:p>
  </w:comment>
  <w:comment w:id="73" w:author="Suarez, Jose" w:date="2025-06-04T16:43:00Z" w:initials="JS">
    <w:p w14:paraId="00000038" w14:textId="00000038">
      <w:pPr>
        <w:spacing w:line="240" w:after="0" w:lineRule="auto" w:before="0"/>
        <w:ind w:firstLine="0" w:left="0" w:right="0"/>
        <w:jc w:val="left"/>
      </w:pPr>
      <w:r>
        <w:rPr>
          <w:rFonts w:eastAsia="Arial" w:ascii="Arial" w:hAnsi="Arial" w:cs="Arial"/>
          <w:sz w:val="22"/>
        </w:rPr>
        <w:t xml:space="preserve">Do you mean the Inhibition subtest score?</w:t>
      </w:r>
    </w:p>
  </w:comment>
  <w:comment w:id="70" w:author="Briana N Chronister" w:date="2024-10-11T14:33:00Z" w:initials="BC">
    <w:p w14:paraId="00000039" w14:textId="00000039">
      <w:pPr>
        <w:spacing w:line="240" w:after="0" w:lineRule="auto" w:before="0"/>
        <w:ind w:firstLine="0" w:left="0" w:right="0"/>
        <w:jc w:val="left"/>
      </w:pPr>
      <w:r>
        <w:rPr>
          <w:rFonts w:eastAsia="Arial" w:ascii="Arial" w:hAnsi="Arial" w:cs="Arial"/>
          <w:sz w:val="22"/>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71" w:author="Kayser, Georgia" w:date="2024-10-23T15:20:00Z" w:initials="KG">
    <w:p w14:paraId="0000003A" w14:textId="0000003A">
      <w:pPr>
        <w:spacing w:line="240" w:after="0" w:lineRule="auto" w:before="0"/>
        <w:ind w:firstLine="0" w:left="0" w:right="0"/>
        <w:jc w:val="left"/>
      </w:pPr>
      <w:r>
        <w:rPr>
          <w:rFonts w:eastAsia="Arial" w:ascii="Arial" w:hAnsi="Arial" w:cs="Arial"/>
          <w:sz w:val="22"/>
        </w:rPr>
        <w:t xml:space="preserve">discuss with Jasen</w:t>
      </w:r>
    </w:p>
  </w:comment>
  <w:comment w:id="69" w:author="Suarez, Jose" w:date="2025-06-04T16:37:00Z" w:initials="JS">
    <w:p w14:paraId="0000003B" w14:textId="0000003B">
      <w:pPr>
        <w:spacing w:line="240" w:after="0" w:lineRule="auto" w:before="0"/>
        <w:ind w:firstLine="0" w:left="0" w:right="0"/>
        <w:jc w:val="left"/>
      </w:pPr>
      <w:r>
        <w:rPr>
          <w:rFonts w:eastAsia="Arial" w:ascii="Arial" w:hAnsi="Arial" w:cs="Arial"/>
          <w:sz w:val="22"/>
        </w:rPr>
        <w:t xml:space="preserve">As mentioned above. I think Table S1 should be deleted as it does not contribute to the paper (crude (biased) associations)</w:t>
      </w:r>
    </w:p>
  </w:comment>
  <w:comment w:id="67" w:author="Briana N Chronister" w:date="2024-10-11T14:27:00Z" w:initials="BC">
    <w:p w14:paraId="0000003C" w14:textId="0000003C">
      <w:pPr>
        <w:spacing w:line="240" w:after="0" w:lineRule="auto" w:before="0"/>
        <w:ind w:firstLine="0" w:left="0" w:right="0"/>
        <w:jc w:val="left"/>
      </w:pPr>
      <w:r>
        <w:rPr>
          <w:rFonts w:eastAsia="Arial" w:ascii="Arial" w:hAnsi="Arial" w:cs="Arial"/>
          <w:sz w:val="22"/>
        </w:rPr>
        <w:t xml:space="preserve">Were there any post hoc tests to see where the differences were between the categories?</w:t>
      </w:r>
    </w:p>
  </w:comment>
  <w:comment w:id="68" w:author="Kayser, Georgia" w:date="2024-10-23T15:20:00Z" w:initials="KG">
    <w:p w14:paraId="0000003D" w14:textId="0000003D">
      <w:pPr>
        <w:spacing w:line="240" w:after="0" w:lineRule="auto" w:before="0"/>
        <w:ind w:firstLine="0" w:left="0" w:right="0"/>
        <w:jc w:val="left"/>
      </w:pPr>
      <w:r>
        <w:rPr>
          <w:rFonts w:eastAsia="Arial" w:ascii="Arial" w:hAnsi="Arial" w:cs="Arial"/>
          <w:sz w:val="22"/>
        </w:rPr>
        <w:t xml:space="preserve">Jasen question</w:t>
      </w:r>
    </w:p>
  </w:comment>
  <w:comment w:id="66" w:author="Briana N Chronister" w:date="2024-10-11T14:13:00Z" w:initials="BC">
    <w:p w14:paraId="0000003E" w14:textId="0000003E">
      <w:pPr>
        <w:spacing w:line="240" w:after="0" w:lineRule="auto" w:before="0"/>
        <w:ind w:firstLine="0" w:left="0" w:right="0"/>
        <w:jc w:val="left"/>
      </w:pPr>
      <w:r>
        <w:rPr>
          <w:rFonts w:eastAsia="Arial" w:ascii="Arial" w:hAnsi="Arial" w:cs="Arial"/>
          <w:sz w:val="22"/>
        </w:rPr>
        <w:t xml:space="preserve">This was not described in the methods section. </w:t>
      </w:r>
    </w:p>
  </w:comment>
  <w:comment w:id="63" w:author="Briana N Chronister" w:date="2024-10-11T14:25:00Z" w:initials="BC">
    <w:p w14:paraId="0000003F" w14:textId="0000003F">
      <w:pPr>
        <w:spacing w:line="240" w:after="0" w:lineRule="auto" w:before="0"/>
        <w:ind w:firstLine="0" w:left="0" w:right="0"/>
        <w:jc w:val="left"/>
      </w:pPr>
      <w:r>
        <w:rPr>
          <w:rFonts w:eastAsia="Arial" w:ascii="Arial" w:hAnsi="Arial" w:cs="Arial"/>
          <w:sz w:val="22"/>
        </w:rPr>
        <w:t xml:space="preserve">Why not run a repeated ANOVA here?</w:t>
      </w:r>
    </w:p>
  </w:comment>
  <w:comment w:id="64" w:author="Kayser, Georgia" w:date="2024-10-23T15:20:00Z" w:initials="KG">
    <w:p w14:paraId="00000040" w14:textId="00000040">
      <w:pPr>
        <w:spacing w:line="240" w:after="0" w:lineRule="auto" w:before="0"/>
        <w:ind w:firstLine="0" w:left="0" w:right="0"/>
        <w:jc w:val="left"/>
      </w:pPr>
      <w:r>
        <w:rPr>
          <w:rFonts w:eastAsia="Arial" w:ascii="Arial" w:hAnsi="Arial" w:cs="Arial"/>
          <w:sz w:val="22"/>
        </w:rPr>
        <w:t xml:space="preserve">Jasen discussion</w:t>
      </w:r>
    </w:p>
  </w:comment>
  <w:comment w:id="65" w:author="Jasen Zhang" w:date="2024-10-29T11:39:00Z" w:initials="JZ">
    <w:p w14:paraId="00000041" w14:textId="00000041">
      <w:pPr>
        <w:spacing w:line="240" w:after="0" w:lineRule="auto" w:before="0"/>
        <w:ind w:firstLine="0" w:left="0" w:right="0"/>
        <w:jc w:val="left"/>
      </w:pPr>
      <w:r>
        <w:rPr>
          <w:rFonts w:eastAsia="Arial" w:ascii="Arial" w:hAnsi="Arial" w:cs="Arial"/>
          <w:sz w:val="22"/>
        </w:rPr>
        <w:t xml:space="preserve">It sounds like we can do two way repeated anova, to stratify by distance quantile AND time. But we can’t do this, because each subject is only in one quantile. </w:t>
      </w:r>
    </w:p>
    <w:p w14:paraId="00000042" w14:textId="00000042">
      <w:pPr>
        <w:spacing w:line="240" w:after="0" w:lineRule="auto" w:before="0"/>
        <w:ind w:firstLine="0" w:left="0" w:right="0"/>
        <w:jc w:val="left"/>
      </w:pPr>
      <w:r>
        <w:rPr>
          <w:rFonts w:eastAsia="Arial" w:ascii="Arial" w:hAnsi="Arial" w:cs="Arial"/>
          <w:sz w:val="22"/>
        </w:rPr>
        <w:t xml:space="preserve"/>
      </w:r>
    </w:p>
    <w:p w14:paraId="00000043" w14:textId="00000043">
      <w:pPr>
        <w:spacing w:line="240" w:after="0" w:lineRule="auto" w:before="0"/>
        <w:ind w:firstLine="0" w:left="0" w:right="0"/>
        <w:jc w:val="left"/>
      </w:pPr>
      <w:r>
        <w:rPr>
          <w:rFonts w:eastAsia="Arial" w:ascii="Arial" w:hAnsi="Arial" w:cs="Arial"/>
          <w:sz w:val="22"/>
        </w:rPr>
        <w:t xml:space="preserve">It’s impossible to measure the interaction effect here.</w:t>
      </w:r>
    </w:p>
  </w:comment>
  <w:comment w:id="62" w:author="Suarez, Jose" w:date="2025-06-04T16:34:00Z" w:initials="JS">
    <w:p w14:paraId="00000044" w14:textId="00000044">
      <w:pPr>
        <w:spacing w:line="240" w:after="0" w:lineRule="auto" w:before="0"/>
        <w:ind w:firstLine="0" w:left="0" w:right="0"/>
        <w:jc w:val="left"/>
      </w:pPr>
      <w:r>
        <w:rPr>
          <w:rFonts w:eastAsia="Arial" w:ascii="Arial" w:hAnsi="Arial" w:cs="Arial"/>
          <w:sz w:val="22"/>
        </w:rPr>
        <w:t xml:space="preserve">What do you mean by “exploratory”?</w:t>
      </w:r>
    </w:p>
  </w:comment>
  <w:comment w:id="61" w:author="Suarez, Jose" w:date="2025-06-04T16:36:00Z" w:initials="JS">
    <w:p w14:paraId="00000045" w14:textId="00000045">
      <w:pPr>
        <w:spacing w:line="240" w:after="0" w:lineRule="auto" w:before="0"/>
        <w:ind w:firstLine="0" w:left="0" w:right="0"/>
        <w:jc w:val="left"/>
      </w:pPr>
      <w:r>
        <w:rPr>
          <w:rFonts w:eastAsia="Arial" w:ascii="Arial" w:hAnsi="Arial" w:cs="Arial"/>
          <w:sz w:val="22"/>
        </w:rPr>
        <w:t xml:space="preserve">These are still part of participant characteristics. Should be moved to 3.1</w:t>
      </w:r>
    </w:p>
  </w:comment>
  <w:comment w:id="60" w:author="Suarez, Jose" w:date="2025-06-04T16:33:00Z" w:initials="JS">
    <w:p w14:paraId="00000046" w14:textId="00000046">
      <w:pPr>
        <w:spacing w:line="240" w:after="0" w:lineRule="auto" w:before="0"/>
        <w:ind w:firstLine="0" w:left="0" w:right="0"/>
        <w:jc w:val="left"/>
      </w:pPr>
      <w:r>
        <w:rPr>
          <w:rFonts w:eastAsia="Arial" w:ascii="Arial" w:hAnsi="Arial" w:cs="Arial"/>
          <w:sz w:val="22"/>
        </w:rPr>
        <w:t xml:space="preserve">Table S1 can be dropped. These are crude analyses and that is the topic of the manuscript</w:t>
      </w:r>
    </w:p>
  </w:comment>
  <w:comment w:id="57" w:author="Suarez, Jose" w:date="2025-06-04T16:30:00Z" w:initials="JS">
    <w:p w14:paraId="00000047" w14:textId="00000047">
      <w:pPr>
        <w:spacing w:line="240" w:after="0" w:lineRule="auto" w:before="0"/>
        <w:ind w:firstLine="0" w:left="0" w:right="0"/>
        <w:jc w:val="left"/>
      </w:pPr>
      <w:r>
        <w:rPr>
          <w:rFonts w:eastAsia="Arial" w:ascii="Arial" w:hAnsi="Arial" w:cs="Arial"/>
          <w:sz w:val="22"/>
        </w:rPr>
        <w:t xml:space="preserve">I don’t think we should use the cutoffs of the NEPSY for this as described in my previous comment. Furthermore Table 2 does not seem to provide this anywas </w:t>
      </w:r>
    </w:p>
  </w:comment>
  <w:comment w:id="58" w:author="Kayser, Georgia" w:date="2025-07-17T17:04:00Z" w:initials="KG">
    <w:p w14:paraId="00000048" w14:textId="00000048">
      <w:pPr>
        <w:spacing w:line="240" w:after="0" w:lineRule="auto" w:before="0"/>
        <w:ind w:firstLine="0" w:left="0" w:right="0"/>
        <w:jc w:val="left"/>
      </w:pPr>
      <w:r>
        <w:rPr>
          <w:rFonts w:eastAsia="Arial" w:ascii="Arial" w:hAnsi="Arial" w:cs="Arial"/>
          <w:sz w:val="22"/>
        </w:rPr>
        <w:t xml:space="preserve">Jasen , did we use the NEPSY cutoffs?</w:t>
      </w:r>
    </w:p>
  </w:comment>
  <w:comment w:id="59" w:author="Kayser, Georgia" w:date="2025-07-17T17:13:00Z" w:initials="KG">
    <w:p w14:paraId="00000049" w14:textId="00000049">
      <w:pPr>
        <w:spacing w:line="240" w:after="0" w:lineRule="auto" w:before="0"/>
        <w:ind w:firstLine="0" w:left="0" w:right="0"/>
        <w:jc w:val="left"/>
      </w:pPr>
      <w:r>
        <w:rPr>
          <w:rFonts w:eastAsia="Arial" w:ascii="Arial" w:hAnsi="Arial" w:cs="Arial"/>
          <w:sz w:val="22"/>
        </w:rPr>
        <w:t xml:space="preserve">Below, Jose, says this is ok. </w:t>
      </w:r>
    </w:p>
  </w:comment>
  <w:comment w:id="55" w:author="Suarez, Jose" w:date="2025-06-04T16:21:00Z" w:initials="JS">
    <w:p w14:paraId="0000004A" w14:textId="0000004A">
      <w:pPr>
        <w:spacing w:line="240" w:after="0" w:lineRule="auto" w:before="0"/>
        <w:ind w:firstLine="0" w:left="0" w:right="0"/>
        <w:jc w:val="left"/>
      </w:pPr>
      <w:r>
        <w:rPr>
          <w:rFonts w:eastAsia="Arial" w:ascii="Arial" w:hAnsi="Arial" w:cs="Arial"/>
          <w:sz w:val="22"/>
        </w:rPr>
        <w:t xml:space="preserve">These are not the correct numbers (per your figure above).These are the numbers of the full cohort and some participants have missing neuro or other covariate date</w:t>
      </w:r>
    </w:p>
  </w:comment>
  <w:comment w:id="56" w:author="Suarez, Jose" w:date="2025-06-04T16:21:00Z" w:initials="JS">
    <w:p w14:paraId="0000004B" w14:textId="0000004B">
      <w:pPr>
        <w:spacing w:line="240" w:after="0" w:lineRule="auto" w:before="0"/>
        <w:ind w:firstLine="0" w:left="0" w:right="0"/>
        <w:jc w:val="left"/>
      </w:pPr>
      <w:r>
        <w:rPr>
          <w:rFonts w:eastAsia="Arial" w:ascii="Arial" w:hAnsi="Arial" w:cs="Arial"/>
          <w:sz w:val="22"/>
        </w:rPr>
        <w:t xml:space="preserve">Same applies to all years listed. Which reminds me, in the methods section you should describe how many participants were excluded. </w:t>
      </w:r>
    </w:p>
  </w:comment>
  <w:comment w:id="53" w:author="Suarez, Jose" w:date="2025-06-04T14:44:00Z" w:initials="JS">
    <w:p w14:paraId="0000004C" w14:textId="0000004C">
      <w:pPr>
        <w:spacing w:line="240" w:after="0" w:lineRule="auto" w:before="0"/>
        <w:ind w:firstLine="0" w:left="0" w:right="0"/>
        <w:jc w:val="left"/>
      </w:pPr>
      <w:r>
        <w:rPr>
          <w:rFonts w:eastAsia="Arial" w:ascii="Arial" w:hAnsi="Arial" w:cs="Arial"/>
          <w:sz w:val="22"/>
        </w:rPr>
        <w:t xml:space="preserve">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54" w:author="Kayser, Georgia" w:date="2025-07-17T17:02:00Z" w:initials="KG">
    <w:p w14:paraId="0000004D" w14:textId="0000004D">
      <w:pPr>
        <w:spacing w:line="240" w:after="0" w:lineRule="auto" w:before="0"/>
        <w:ind w:firstLine="0" w:left="0" w:right="0"/>
        <w:jc w:val="left"/>
      </w:pPr>
      <w:r>
        <w:rPr>
          <w:rFonts w:eastAsia="Arial" w:ascii="Arial" w:hAnsi="Arial" w:cs="Arial"/>
          <w:sz w:val="22"/>
        </w:rPr>
        <w:t xml:space="preserve">Jasen</w:t>
      </w:r>
    </w:p>
  </w:comment>
  <w:comment w:id="51" w:author="Suarez, Jose" w:date="2025-06-04T14:41:00Z" w:initials="JS">
    <w:p w14:paraId="0000004E" w14:textId="0000004E">
      <w:pPr>
        <w:spacing w:line="240" w:after="0" w:lineRule="auto" w:before="0"/>
        <w:ind w:firstLine="0" w:left="0" w:right="0"/>
        <w:jc w:val="left"/>
      </w:pPr>
      <w:r>
        <w:rPr>
          <w:rFonts w:eastAsia="Arial" w:ascii="Arial" w:hAnsi="Arial" w:cs="Arial"/>
          <w:sz w:val="22"/>
        </w:rPr>
        <w:t xml:space="preserve">How? What cutoffs were selected. I think using the standard NEPSY cutoffs are not appropriate as that is base on a US normative sample. An internal cutoff is prefered.</w:t>
      </w:r>
    </w:p>
  </w:comment>
  <w:comment w:id="52" w:author="Kayser, Georgia" w:date="2025-07-17T17:02:00Z" w:initials="KG">
    <w:p w14:paraId="0000004F" w14:textId="0000004F">
      <w:pPr>
        <w:spacing w:line="240" w:after="0" w:lineRule="auto" w:before="0"/>
        <w:ind w:firstLine="0" w:left="0" w:right="0"/>
        <w:jc w:val="left"/>
      </w:pPr>
      <w:r>
        <w:rPr>
          <w:rFonts w:eastAsia="Arial" w:ascii="Arial" w:hAnsi="Arial" w:cs="Arial"/>
          <w:sz w:val="22"/>
        </w:rPr>
        <w:t xml:space="preserve">Jasen</w:t>
      </w:r>
    </w:p>
  </w:comment>
  <w:comment w:id="49" w:author="Briana N Chronister" w:date="2024-10-11T14:27:00Z" w:initials="BC">
    <w:p w14:paraId="00000050" w14:textId="00000050">
      <w:pPr>
        <w:spacing w:line="240" w:after="0" w:lineRule="auto" w:before="0"/>
        <w:ind w:firstLine="0" w:left="0" w:right="0"/>
        <w:jc w:val="left"/>
      </w:pPr>
      <w:r>
        <w:rPr>
          <w:rFonts w:eastAsia="Arial" w:ascii="Arial" w:hAnsi="Arial" w:cs="Arial"/>
          <w:sz w:val="22"/>
        </w:rPr>
        <w:t xml:space="preserve">Were there any post hoc tests to see where the differences were between the categories?</w:t>
      </w:r>
    </w:p>
  </w:comment>
  <w:comment w:id="50" w:author="Kayser, Georgia" w:date="2024-10-23T15:20:00Z" w:initials="KG">
    <w:p w14:paraId="00000051" w14:textId="00000051">
      <w:pPr>
        <w:spacing w:line="240" w:after="0" w:lineRule="auto" w:before="0"/>
        <w:ind w:firstLine="0" w:left="0" w:right="0"/>
        <w:jc w:val="left"/>
      </w:pPr>
      <w:r>
        <w:rPr>
          <w:rFonts w:eastAsia="Arial" w:ascii="Arial" w:hAnsi="Arial" w:cs="Arial"/>
          <w:sz w:val="22"/>
        </w:rPr>
        <w:t xml:space="preserve">Jasen question</w:t>
      </w:r>
    </w:p>
  </w:comment>
  <w:comment w:id="48" w:author="Briana N Chronister" w:date="2024-10-11T14:13:00Z" w:initials="BC">
    <w:p w14:paraId="00000052" w14:textId="00000052">
      <w:pPr>
        <w:spacing w:line="240" w:after="0" w:lineRule="auto" w:before="0"/>
        <w:ind w:firstLine="0" w:left="0" w:right="0"/>
        <w:jc w:val="left"/>
      </w:pPr>
      <w:r>
        <w:rPr>
          <w:rFonts w:eastAsia="Arial" w:ascii="Arial" w:hAnsi="Arial" w:cs="Arial"/>
          <w:sz w:val="22"/>
        </w:rPr>
        <w:t xml:space="preserve">This was not described in the methods section. </w:t>
      </w:r>
    </w:p>
  </w:comment>
  <w:comment w:id="45" w:author="Briana N Chronister" w:date="2024-10-11T14:25:00Z" w:initials="BC">
    <w:p w14:paraId="00000053" w14:textId="00000053">
      <w:pPr>
        <w:spacing w:line="240" w:after="0" w:lineRule="auto" w:before="0"/>
        <w:ind w:firstLine="0" w:left="0" w:right="0"/>
        <w:jc w:val="left"/>
      </w:pPr>
      <w:r>
        <w:rPr>
          <w:rFonts w:eastAsia="Arial" w:ascii="Arial" w:hAnsi="Arial" w:cs="Arial"/>
          <w:sz w:val="22"/>
        </w:rPr>
        <w:t xml:space="preserve">Why not run a repeated ANOVA here?</w:t>
      </w:r>
    </w:p>
  </w:comment>
  <w:comment w:id="46" w:author="Kayser, Georgia" w:date="2024-10-23T15:20:00Z" w:initials="KG">
    <w:p w14:paraId="00000054" w14:textId="00000054">
      <w:pPr>
        <w:spacing w:line="240" w:after="0" w:lineRule="auto" w:before="0"/>
        <w:ind w:firstLine="0" w:left="0" w:right="0"/>
        <w:jc w:val="left"/>
      </w:pPr>
      <w:r>
        <w:rPr>
          <w:rFonts w:eastAsia="Arial" w:ascii="Arial" w:hAnsi="Arial" w:cs="Arial"/>
          <w:sz w:val="22"/>
        </w:rPr>
        <w:t xml:space="preserve">Jasen discussion</w:t>
      </w:r>
    </w:p>
  </w:comment>
  <w:comment w:id="47" w:author="Jasen Zhang" w:date="2024-10-29T11:39:00Z" w:initials="JZ">
    <w:p w14:paraId="00000055" w14:textId="00000055">
      <w:pPr>
        <w:spacing w:line="240" w:after="0" w:lineRule="auto" w:before="0"/>
        <w:ind w:firstLine="0" w:left="0" w:right="0"/>
        <w:jc w:val="left"/>
      </w:pPr>
      <w:r>
        <w:rPr>
          <w:rFonts w:eastAsia="Arial" w:ascii="Arial" w:hAnsi="Arial" w:cs="Arial"/>
          <w:sz w:val="22"/>
        </w:rPr>
        <w:t xml:space="preserve">It sounds like we can do two way repeated anova, to stratify by distance quantile AND time. But we can’t do this, because each subject is only in one quantile. </w:t>
      </w:r>
    </w:p>
    <w:p w14:paraId="00000056" w14:textId="00000056">
      <w:pPr>
        <w:spacing w:line="240" w:after="0" w:lineRule="auto" w:before="0"/>
        <w:ind w:firstLine="0" w:left="0" w:right="0"/>
        <w:jc w:val="left"/>
      </w:pPr>
      <w:r>
        <w:rPr>
          <w:rFonts w:eastAsia="Arial" w:ascii="Arial" w:hAnsi="Arial" w:cs="Arial"/>
          <w:sz w:val="22"/>
        </w:rPr>
        <w:t xml:space="preserve"/>
      </w:r>
    </w:p>
    <w:p w14:paraId="00000057" w14:textId="00000057">
      <w:pPr>
        <w:spacing w:line="240" w:after="0" w:lineRule="auto" w:before="0"/>
        <w:ind w:firstLine="0" w:left="0" w:right="0"/>
        <w:jc w:val="left"/>
      </w:pPr>
      <w:r>
        <w:rPr>
          <w:rFonts w:eastAsia="Arial" w:ascii="Arial" w:hAnsi="Arial" w:cs="Arial"/>
          <w:sz w:val="22"/>
        </w:rPr>
        <w:t xml:space="preserve">It’s impossible to measure the interaction effect here.</w:t>
      </w:r>
    </w:p>
  </w:comment>
  <w:comment w:id="43" w:author="Briana N Chronister" w:date="2024-10-11T14:06:00Z" w:initials="BC">
    <w:p w14:paraId="00000058" w14:textId="00000058">
      <w:pPr>
        <w:spacing w:line="240" w:after="0" w:lineRule="auto" w:before="0"/>
        <w:ind w:firstLine="0" w:left="0" w:right="0"/>
        <w:jc w:val="left"/>
      </w:pPr>
      <w:r>
        <w:rPr>
          <w:rFonts w:eastAsia="Arial" w:ascii="Arial" w:hAnsi="Arial" w:cs="Arial"/>
          <w:sz w:val="22"/>
        </w:rPr>
        <w:t xml:space="preserve">Just wanted to confirm whether it log or natural log?</w:t>
      </w:r>
    </w:p>
  </w:comment>
  <w:comment w:id="44" w:author="Jasen Zhang" w:date="2024-10-29T10:04:00Z" w:initials="JZ">
    <w:p w14:paraId="00000059" w14:textId="00000059">
      <w:pPr>
        <w:spacing w:line="240" w:after="0" w:lineRule="auto" w:before="0"/>
        <w:ind w:firstLine="0" w:left="0" w:right="0"/>
        <w:jc w:val="left"/>
      </w:pPr>
      <w:r>
        <w:rPr>
          <w:rFonts w:eastAsia="Arial" w:ascii="Arial" w:hAnsi="Arial" w:cs="Arial"/>
          <w:sz w:val="22"/>
        </w:rPr>
        <w:t xml:space="preserve">Log refers to natural log throughout the paper.</w:t>
      </w:r>
    </w:p>
  </w:comment>
  <w:comment w:id="42" w:author="Suarez, Jose" w:date="2025-06-04T14:40:00Z" w:initials="JS">
    <w:p w14:paraId="0000005A" w14:textId="0000005A">
      <w:pPr>
        <w:spacing w:line="240" w:after="0" w:lineRule="auto" w:before="0"/>
        <w:ind w:firstLine="0" w:left="0" w:right="0"/>
        <w:jc w:val="left"/>
      </w:pPr>
      <w:r>
        <w:rPr>
          <w:rFonts w:eastAsia="Arial" w:ascii="Arial" w:hAnsi="Arial" w:cs="Arial"/>
          <w:sz w:val="22"/>
        </w:rPr>
        <w:t xml:space="preserve">Range does not coincide with methods</w:t>
      </w:r>
    </w:p>
  </w:comment>
  <w:comment w:id="40" w:author="Briana N Chronister" w:date="2024-10-11T14:08:00Z" w:initials="BC">
    <w:p w14:paraId="0000005B" w14:textId="0000005B">
      <w:pPr>
        <w:spacing w:line="240" w:after="0" w:lineRule="auto" w:before="0"/>
        <w:ind w:firstLine="0" w:left="0" w:right="0"/>
        <w:jc w:val="left"/>
      </w:pPr>
      <w:r>
        <w:rPr>
          <w:rFonts w:eastAsia="Arial" w:ascii="Arial" w:hAnsi="Arial" w:cs="Arial"/>
          <w:sz w:val="22"/>
        </w:rPr>
        <w:t xml:space="preserve">I feel like I normally see this referenced as GEE, but fine either way</w:t>
      </w:r>
    </w:p>
  </w:comment>
  <w:comment w:id="41" w:author="Kayser, Georgia" w:date="2025-04-10T14:41:00Z" w:initials="KG">
    <w:p w14:paraId="0000005C" w14:textId="0000005C">
      <w:pPr>
        <w:spacing w:line="240" w:after="0" w:lineRule="auto" w:before="0"/>
        <w:ind w:firstLine="0" w:left="0" w:right="0"/>
        <w:jc w:val="left"/>
      </w:pPr>
      <w:r>
        <w:rPr>
          <w:rFonts w:eastAsia="Arial" w:ascii="Arial" w:hAnsi="Arial" w:cs="Arial"/>
          <w:sz w:val="22"/>
        </w:rPr>
        <w:t xml:space="preserve">Jasen wants to leave it as is. </w:t>
      </w:r>
    </w:p>
  </w:comment>
  <w:comment w:id="38" w:author="Suarez, Jose" w:date="2025-06-04T14:36:00Z" w:initials="JS">
    <w:p w14:paraId="0000005D" w14:textId="0000005D">
      <w:pPr>
        <w:spacing w:line="240" w:after="0" w:lineRule="auto" w:before="0"/>
        <w:ind w:firstLine="0" w:left="0" w:right="0"/>
        <w:jc w:val="left"/>
      </w:pPr>
      <w:r>
        <w:rPr>
          <w:rFonts w:eastAsia="Arial" w:ascii="Arial" w:hAnsi="Arial" w:cs="Arial"/>
          <w:sz w:val="22"/>
        </w:rPr>
        <w:t xml:space="preserve">As with you previous paper, this needs to be switched to GLM or linear regression or preferably robust regression (it handles skewed variables the best). ANOVA is not appropriate</w:t>
      </w:r>
    </w:p>
  </w:comment>
  <w:comment w:id="39" w:author="Kayser, Georgia" w:date="2025-07-17T16:52:00Z" w:initials="KG">
    <w:p w14:paraId="0000005E" w14:textId="0000005E">
      <w:pPr>
        <w:spacing w:line="240" w:after="0" w:lineRule="auto" w:before="0"/>
        <w:ind w:firstLine="0" w:left="0" w:right="0"/>
        <w:jc w:val="left"/>
      </w:pPr>
      <w:r>
        <w:rPr>
          <w:rFonts w:eastAsia="Arial" w:ascii="Arial" w:hAnsi="Arial" w:cs="Arial"/>
          <w:sz w:val="22"/>
        </w:rPr>
        <w:t xml:space="preserve">Jasen</w:t>
      </w:r>
    </w:p>
  </w:comment>
  <w:comment w:id="36" w:author="Briana N Chronister" w:date="2024-10-11T14:08:00Z" w:initials="BC">
    <w:p w14:paraId="0000005F" w14:textId="0000005F">
      <w:pPr>
        <w:spacing w:line="240" w:after="0" w:lineRule="auto" w:before="0"/>
        <w:ind w:firstLine="0" w:left="0" w:right="0"/>
        <w:jc w:val="left"/>
      </w:pPr>
      <w:r>
        <w:rPr>
          <w:rFonts w:eastAsia="Arial" w:ascii="Arial" w:hAnsi="Arial" w:cs="Arial"/>
          <w:sz w:val="22"/>
        </w:rPr>
        <w:t xml:space="preserve">This section is missing a description of what was done for any missing variables. Were they imputed? If so how</w:t>
      </w:r>
    </w:p>
  </w:comment>
  <w:comment w:id="37" w:author="Jasen Zhang" w:date="2024-10-29T09:44:00Z" w:initials="JZ">
    <w:p w14:paraId="00000060" w14:textId="00000060">
      <w:pPr>
        <w:spacing w:line="240" w:after="0" w:lineRule="auto" w:before="0"/>
        <w:ind w:firstLine="0" w:left="0" w:right="0"/>
        <w:jc w:val="left"/>
      </w:pPr>
      <w:r>
        <w:rPr>
          <w:rFonts w:eastAsia="Arial" w:ascii="Arial" w:hAnsi="Arial" w:cs="Arial"/>
          <w:sz w:val="22"/>
        </w:rPr>
        <w:t xml:space="preserve">Subjects with missing values were discarded. </w:t>
      </w:r>
    </w:p>
  </w:comment>
  <w:comment w:id="33" w:author="Briana N Chronister" w:date="2024-10-11T14:07:00Z" w:initials="BC">
    <w:p w14:paraId="00000061" w14:textId="00000061">
      <w:pPr>
        <w:spacing w:line="240" w:after="0" w:lineRule="auto" w:before="0"/>
        <w:ind w:firstLine="0" w:left="0" w:right="0"/>
        <w:jc w:val="left"/>
      </w:pPr>
      <w:r>
        <w:rPr>
          <w:rFonts w:eastAsia="Arial" w:ascii="Arial" w:hAnsi="Arial" w:cs="Arial"/>
          <w:sz w:val="22"/>
        </w:rPr>
        <w:t xml:space="preserve">It would be helpful to include what the date of reference was used to calculate this. </w:t>
      </w:r>
    </w:p>
  </w:comment>
  <w:comment w:id="34" w:author="Kayser, Georgia" w:date="2024-10-23T15:04:00Z" w:initials="KG">
    <w:p w14:paraId="00000062" w14:textId="00000062">
      <w:pPr>
        <w:spacing w:line="240" w:after="0" w:lineRule="auto" w:before="0"/>
        <w:ind w:firstLine="0" w:left="0" w:right="0"/>
        <w:jc w:val="left"/>
      </w:pPr>
      <w:r>
        <w:rPr>
          <w:rFonts w:eastAsia="Arial" w:ascii="Arial" w:hAnsi="Arial" w:cs="Arial"/>
          <w:sz w:val="22"/>
        </w:rPr>
        <w:t xml:space="preserve">Jasen</w:t>
      </w:r>
    </w:p>
  </w:comment>
  <w:comment w:id="35" w:author="Jasen Zhang" w:date="2024-10-29T09:43:00Z" w:initials="JZ">
    <w:p w14:paraId="00000063" w14:textId="00000063">
      <w:pPr>
        <w:spacing w:line="240" w:after="0" w:lineRule="auto" w:before="0"/>
        <w:ind w:firstLine="0" w:left="0" w:right="0"/>
        <w:jc w:val="left"/>
      </w:pPr>
      <w:r>
        <w:rPr>
          <w:rFonts w:eastAsia="Arial" w:ascii="Arial" w:hAnsi="Arial" w:cs="Arial"/>
          <w:sz w:val="22"/>
        </w:rPr>
        <w:t xml:space="preserve">The day of harvest for Mother’s Day depends on when they did the harvesting. I don’t know.</w:t>
      </w:r>
    </w:p>
  </w:comment>
  <w:comment w:id="30" w:author="Briana N Chronister" w:date="2024-10-11T14:03:00Z" w:initials="BC">
    <w:p w14:paraId="00000064" w14:textId="00000064">
      <w:pPr>
        <w:spacing w:line="240" w:after="0" w:lineRule="auto" w:before="0"/>
        <w:ind w:firstLine="0" w:left="0" w:right="0"/>
        <w:jc w:val="left"/>
      </w:pPr>
      <w:r>
        <w:rPr>
          <w:rFonts w:eastAsia="Arial" w:ascii="Arial" w:hAnsi="Arial" w:cs="Arial"/>
          <w:sz w:val="22"/>
        </w:rPr>
        <w:t xml:space="preserve">Is it just an agricultural worker, or “with an agricultural or floricultural worker”</w:t>
      </w:r>
    </w:p>
  </w:comment>
  <w:comment w:id="31" w:author="Kayser, Georgia" w:date="2024-10-23T15:03:00Z" w:initials="KG">
    <w:p w14:paraId="00000065" w14:textId="00000065">
      <w:pPr>
        <w:spacing w:line="240" w:after="0" w:lineRule="auto" w:before="0"/>
        <w:ind w:firstLine="0" w:left="0" w:right="0"/>
        <w:jc w:val="left"/>
      </w:pPr>
      <w:r>
        <w:rPr>
          <w:rFonts w:eastAsia="Arial" w:ascii="Arial" w:hAnsi="Arial" w:cs="Arial"/>
          <w:sz w:val="22"/>
        </w:rPr>
        <w:t xml:space="preserve">Jasen?</w:t>
      </w:r>
    </w:p>
  </w:comment>
  <w:comment w:id="32" w:author="Jasen Zhang" w:date="2024-10-29T09:43:00Z" w:initials="JZ">
    <w:p w14:paraId="00000066" w14:textId="00000066">
      <w:pPr>
        <w:spacing w:line="240" w:after="0" w:lineRule="auto" w:before="0"/>
        <w:ind w:firstLine="0" w:left="0" w:right="0"/>
        <w:jc w:val="left"/>
      </w:pPr>
      <w:r>
        <w:rPr>
          <w:rFonts w:eastAsia="Arial" w:ascii="Arial" w:hAnsi="Arial" w:cs="Arial"/>
          <w:sz w:val="22"/>
        </w:rPr>
        <w:t xml:space="preserve">Agricultural OR floricultural</w:t>
      </w:r>
    </w:p>
  </w:comment>
  <w:comment w:id="29" w:author="Suarez, Jose" w:date="2025-06-04T14:29:00Z" w:initials="JS">
    <w:p w14:paraId="00000067" w14:textId="00000067">
      <w:pPr>
        <w:spacing w:line="240" w:after="0" w:lineRule="auto" w:before="0"/>
        <w:ind w:firstLine="0" w:left="0" w:right="0"/>
        <w:jc w:val="left"/>
      </w:pPr>
      <w:r>
        <w:rPr>
          <w:rFonts w:eastAsia="Arial" w:ascii="Arial" w:hAnsi="Arial" w:cs="Arial"/>
          <w:sz w:val="22"/>
        </w:rPr>
        <w:t xml:space="preserve">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https://doi.org/10.1186/s12942-025-00395-w</w:t>
      </w:r>
    </w:p>
  </w:comment>
  <w:comment w:id="27" w:author="Suarez, Jose" w:date="2025-06-04T14:24:00Z" w:initials="JS">
    <w:p w14:paraId="00000068" w14:textId="00000068">
      <w:pPr>
        <w:spacing w:line="240" w:after="0" w:lineRule="auto" w:before="0"/>
        <w:ind w:firstLine="0" w:left="0" w:right="0"/>
        <w:jc w:val="left"/>
      </w:pPr>
      <w:r>
        <w:rPr>
          <w:rFonts w:eastAsia="Arial" w:ascii="Arial" w:hAnsi="Arial" w:cs="Arial"/>
          <w:sz w:val="22"/>
        </w:rPr>
        <w:t xml:space="preserve">This citation should be added (it is just text right now)</w:t>
      </w:r>
    </w:p>
  </w:comment>
  <w:comment w:id="28" w:author="Kayser, Georgia" w:date="2025-07-17T15:52:00Z" w:initials="KG">
    <w:p w14:paraId="00000069" w14:textId="00000069">
      <w:pPr>
        <w:spacing w:line="240" w:after="0" w:lineRule="auto" w:before="0"/>
        <w:ind w:firstLine="0" w:left="0" w:right="0"/>
        <w:jc w:val="left"/>
      </w:pPr>
      <w:r>
        <w:rPr>
          <w:rFonts w:eastAsia="Arial" w:ascii="Arial" w:hAnsi="Arial" w:cs="Arial"/>
          <w:sz w:val="22"/>
        </w:rPr>
        <w:t xml:space="preserve">It is in the references</w:t>
      </w:r>
    </w:p>
  </w:comment>
  <w:comment w:id="26" w:author="Suarez, Jose" w:date="2025-06-04T14:18:00Z" w:initials="JS">
    <w:p w14:paraId="0000006A" w14:textId="0000006A">
      <w:pPr>
        <w:spacing w:line="240" w:after="0" w:lineRule="auto" w:before="0"/>
        <w:ind w:firstLine="0" w:left="0" w:right="0"/>
        <w:jc w:val="left"/>
      </w:pPr>
      <w:r>
        <w:rPr>
          <w:rFonts w:eastAsia="Arial" w:ascii="Arial" w:hAnsi="Arial" w:cs="Arial"/>
          <w:sz w:val="22"/>
        </w:rPr>
        <w:t xml:space="preserve">Refer to Alexi’s paper as the scale models are different across the exams</w:t>
      </w:r>
    </w:p>
  </w:comment>
  <w:comment w:id="25" w:author="Suarez, Jose" w:date="2025-06-04T14:17:00Z" w:initials="JS">
    <w:p w14:paraId="0000006B" w14:textId="0000006B">
      <w:pPr>
        <w:spacing w:line="240" w:after="0" w:lineRule="auto" w:before="0"/>
        <w:ind w:firstLine="0" w:left="0" w:right="0"/>
        <w:jc w:val="left"/>
      </w:pPr>
      <w:r>
        <w:rPr>
          <w:rFonts w:eastAsia="Arial" w:ascii="Arial" w:hAnsi="Arial" w:cs="Arial"/>
          <w:sz w:val="22"/>
        </w:rPr>
        <w:t xml:space="preserve">This section should be under a different subheading (not Neurobehavior)</w:t>
      </w:r>
    </w:p>
  </w:comment>
  <w:comment w:id="24" w:author="Suarez, Jose" w:date="2025-06-04T14:12:00Z" w:initials="JS">
    <w:p w14:paraId="0000006C" w14:textId="0000006C">
      <w:pPr>
        <w:spacing w:line="240" w:after="0" w:lineRule="auto" w:before="0"/>
        <w:ind w:firstLine="0" w:left="0" w:right="0"/>
        <w:jc w:val="left"/>
      </w:pPr>
      <w:r>
        <w:rPr>
          <w:rFonts w:eastAsia="Arial" w:ascii="Arial" w:hAnsi="Arial" w:cs="Arial"/>
          <w:sz w:val="22"/>
        </w:rPr>
        <w:t xml:space="preserve">Describe which tests needed translation. This has been described in previous papers… Also in the papers, I think we described the translation process and that the publisher had approved the translation we made</w:t>
      </w:r>
    </w:p>
  </w:comment>
  <w:comment w:id="23" w:author="Suarez, Jose" w:date="2025-06-04T14:09:00Z" w:initials="JS">
    <w:p w14:paraId="0000006D" w14:textId="0000006D">
      <w:pPr>
        <w:spacing w:line="240" w:after="0" w:lineRule="auto" w:before="0"/>
        <w:ind w:firstLine="0" w:left="0" w:right="0"/>
        <w:jc w:val="left"/>
      </w:pPr>
      <w:r>
        <w:rPr>
          <w:rFonts w:eastAsia="Arial" w:ascii="Arial" w:hAnsi="Arial" w:cs="Arial"/>
          <w:sz w:val="22"/>
        </w:rPr>
        <w:t xml:space="preserve">Korkman citation has a  † which should be removed</w:t>
      </w:r>
    </w:p>
  </w:comment>
  <w:comment w:id="21" w:author="Suarez, Jose" w:date="2025-06-04T14:08:00Z" w:initials="JS">
    <w:p w14:paraId="0000006E" w14:textId="0000006E">
      <w:pPr>
        <w:spacing w:line="240" w:after="0" w:lineRule="auto" w:before="0"/>
        <w:ind w:firstLine="0" w:left="0" w:right="0"/>
        <w:jc w:val="left"/>
      </w:pPr>
      <w:r>
        <w:rPr>
          <w:rFonts w:eastAsia="Arial" w:ascii="Arial" w:hAnsi="Arial" w:cs="Arial"/>
          <w:sz w:val="22"/>
        </w:rPr>
        <w:t xml:space="preserve">We don’t usually provide this much detail; we simply refer the reader to the appropriate citation for the description (Korkman). Your call</w:t>
      </w:r>
    </w:p>
  </w:comment>
  <w:comment w:id="22" w:author="Kayser, Georgia" w:date="2025-07-17T14:34:00Z" w:initials="KG">
    <w:p w14:paraId="0000006F" w14:textId="0000006F">
      <w:pPr>
        <w:spacing w:line="240" w:after="0" w:lineRule="auto" w:before="0"/>
        <w:ind w:firstLine="0" w:left="0" w:right="0"/>
        <w:jc w:val="left"/>
      </w:pPr>
      <w:r>
        <w:rPr>
          <w:rFonts w:eastAsia="Arial" w:ascii="Arial" w:hAnsi="Arial" w:cs="Arial"/>
          <w:sz w:val="22"/>
        </w:rPr>
        <w:t xml:space="preserve">I like it, as it as it helps explain the measures.  </w:t>
      </w:r>
    </w:p>
  </w:comment>
  <w:comment w:id="19" w:author="Suarez, Jose" w:date="2025-06-04T14:07:00Z" w:initials="JS">
    <w:p w14:paraId="00000070" w14:textId="00000070">
      <w:pPr>
        <w:spacing w:line="240" w:after="0" w:lineRule="auto" w:before="0"/>
        <w:ind w:firstLine="0" w:left="0" w:right="0"/>
        <w:jc w:val="left"/>
      </w:pPr>
      <w:r>
        <w:rPr>
          <w:rFonts w:eastAsia="Arial" w:ascii="Arial" w:hAnsi="Arial" w:cs="Arial"/>
          <w:sz w:val="22"/>
        </w:rPr>
        <w:t xml:space="preserve">Check if your attention and exec score in 2008 includes statue: a_nepsy_st_ss. Same for memory and learning  to include narrative memory a_nepsy_nmfcr</w:t>
      </w:r>
    </w:p>
  </w:comment>
  <w:comment w:id="20" w:author="Kayser, Georgia" w:date="2025-07-17T16:51:00Z" w:initials="KG">
    <w:p w14:paraId="00000071" w14:textId="00000071">
      <w:pPr>
        <w:spacing w:line="240" w:after="0" w:lineRule="auto" w:before="0"/>
        <w:ind w:firstLine="0" w:left="0" w:right="0"/>
        <w:jc w:val="left"/>
      </w:pPr>
      <w:r>
        <w:rPr>
          <w:rFonts w:eastAsia="Arial" w:ascii="Arial" w:hAnsi="Arial" w:cs="Arial"/>
          <w:sz w:val="22"/>
        </w:rPr>
        <w:t xml:space="preserve">Jasen</w:t>
      </w:r>
    </w:p>
  </w:comment>
  <w:comment w:id="18" w:author="Suarez, Jose" w:date="2025-06-04T13:59:00Z" w:initials="JS">
    <w:p w14:paraId="00000072" w14:textId="00000072">
      <w:pPr>
        <w:spacing w:line="240" w:after="0" w:lineRule="auto" w:before="0"/>
        <w:ind w:firstLine="0" w:left="0" w:right="0"/>
        <w:jc w:val="left"/>
      </w:pPr>
      <w:r>
        <w:rPr>
          <w:rFonts w:eastAsia="Arial" w:ascii="Arial" w:hAnsi="Arial" w:cs="Arial"/>
          <w:sz w:val="22"/>
        </w:rPr>
        <w:t xml:space="preserve">Make sure to describe why you are not including sensorimotor in this paper (is it because it was measured only in Exam A?)</w:t>
      </w:r>
    </w:p>
  </w:comment>
  <w:comment w:id="15" w:author="Suarez, Jose" w:date="2025-06-04T14:20:00Z" w:initials="JS">
    <w:p w14:paraId="00000073" w14:textId="00000073">
      <w:pPr>
        <w:spacing w:line="240" w:after="0" w:lineRule="auto" w:before="0"/>
        <w:ind w:firstLine="0" w:left="0" w:right="0"/>
        <w:jc w:val="left"/>
      </w:pPr>
      <w:r>
        <w:rPr>
          <w:rFonts w:eastAsia="Arial" w:ascii="Arial" w:hAnsi="Arial" w:cs="Arial"/>
          <w:sz w:val="22"/>
        </w:rPr>
        <w:t xml:space="preserve">Another subheading could be survey collection. Surveys were used to collect demographic, occupational, and SES</w:t>
      </w:r>
    </w:p>
  </w:comment>
  <w:comment w:id="16" w:author="Suarez, Jose" w:date="2025-06-04T14:20:00Z" w:initials="JS">
    <w:p w14:paraId="00000074" w14:textId="00000074">
      <w:pPr>
        <w:spacing w:line="240" w:after="0" w:lineRule="auto" w:before="0"/>
        <w:ind w:firstLine="0" w:left="0" w:right="0"/>
        <w:jc w:val="left"/>
      </w:pPr>
      <w:r>
        <w:rPr>
          <w:rFonts w:eastAsia="Arial" w:ascii="Arial" w:hAnsi="Arial" w:cs="Arial"/>
          <w:sz w:val="22"/>
        </w:rPr>
        <w:t xml:space="preserve">Surveys wer completed by parents</w:t>
      </w:r>
    </w:p>
  </w:comment>
  <w:comment w:id="17" w:author="Kayser, Georgia" w:date="2025-07-17T20:01:00Z" w:initials="KG">
    <w:p w14:paraId="00000075" w14:textId="00000075">
      <w:pPr>
        <w:spacing w:line="240" w:after="0" w:lineRule="auto" w:before="0"/>
        <w:ind w:firstLine="0" w:left="0" w:right="0"/>
        <w:jc w:val="left"/>
      </w:pPr>
      <w:r>
        <w:rPr>
          <w:rFonts w:eastAsia="Arial" w:ascii="Arial" w:hAnsi="Arial" w:cs="Arial"/>
          <w:sz w:val="22"/>
        </w:rPr>
        <w:t xml:space="preserve">check in  ESPINA paper to see if more summary is needed.</w:t>
      </w:r>
    </w:p>
  </w:comment>
  <w:comment w:id="14" w:author="Suarez, Jose" w:date="2025-06-04T14:18:00Z" w:initials="JS">
    <w:p w14:paraId="00000076" w14:textId="00000076">
      <w:pPr>
        <w:spacing w:line="240" w:after="0" w:lineRule="auto" w:before="0"/>
        <w:ind w:firstLine="0" w:left="0" w:right="0"/>
        <w:jc w:val="left"/>
      </w:pPr>
      <w:r>
        <w:rPr>
          <w:rFonts w:eastAsia="Arial" w:ascii="Arial" w:hAnsi="Arial" w:cs="Arial"/>
          <w:sz w:val="22"/>
        </w:rPr>
        <w:t xml:space="preserve">Refer to Alexi’s paper as the scale models are different across the exams</w:t>
      </w:r>
    </w:p>
  </w:comment>
  <w:comment w:id="13" w:author="Suarez, Jose" w:date="2025-06-04T13:47:00Z" w:initials="JS">
    <w:p w14:paraId="00000077" w14:textId="00000077">
      <w:pPr>
        <w:spacing w:line="240" w:after="0" w:lineRule="auto" w:before="0"/>
        <w:ind w:firstLine="0" w:left="0" w:right="0"/>
        <w:jc w:val="left"/>
      </w:pPr>
      <w:r>
        <w:rPr>
          <w:rFonts w:eastAsia="Arial" w:ascii="Arial" w:hAnsi="Arial" w:cs="Arial"/>
          <w:sz w:val="22"/>
        </w:rPr>
        <w:t xml:space="preserve">Figure is not cited</w:t>
      </w:r>
    </w:p>
  </w:comment>
  <w:comment w:id="12" w:author="Kayser, Georgia" w:date="2025-07-17T16:17:00Z" w:initials="KG">
    <w:p w14:paraId="00000078" w14:textId="00000078">
      <w:pPr>
        <w:spacing w:line="240" w:after="0" w:lineRule="auto" w:before="0"/>
        <w:ind w:firstLine="0" w:left="0" w:right="0"/>
        <w:jc w:val="left"/>
      </w:pPr>
      <w:r>
        <w:rPr>
          <w:rFonts w:eastAsia="Arial" w:ascii="Arial" w:hAnsi="Arial" w:cs="Arial"/>
          <w:sz w:val="22"/>
        </w:rPr>
        <w:t xml:space="preserve">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0000079" w14:textId="00000079">
      <w:pPr>
        <w:spacing w:line="240" w:after="0" w:lineRule="auto" w:before="0"/>
        <w:ind w:firstLine="0" w:left="0" w:right="0"/>
        <w:jc w:val="left"/>
      </w:pPr>
      <w:r>
        <w:rPr>
          <w:rFonts w:eastAsia="Arial" w:ascii="Arial" w:hAnsi="Arial" w:cs="Arial"/>
          <w:sz w:val="22"/>
        </w:rPr>
        <w:t xml:space="preserve"/>
      </w:r>
    </w:p>
  </w:comment>
  <w:comment w:id="11" w:author="Briana N Chronister" w:date="2024-10-11T14:34:00Z" w:initials="BC">
    <w:p w14:paraId="0000007A" w14:textId="0000007A">
      <w:pPr>
        <w:spacing w:line="240" w:after="0" w:lineRule="auto" w:before="0"/>
        <w:ind w:firstLine="0" w:left="0" w:right="0"/>
        <w:jc w:val="left"/>
      </w:pPr>
      <w:r>
        <w:rPr>
          <w:rFonts w:eastAsia="Arial" w:ascii="Arial" w:hAnsi="Arial" w:cs="Arial"/>
          <w:sz w:val="22"/>
        </w:rPr>
        <w:t xml:space="preserve">Since 2016 is included, and additional participants were recruited, these need to be described here. </w:t>
      </w:r>
    </w:p>
  </w:comment>
  <w:comment w:id="10" w:author="Suarez, Jose" w:date="2025-06-04T13:41:00Z" w:initials="JS">
    <w:p w14:paraId="0000007B" w14:textId="0000007B">
      <w:pPr>
        <w:spacing w:line="240" w:after="0" w:lineRule="auto" w:before="0"/>
        <w:ind w:firstLine="0" w:left="0" w:right="0"/>
        <w:jc w:val="left"/>
      </w:pPr>
      <w:r>
        <w:rPr>
          <w:rFonts w:eastAsia="Arial" w:ascii="Arial" w:hAnsi="Arial" w:cs="Arial"/>
          <w:sz w:val="22"/>
        </w:rPr>
        <w:t xml:space="preserve">Our previous papers have a citation for this 21%</w:t>
      </w:r>
    </w:p>
  </w:comment>
  <w:comment w:id="9" w:author="Suarez, Jose" w:date="2025-06-04T13:48:00Z" w:initials="JS">
    <w:p w14:paraId="0000007C" w14:textId="0000007C">
      <w:pPr>
        <w:spacing w:line="240" w:after="0" w:lineRule="auto" w:before="0"/>
        <w:ind w:firstLine="0" w:left="0" w:right="0"/>
        <w:jc w:val="left"/>
      </w:pPr>
      <w:r>
        <w:rPr>
          <w:rFonts w:eastAsia="Arial" w:ascii="Arial" w:hAnsi="Arial" w:cs="Arial"/>
          <w:sz w:val="22"/>
        </w:rPr>
        <w:t xml:space="preserve">Recruitment information of 2016 should be added. This has been published previously (see Briana’s latest paper on herbicides and neurobehavior, which by the way should be cited in the introduction.</w:t>
      </w:r>
    </w:p>
    <w:p w14:paraId="0000007D" w14:textId="0000007D">
      <w:pPr>
        <w:spacing w:line="240" w:after="0" w:lineRule="auto" w:before="0"/>
        <w:ind w:firstLine="0" w:left="0" w:right="0"/>
        <w:jc w:val="left"/>
      </w:pPr>
      <w:r>
        <w:rPr>
          <w:rFonts w:eastAsia="Arial" w:ascii="Arial" w:hAnsi="Arial" w:cs="Arial"/>
          <w:sz w:val="22"/>
        </w:rPr>
        <w:t xml:space="preserve"/>
      </w:r>
    </w:p>
    <w:p w14:paraId="0000007E" w14:textId="0000007E">
      <w:pPr>
        <w:spacing w:line="240" w:after="0" w:lineRule="auto" w:before="0"/>
        <w:ind w:firstLine="0" w:left="0" w:right="0"/>
        <w:jc w:val="left"/>
      </w:pPr>
      <w:r>
        <w:rPr>
          <w:rFonts w:eastAsia="Arial" w:ascii="Arial" w:hAnsi="Arial" w:cs="Arial"/>
          <w:sz w:val="22"/>
        </w:rPr>
        <w:t xml:space="preserve">https://doi.org/10.1289/EHP11383. Epub 2023 Oct 11</w:t>
      </w:r>
    </w:p>
  </w:comment>
  <w:comment w:id="8" w:author="Suarez, Jose" w:date="2025-06-04T13:27:00Z" w:initials="JS">
    <w:p w14:paraId="0000007F" w14:textId="0000007F">
      <w:pPr>
        <w:spacing w:line="240" w:after="0" w:lineRule="auto" w:before="0"/>
        <w:ind w:firstLine="0" w:left="0" w:right="0"/>
        <w:jc w:val="left"/>
      </w:pPr>
      <w:r>
        <w:rPr>
          <w:rFonts w:eastAsia="Arial" w:ascii="Arial" w:hAnsi="Arial" w:cs="Arial"/>
          <w:sz w:val="22"/>
        </w:rPr>
        <w:t xml:space="preserve">https://doi.org/10.1016/j.ijheh.2019.06.001</w:t>
      </w:r>
    </w:p>
    <w:p w14:paraId="00000080" w14:textId="00000080">
      <w:pPr>
        <w:spacing w:line="240" w:after="0" w:lineRule="auto" w:before="0"/>
        <w:ind w:firstLine="0" w:left="0" w:right="0"/>
        <w:jc w:val="left"/>
      </w:pPr>
      <w:r>
        <w:rPr>
          <w:rFonts w:eastAsia="Arial" w:ascii="Arial" w:hAnsi="Arial" w:cs="Arial"/>
          <w:sz w:val="22"/>
        </w:rPr>
        <w:t xml:space="preserve">https://doi.org/10.1007/s12403-020-00361-w </w:t>
      </w:r>
    </w:p>
  </w:comment>
  <w:comment w:id="7" w:author="Suarez, Jose" w:date="2025-06-04T12:13:00Z" w:initials="JS">
    <w:p w14:paraId="00000081" w14:textId="00000081">
      <w:pPr>
        <w:spacing w:line="240" w:after="0" w:lineRule="auto" w:before="0"/>
        <w:ind w:firstLine="0" w:left="0" w:right="0"/>
        <w:jc w:val="left"/>
      </w:pPr>
      <w:r>
        <w:rPr>
          <w:rFonts w:eastAsia="Arial" w:ascii="Arial" w:hAnsi="Arial" w:cs="Arial"/>
          <w:sz w:val="22"/>
        </w:rPr>
        <w:t xml:space="preserve">Clarify… is this during pregnancy?</w:t>
      </w:r>
    </w:p>
  </w:comment>
  <w:comment w:id="6" w:author="Suarez, Jose" w:date="2025-06-04T12:14:00Z" w:initials="JS">
    <w:p w14:paraId="00000082" w14:textId="00000082">
      <w:pPr>
        <w:spacing w:line="240" w:after="0" w:lineRule="auto" w:before="0"/>
        <w:ind w:firstLine="0" w:left="0" w:right="0"/>
        <w:jc w:val="left"/>
      </w:pPr>
      <w:r>
        <w:rPr>
          <w:rFonts w:eastAsia="Arial" w:ascii="Arial" w:hAnsi="Arial" w:cs="Arial"/>
          <w:sz w:val="22"/>
        </w:rPr>
        <w:t xml:space="preserve">OPs are mentioned in this paragraph and also in the previous one. I would merge the OP section and shorten it. </w:t>
      </w:r>
    </w:p>
  </w:comment>
  <w:comment w:id="4" w:author="Briana N Chronister" w:date="2024-10-11T13:44:00Z" w:initials="BC">
    <w:p w14:paraId="00000083" w14:textId="00000083">
      <w:pPr>
        <w:spacing w:line="240" w:after="0" w:lineRule="auto" w:before="0"/>
        <w:ind w:firstLine="0" w:left="0" w:right="0"/>
        <w:jc w:val="left"/>
      </w:pPr>
      <w:r>
        <w:rPr>
          <w:rFonts w:eastAsia="Arial" w:ascii="Arial" w:hAnsi="Arial" w:cs="Arial"/>
          <w:sz w:val="22"/>
        </w:rPr>
        <w:t xml:space="preserve">This might need a citation</w:t>
      </w:r>
    </w:p>
  </w:comment>
  <w:comment w:id="5" w:author="Kayser, Georgia" w:date="2025-07-17T19:59:00Z" w:initials="KG">
    <w:p w14:paraId="00000084" w14:textId="00000084">
      <w:pPr>
        <w:spacing w:line="240" w:after="0" w:lineRule="auto" w:before="0"/>
        <w:ind w:firstLine="0" w:left="0" w:right="0"/>
        <w:jc w:val="left"/>
      </w:pPr>
      <w:r>
        <w:rPr>
          <w:rFonts w:eastAsia="Arial" w:ascii="Arial" w:hAnsi="Arial" w:cs="Arial"/>
          <w:sz w:val="22"/>
        </w:rPr>
        <w:t xml:space="preserve">added</w:t>
      </w:r>
    </w:p>
  </w:comment>
  <w:comment w:id="3" w:author="Briana N Chronister" w:date="2024-10-11T13:38:00Z" w:initials="BC">
    <w:p w14:paraId="00000085" w14:textId="00000085">
      <w:pPr>
        <w:spacing w:line="240" w:after="0" w:lineRule="auto" w:before="0"/>
        <w:ind w:firstLine="0" w:left="0" w:right="0"/>
        <w:jc w:val="left"/>
      </w:pPr>
      <w:r>
        <w:rPr>
          <w:rFonts w:eastAsia="Arial" w:ascii="Arial" w:hAnsi="Arial" w:cs="Arial"/>
          <w:sz w:val="22"/>
        </w:rPr>
        <w:t xml:space="preserve">In the United States?</w:t>
      </w:r>
    </w:p>
  </w:comment>
  <w:comment w:id="2" w:author="Suarez, Jose" w:date="2025-06-04T12:03:00Z" w:initials="JS">
    <w:p w14:paraId="00000086" w14:textId="00000086">
      <w:pPr>
        <w:spacing w:line="240" w:after="0" w:lineRule="auto" w:before="0"/>
        <w:ind w:firstLine="0" w:left="0" w:right="0"/>
        <w:jc w:val="left"/>
      </w:pPr>
      <w:r>
        <w:rPr>
          <w:rFonts w:eastAsia="Arial" w:ascii="Arial" w:hAnsi="Arial" w:cs="Arial"/>
          <w:sz w:val="22"/>
        </w:rPr>
        <w:t xml:space="preserve">Citation: https://pubmed.ncbi.nlm.nih.gov/32798937/</w:t>
      </w:r>
    </w:p>
  </w:comment>
  <w:comment w:id="1" w:author="Suarez, Jose" w:date="2025-06-03T19:25:00Z" w:initials="JS">
    <w:p w14:paraId="00000087" w14:textId="00000087">
      <w:pPr>
        <w:spacing w:line="240" w:after="0" w:lineRule="auto" w:before="0"/>
        <w:ind w:firstLine="0" w:left="0" w:right="0"/>
        <w:jc w:val="left"/>
      </w:pPr>
      <w:r>
        <w:rPr>
          <w:rFonts w:eastAsia="Arial" w:ascii="Arial" w:hAnsi="Arial" w:cs="Arial"/>
          <w:sz w:val="22"/>
        </w:rPr>
        <w:t xml:space="preserve">This is a very small estimate (1/100th of a SD). Can you confirm that the NEPSY score was not log transformed in the models (the meaning of this beta would change if it was). Likewise, was the conversion of the beta (to show per doubling of concentration) of the Nepsy-LN(distance) association done correctly</w:t>
      </w:r>
    </w:p>
  </w:comment>
  <w:comment w:id="0" w:author="Suarez, Jose" w:date="2025-06-03T19:28:00Z" w:initials="JS">
    <w:p w14:paraId="00000088" w14:textId="00000088">
      <w:pPr>
        <w:spacing w:line="240" w:after="0" w:lineRule="auto" w:before="0"/>
        <w:ind w:firstLine="0" w:left="0" w:right="0"/>
        <w:jc w:val="left"/>
      </w:pPr>
      <w:r>
        <w:rPr>
          <w:rFonts w:eastAsia="Arial" w:ascii="Arial" w:hAnsi="Arial" w:cs="Arial"/>
          <w:sz w:val="22"/>
        </w:rPr>
        <w:t xml:space="preserve">Add betas</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uarez, Jose" w:date="2025-06-04T12:17:00Z" w:initials="JS">
    <w:p w14:paraId="00000001" w14:textId="00000001">
      <w:pPr>
        <w:spacing w:line="240" w:after="0" w:lineRule="auto" w:before="0"/>
        <w:ind w:firstLine="0" w:left="0" w:right="0"/>
        <w:jc w:val="left"/>
      </w:pPr>
      <w:r>
        <w:rPr>
          <w:rFonts w:eastAsia="Arial" w:ascii="Arial" w:hAnsi="Arial" w:cs="Arial"/>
          <w:sz w:val="22"/>
        </w:rPr>
        <w:t xml:space="preserve">“Compilador” is just the role of Raul Harari (not his second last name. Should be removed from the citation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1"/>
  <w15:commentEx w15:paraId="00000004" w15:paraIdParent="00000003" w15:done="1"/>
  <w15:commentEx w15:paraId="00000005" w15:done="1"/>
  <w15:commentEx w15:paraId="00000006" w15:paraIdParent="00000005" w15:done="1"/>
  <w15:commentEx w15:paraId="00000007" w15:done="1"/>
  <w15:commentEx w15:paraId="00000008" w15:paraIdParent="00000007" w15:done="1"/>
  <w15:commentEx w15:paraId="00000009" w15:done="1"/>
  <w15:commentEx w15:paraId="0000000A" w15:paraIdParent="00000009" w15:done="1"/>
  <w15:commentEx w15:paraId="0000000B" w15:paraIdParent="00000009" w15:done="1"/>
  <w15:commentEx w15:paraId="0000000C" w15:done="1"/>
  <w15:commentEx w15:paraId="0000000D" w15:done="1"/>
  <w15:commentEx w15:paraId="0000000E" w15:done="0"/>
  <w15:commentEx w15:paraId="0000000F" w15:done="0"/>
  <w15:commentEx w15:paraId="00000010" w15:done="0"/>
  <w15:commentEx w15:paraId="00000011" w15:paraIdParent="00000010" w15:done="0"/>
  <w15:commentEx w15:paraId="00000012" w15:done="0"/>
  <w15:commentEx w15:paraId="00000013" w15:done="0"/>
  <w15:commentEx w15:paraId="00000014" w15:done="0"/>
  <w15:commentEx w15:paraId="00000015" w15:paraIdParent="00000014" w15:done="0"/>
  <w15:commentEx w15:paraId="00000016" w15:done="1"/>
  <w15:commentEx w15:paraId="00000017" w15:paraIdParent="00000016" w15:done="1"/>
  <w15:commentEx w15:paraId="00000018" w15:paraIdParent="00000016" w15:done="1"/>
  <w15:commentEx w15:paraId="00000019" w15:done="1"/>
  <w15:commentEx w15:paraId="0000001A" w15:paraIdParent="00000019" w15:done="1"/>
  <w15:commentEx w15:paraId="0000001B" w15:paraIdParent="00000019" w15:done="1"/>
  <w15:commentEx w15:paraId="0000001C" w15:done="0"/>
  <w15:commentEx w15:paraId="0000001D" w15:paraIdParent="0000001C" w15:done="0"/>
  <w15:commentEx w15:paraId="0000001E" w15:done="1"/>
  <w15:commentEx w15:paraId="0000001F" w15:paraIdParent="0000001E" w15:done="1"/>
  <w15:commentEx w15:paraId="00000020" w15:paraIdParent="0000001E" w15:done="1"/>
  <w15:commentEx w15:paraId="00000021" w15:done="1"/>
  <w15:commentEx w15:paraId="00000022" w15:done="0"/>
  <w15:commentEx w15:paraId="00000023" w15:done="0"/>
  <w15:commentEx w15:paraId="00000024" w15:done="1"/>
  <w15:commentEx w15:paraId="00000025" w15:paraIdParent="00000024" w15:done="1"/>
  <w15:commentEx w15:paraId="00000026" w15:done="1"/>
  <w15:commentEx w15:paraId="00000027" w15:paraIdParent="00000026" w15:done="1"/>
  <w15:commentEx w15:paraId="00000028" w15:done="0"/>
  <w15:commentEx w15:paraId="00000029" w15:paraIdParent="00000028" w15:done="0"/>
  <w15:commentEx w15:paraId="0000002A" w15:paraIdParent="00000028" w15:done="0"/>
  <w15:commentEx w15:paraId="0000002B" w15:done="1"/>
  <w15:commentEx w15:paraId="0000002C" w15:paraIdParent="0000002B" w15:done="1"/>
  <w15:commentEx w15:paraId="0000002D" w15:paraIdParent="0000002B" w15:done="1"/>
  <w15:commentEx w15:paraId="0000002E" w15:done="1"/>
  <w15:commentEx w15:paraId="0000002F" w15:paraIdParent="0000002E" w15:done="1"/>
  <w15:commentEx w15:paraId="00000030" w15:done="1"/>
  <w15:commentEx w15:paraId="00000031" w15:paraIdParent="00000030" w15:done="1"/>
  <w15:commentEx w15:paraId="00000032" w15:paraIdParent="00000030" w15:done="1"/>
  <w15:commentEx w15:paraId="00000033" w15:done="0"/>
  <w15:commentEx w15:paraId="00000034" w15:done="0"/>
  <w15:commentEx w15:paraId="00000035" w15:paraIdParent="00000034" w15:done="0"/>
  <w15:commentEx w15:paraId="00000036" w15:done="0"/>
  <w15:commentEx w15:paraId="00000037" w15:done="0"/>
  <w15:commentEx w15:paraId="00000038" w15:paraIdParent="00000037" w15:done="0"/>
  <w15:commentEx w15:paraId="00000039" w15:done="1"/>
  <w15:commentEx w15:paraId="0000003A" w15:paraIdParent="00000039" w15:done="1"/>
  <w15:commentEx w15:paraId="0000003B" w15:done="0"/>
  <w15:commentEx w15:paraId="0000003C" w15:done="1"/>
  <w15:commentEx w15:paraId="0000003D" w15:paraIdParent="0000003C" w15:done="1"/>
  <w15:commentEx w15:paraId="0000003E" w15:done="1"/>
  <w15:commentEx w15:paraId="0000003F" w15:done="0"/>
  <w15:commentEx w15:paraId="00000040" w15:paraIdParent="0000003F" w15:done="0"/>
  <w15:commentEx w15:paraId="00000043" w15:paraIdParent="0000003F" w15:done="0"/>
  <w15:commentEx w15:paraId="00000044" w15:done="0"/>
  <w15:commentEx w15:paraId="00000045" w15:done="1"/>
  <w15:commentEx w15:paraId="00000046" w15:done="0"/>
  <w15:commentEx w15:paraId="00000047" w15:done="0"/>
  <w15:commentEx w15:paraId="00000048" w15:paraIdParent="00000047" w15:done="0"/>
  <w15:commentEx w15:paraId="00000049" w15:paraIdParent="00000047" w15:done="0"/>
  <w15:commentEx w15:paraId="0000004A" w15:done="0"/>
  <w15:commentEx w15:paraId="0000004B" w15:paraIdParent="0000004A" w15:done="0"/>
  <w15:commentEx w15:paraId="0000004C" w15:done="0"/>
  <w15:commentEx w15:paraId="0000004D" w15:paraIdParent="0000004C" w15:done="0"/>
  <w15:commentEx w15:paraId="0000004E" w15:done="0"/>
  <w15:commentEx w15:paraId="0000004F" w15:paraIdParent="0000004E" w15:done="0"/>
  <w15:commentEx w15:paraId="00000050" w15:done="1"/>
  <w15:commentEx w15:paraId="00000051" w15:paraIdParent="00000050" w15:done="1"/>
  <w15:commentEx w15:paraId="00000052" w15:done="1"/>
  <w15:commentEx w15:paraId="00000053" w15:done="1"/>
  <w15:commentEx w15:paraId="00000054" w15:paraIdParent="00000053" w15:done="1"/>
  <w15:commentEx w15:paraId="00000057" w15:paraIdParent="00000053" w15:done="1"/>
  <w15:commentEx w15:paraId="00000058" w15:done="1"/>
  <w15:commentEx w15:paraId="00000059" w15:paraIdParent="00000058" w15:done="1"/>
  <w15:commentEx w15:paraId="0000005A" w15:done="0"/>
  <w15:commentEx w15:paraId="0000005B" w15:done="1"/>
  <w15:commentEx w15:paraId="0000005C" w15:paraIdParent="0000005B" w15:done="1"/>
  <w15:commentEx w15:paraId="0000005D" w15:done="0"/>
  <w15:commentEx w15:paraId="0000005E" w15:paraIdParent="0000005D" w15:done="0"/>
  <w15:commentEx w15:paraId="0000005F" w15:done="1"/>
  <w15:commentEx w15:paraId="00000060" w15:paraIdParent="0000005F" w15:done="1"/>
  <w15:commentEx w15:paraId="00000061" w15:done="1"/>
  <w15:commentEx w15:paraId="00000062" w15:paraIdParent="00000061" w15:done="1"/>
  <w15:commentEx w15:paraId="00000063" w15:paraIdParent="00000061" w15:done="1"/>
  <w15:commentEx w15:paraId="00000064" w15:done="1"/>
  <w15:commentEx w15:paraId="00000065" w15:paraIdParent="00000064" w15:done="1"/>
  <w15:commentEx w15:paraId="00000066" w15:paraIdParent="00000064" w15:done="1"/>
  <w15:commentEx w15:paraId="00000067" w15:done="0"/>
  <w15:commentEx w15:paraId="00000068" w15:done="1"/>
  <w15:commentEx w15:paraId="00000069" w15:paraIdParent="00000068" w15:done="1"/>
  <w15:commentEx w15:paraId="0000006A" w15:done="0"/>
  <w15:commentEx w15:paraId="0000006B" w15:done="0"/>
  <w15:commentEx w15:paraId="0000006C" w15:done="0"/>
  <w15:commentEx w15:paraId="0000006D" w15:done="1"/>
  <w15:commentEx w15:paraId="0000006E" w15:done="1"/>
  <w15:commentEx w15:paraId="0000006F" w15:paraIdParent="0000006E" w15:done="1"/>
  <w15:commentEx w15:paraId="00000070" w15:done="0"/>
  <w15:commentEx w15:paraId="00000071" w15:paraIdParent="00000070" w15:done="0"/>
  <w15:commentEx w15:paraId="00000072" w15:done="0"/>
  <w15:commentEx w15:paraId="00000073" w15:done="0"/>
  <w15:commentEx w15:paraId="00000074" w15:paraIdParent="00000073" w15:done="0"/>
  <w15:commentEx w15:paraId="00000075" w15:paraIdParent="00000073" w15:done="0"/>
  <w15:commentEx w15:paraId="00000076" w15:done="0"/>
  <w15:commentEx w15:paraId="00000077" w15:done="0"/>
  <w15:commentEx w15:paraId="00000079" w15:done="0"/>
  <w15:commentEx w15:paraId="0000007A" w15:done="1"/>
  <w15:commentEx w15:paraId="0000007B" w15:done="0"/>
  <w15:commentEx w15:paraId="0000007E" w15:done="0"/>
  <w15:commentEx w15:paraId="00000080" w15:done="0"/>
  <w15:commentEx w15:paraId="00000081" w15:done="0"/>
  <w15:commentEx w15:paraId="00000082" w15:done="0"/>
  <w15:commentEx w15:paraId="00000083" w15:done="1"/>
  <w15:commentEx w15:paraId="00000084" w15:paraIdParent="00000083" w15:done="1"/>
  <w15:commentEx w15:paraId="00000085" w15:done="1"/>
  <w15:commentEx w15:paraId="00000086" w15:done="0"/>
  <w15:commentEx w15:paraId="00000087" w15:done="0"/>
  <w15:commentEx w15:paraId="00000088"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F5E6268" w16cex:dateUtc="2025-06-04T23:50:00Z"/>
  <w16cex:commentExtensible w16cex:durableId="1D1054A9" w16cex:dateUtc="2025-06-04T23:34:00Z"/>
  <w16cex:commentExtensible w16cex:durableId="0DCD761C" w16cex:dateUtc="2024-10-11T22:29:00Z"/>
  <w16cex:commentExtensible w16cex:durableId="2AC39399" w16cex:dateUtc="2024-10-23T22:24:00Z"/>
  <w16cex:commentExtensible w16cex:durableId="650F250C" w16cex:dateUtc="2024-10-11T22:19:00Z"/>
  <w16cex:commentExtensible w16cex:durableId="532EB377" w16cex:dateUtc="2024-10-11T23:22:00Z"/>
  <w16cex:commentExtensible w16cex:durableId="567810D9" w16cex:dateUtc="2024-10-11T22:18:00Z"/>
  <w16cex:commentExtensible w16cex:durableId="2AC394F7" w16cex:dateUtc="2024-10-23T22:29:00Z"/>
  <w16cex:commentExtensible w16cex:durableId="6FE8BC98" w16cex:dateUtc="2024-10-11T22:09:00Z"/>
  <w16cex:commentExtensible w16cex:durableId="1C489938" w16cex:dateUtc="2024-10-11T22:10:00Z"/>
  <w16cex:commentExtensible w16cex:durableId="2AE84C83" w16cex:dateUtc="2024-11-20T19:54:00Z"/>
  <w16cex:commentExtensible w16cex:durableId="11C171D4" w16cex:dateUtc="2024-10-11T22:09:00Z"/>
  <w16cex:commentExtensible w16cex:durableId="1883D20A" w16cex:dateUtc="2024-10-11T22:06:00Z"/>
  <w16cex:commentExtensible w16cex:durableId="4B8D46D9" w16cex:dateUtc="2025-06-05T00:40:00Z"/>
  <w16cex:commentExtensible w16cex:durableId="6A75B95D" w16cex:dateUtc="2025-06-05T00:44:00Z"/>
  <w16cex:commentExtensible w16cex:durableId="387B6874" w16cex:dateUtc="2025-06-05T00:42:00Z"/>
  <w16cex:commentExtensible w16cex:durableId="2C23AED0" w16cex:dateUtc="2025-07-18T00:18:00Z"/>
  <w16cex:commentExtensible w16cex:durableId="6370F5FC" w16cex:dateUtc="2025-06-05T00:36:00Z"/>
  <w16cex:commentExtensible w16cex:durableId="596CD9A3" w16cex:dateUtc="2025-06-05T00:35:00Z"/>
  <w16cex:commentExtensible w16cex:durableId="6874CED7" w16cex:dateUtc="2025-06-05T00:32:00Z"/>
  <w16cex:commentExtensible w16cex:durableId="2C23AD59" w16cex:dateUtc="2025-07-18T00:11:00Z"/>
  <w16cex:commentExtensible w16cex:durableId="1511FA8F" w16cex:dateUtc="2024-10-11T21:47:00Z"/>
  <w16cex:commentExtensible w16cex:durableId="4D4041E6" w16cex:dateUtc="2024-10-11T21:53:00Z"/>
  <w16cex:commentExtensible w16cex:durableId="3F7E9DF7" w16cex:dateUtc="2024-10-29T18:03:00Z"/>
  <w16cex:commentExtensible w16cex:durableId="3F867241" w16cex:dateUtc="2024-10-11T21:59:00Z"/>
  <w16cex:commentExtensible w16cex:durableId="2AC3932C" w16cex:dateUtc="2024-10-23T22:22:00Z"/>
  <w16cex:commentExtensible w16cex:durableId="028DDAF9" w16cex:dateUtc="2024-10-29T18:51:00Z"/>
  <w16cex:commentExtensible w16cex:durableId="722D27B7" w16cex:dateUtc="2025-06-04T23:45:00Z"/>
  <w16cex:commentExtensible w16cex:durableId="2C23AC5B" w16cex:dateUtc="2025-07-18T00:07:00Z"/>
  <w16cex:commentExtensible w16cex:durableId="3A0D7958" w16cex:dateUtc="2024-10-11T21:24:00Z"/>
  <w16cex:commentExtensible w16cex:durableId="2AC39322" w16cex:dateUtc="2024-10-23T22:22:00Z"/>
  <w16cex:commentExtensible w16cex:durableId="706E73A7" w16cex:dateUtc="2024-10-29T18:50:00Z"/>
  <w16cex:commentExtensible w16cex:durableId="094DD22C" w16cex:dateUtc="2024-10-11T21:44:00Z"/>
  <w16cex:commentExtensible w16cex:durableId="6FE7396B" w16cex:dateUtc="2025-06-05T00:23:00Z"/>
  <w16cex:commentExtensible w16cex:durableId="39241352" w16cex:dateUtc="2025-06-04T23:49:00Z"/>
  <w16cex:commentExtensible w16cex:durableId="29EEDA77" w16cex:dateUtc="2024-10-11T21:40:00Z"/>
  <w16cex:commentExtensible w16cex:durableId="0DCC3E69" w16cex:dateUtc="2024-10-29T18:49:00Z"/>
  <w16cex:commentExtensible w16cex:durableId="083E3AA3" w16cex:dateUtc="2024-10-11T21:37:00Z"/>
  <w16cex:commentExtensible w16cex:durableId="6D17D8FB" w16cex:dateUtc="2024-10-29T16:54:00Z"/>
  <w16cex:commentExtensible w16cex:durableId="222BBBC0" w16cex:dateUtc="2025-06-04T21:36:00Z"/>
  <w16cex:commentExtensible w16cex:durableId="0E09B19A" w16cex:dateUtc="2025-06-04T21:37:00Z"/>
  <w16cex:commentExtensible w16cex:durableId="2C23AC37" w16cex:dateUtc="2025-07-18T00:07:00Z"/>
  <w16cex:commentExtensible w16cex:durableId="39F4A599" w16cex:dateUtc="2024-10-11T21:36:00Z"/>
  <w16cex:commentExtensible w16cex:durableId="2AC392EE" w16cex:dateUtc="2024-10-23T22:21:00Z"/>
  <w16cex:commentExtensible w16cex:durableId="6A5D15D1" w16cex:dateUtc="2024-10-29T18:40:00Z"/>
  <w16cex:commentExtensible w16cex:durableId="3EF6C5BD" w16cex:dateUtc="2025-06-04T23:39:00Z"/>
  <w16cex:commentExtensible w16cex:durableId="2C2399D3" w16cex:dateUtc="2025-07-17T22:48:00Z"/>
  <w16cex:commentExtensible w16cex:durableId="1C658DD6" w16cex:dateUtc="2024-10-11T22:11:00Z"/>
  <w16cex:commentExtensible w16cex:durableId="500A823F" w16cex:dateUtc="2024-10-11T22:11:00Z"/>
  <w16cex:commentExtensible w16cex:durableId="2AC392E1" w16cex:dateUtc="2024-10-23T22:21:00Z"/>
  <w16cex:commentExtensible w16cex:durableId="5AE21A2C" w16cex:dateUtc="2025-06-04T20:46:00Z"/>
  <w16cex:commentExtensible w16cex:durableId="5C6B67DA" w16cex:dateUtc="2025-06-04T23:47:00Z"/>
  <w16cex:commentExtensible w16cex:durableId="3870985C" w16cex:dateUtc="2025-06-05T00:22:00Z"/>
  <w16cex:commentExtensible w16cex:durableId="667DF11C" w16cex:dateUtc="2025-06-04T23:44:00Z"/>
  <w16cex:commentExtensible w16cex:durableId="134BBD2B" w16cex:dateUtc="2025-06-04T23:41:00Z"/>
  <w16cex:commentExtensible w16cex:durableId="646E7B72" w16cex:dateUtc="2025-06-04T23:43:00Z"/>
  <w16cex:commentExtensible w16cex:durableId="3C3FD720" w16cex:dateUtc="2024-10-11T21:33:00Z"/>
  <w16cex:commentExtensible w16cex:durableId="2AC392CE" w16cex:dateUtc="2024-10-23T22:20:00Z"/>
  <w16cex:commentExtensible w16cex:durableId="5DE54D9C" w16cex:dateUtc="2025-06-04T23:37:00Z"/>
  <w16cex:commentExtensible w16cex:durableId="53D3D8E7" w16cex:dateUtc="2024-10-11T21:27:00Z"/>
  <w16cex:commentExtensible w16cex:durableId="2AC392AE" w16cex:dateUtc="2024-10-23T22:20:00Z"/>
  <w16cex:commentExtensible w16cex:durableId="4AFDB9AB" w16cex:dateUtc="2024-10-11T21:13:00Z"/>
  <w16cex:commentExtensible w16cex:durableId="43CE5ACB" w16cex:dateUtc="2024-10-11T21:25:00Z"/>
  <w16cex:commentExtensible w16cex:durableId="2AC392A4" w16cex:dateUtc="2024-10-23T22:20:00Z"/>
  <w16cex:commentExtensible w16cex:durableId="4BC85637" w16cex:dateUtc="2024-10-29T18:39:00Z"/>
  <w16cex:commentExtensible w16cex:durableId="78B91E86" w16cex:dateUtc="2025-06-04T23:34:00Z"/>
  <w16cex:commentExtensible w16cex:durableId="3A680731" w16cex:dateUtc="2025-06-04T23:36:00Z"/>
  <w16cex:commentExtensible w16cex:durableId="5A9DDF78" w16cex:dateUtc="2025-06-04T23:33:00Z"/>
  <w16cex:commentExtensible w16cex:durableId="1D04AEF8" w16cex:dateUtc="2025-06-04T23:30:00Z"/>
  <w16cex:commentExtensible w16cex:durableId="2C23AB9E" w16cex:dateUtc="2025-07-18T00:04:00Z"/>
  <w16cex:commentExtensible w16cex:durableId="2C23ADA2" w16cex:dateUtc="2025-07-18T00:13:00Z"/>
  <w16cex:commentExtensible w16cex:durableId="3761DD08" w16cex:dateUtc="2025-06-04T23:21:00Z"/>
  <w16cex:commentExtensible w16cex:durableId="05793147" w16cex:dateUtc="2025-06-04T23:21:00Z"/>
  <w16cex:commentExtensible w16cex:durableId="7DE1F6DB" w16cex:dateUtc="2025-06-04T21:44:00Z"/>
  <w16cex:commentExtensible w16cex:durableId="2C23AB37" w16cex:dateUtc="2025-07-18T00:02:00Z"/>
  <w16cex:commentExtensible w16cex:durableId="3E682FB1" w16cex:dateUtc="2025-06-04T21:41:00Z"/>
  <w16cex:commentExtensible w16cex:durableId="2C23AB0A" w16cex:dateUtc="2025-07-18T00:02:00Z"/>
  <w16cex:commentExtensible w16cex:durableId="2BA2579A" w16cex:dateUtc="2024-10-11T21:27:00Z"/>
  <w16cex:commentExtensible w16cex:durableId="2BA25799" w16cex:dateUtc="2024-10-23T22:20:00Z"/>
  <w16cex:commentExtensible w16cex:durableId="2BA25798" w16cex:dateUtc="2024-10-11T21:13:00Z"/>
  <w16cex:commentExtensible w16cex:durableId="2BA2579D" w16cex:dateUtc="2024-10-11T21:25:00Z"/>
  <w16cex:commentExtensible w16cex:durableId="2BA2579C" w16cex:dateUtc="2024-10-23T22:20:00Z"/>
  <w16cex:commentExtensible w16cex:durableId="2BA2579B" w16cex:dateUtc="2024-10-29T18:39:00Z"/>
  <w16cex:commentExtensible w16cex:durableId="14581128" w16cex:dateUtc="2024-10-11T21:06:00Z"/>
  <w16cex:commentExtensible w16cex:durableId="5DE9D0A2" w16cex:dateUtc="2024-10-29T17:04:00Z"/>
  <w16cex:commentExtensible w16cex:durableId="2A1C2D73" w16cex:dateUtc="2025-06-04T21:40:00Z"/>
  <w16cex:commentExtensible w16cex:durableId="580ECDA3" w16cex:dateUtc="2024-10-11T21:08:00Z"/>
  <w16cex:commentExtensible w16cex:durableId="2BA2570C" w16cex:dateUtc="2025-04-10T21:41:00Z"/>
  <w16cex:commentExtensible w16cex:durableId="7A4CC2A7" w16cex:dateUtc="2025-06-04T21:36:00Z"/>
  <w16cex:commentExtensible w16cex:durableId="2C23A8BE" w16cex:dateUtc="2025-07-17T23:52:00Z"/>
  <w16cex:commentExtensible w16cex:durableId="45B73F8D" w16cex:dateUtc="2024-10-11T21:08:00Z"/>
  <w16cex:commentExtensible w16cex:durableId="7ACB2203" w16cex:dateUtc="2024-10-29T16:44:00Z"/>
  <w16cex:commentExtensible w16cex:durableId="7C5307BF" w16cex:dateUtc="2024-10-11T21:07:00Z"/>
  <w16cex:commentExtensible w16cex:durableId="2AC38EE0" w16cex:dateUtc="2024-10-23T22:04:00Z"/>
  <w16cex:commentExtensible w16cex:durableId="7D806EC0" w16cex:dateUtc="2024-10-29T16:43:00Z"/>
  <w16cex:commentExtensible w16cex:durableId="267F485E" w16cex:dateUtc="2024-10-11T21:03:00Z"/>
  <w16cex:commentExtensible w16cex:durableId="2AC38ECD" w16cex:dateUtc="2024-10-23T22:03:00Z"/>
  <w16cex:commentExtensible w16cex:durableId="5C2C4D47" w16cex:dateUtc="2024-10-29T16:43:00Z"/>
  <w16cex:commentExtensible w16cex:durableId="71807F4C" w16cex:dateUtc="2025-06-04T21:29:00Z"/>
  <w16cex:commentExtensible w16cex:durableId="5A910354" w16cex:dateUtc="2025-06-04T21:24:00Z"/>
  <w16cex:commentExtensible w16cex:durableId="2C239ACC" w16cex:dateUtc="2025-07-17T22:52:00Z"/>
  <w16cex:commentExtensible w16cex:durableId="43CADEF0" w16cex:dateUtc="2025-06-04T21:18:00Z"/>
  <w16cex:commentExtensible w16cex:durableId="0BB94551" w16cex:dateUtc="2025-06-04T21:17:00Z"/>
  <w16cex:commentExtensible w16cex:durableId="2BF4F3A3" w16cex:dateUtc="2025-06-04T21:12:00Z"/>
  <w16cex:commentExtensible w16cex:durableId="38AF86AA" w16cex:dateUtc="2025-06-04T21:09:00Z"/>
  <w16cex:commentExtensible w16cex:durableId="22F67523" w16cex:dateUtc="2025-06-04T21:08:00Z"/>
  <w16cex:commentExtensible w16cex:durableId="2C23885D" w16cex:dateUtc="2025-07-17T21:34:00Z"/>
  <w16cex:commentExtensible w16cex:durableId="5C6E85C3" w16cex:dateUtc="2025-06-04T21:07:00Z"/>
  <w16cex:commentExtensible w16cex:durableId="2C23A889" w16cex:dateUtc="2025-07-17T23:51:00Z"/>
  <w16cex:commentExtensible w16cex:durableId="2741700C" w16cex:dateUtc="2025-06-04T20:59:00Z"/>
  <w16cex:commentExtensible w16cex:durableId="5EA13135" w16cex:dateUtc="2025-06-04T21:20:00Z"/>
  <w16cex:commentExtensible w16cex:durableId="4CF79C58" w16cex:dateUtc="2025-06-04T21:20:00Z"/>
  <w16cex:commentExtensible w16cex:durableId="2C23D52B" w16cex:dateUtc="2025-07-18T03:01:00Z"/>
  <w16cex:commentExtensible w16cex:durableId="2C238A9B" w16cex:dateUtc="2025-06-04T21:18:00Z"/>
  <w16cex:commentExtensible w16cex:durableId="36D88534" w16cex:dateUtc="2025-06-04T20:47:00Z"/>
  <w16cex:commentExtensible w16cex:durableId="2C23A0AA" w16cex:dateUtc="2025-07-17T23:17:00Z"/>
  <w16cex:commentExtensible w16cex:durableId="17ED1E55" w16cex:dateUtc="2024-10-11T21:34:00Z"/>
  <w16cex:commentExtensible w16cex:durableId="5E0C35F0" w16cex:dateUtc="2025-06-04T20:41:00Z"/>
  <w16cex:commentExtensible w16cex:durableId="03C6F7FD" w16cex:dateUtc="2025-06-04T20:48:00Z"/>
  <w16cex:commentExtensible w16cex:durableId="414DB581" w16cex:dateUtc="2025-06-04T20:27:00Z"/>
  <w16cex:commentExtensible w16cex:durableId="2F055F1E" w16cex:dateUtc="2025-06-04T19:13:00Z"/>
  <w16cex:commentExtensible w16cex:durableId="647B522D" w16cex:dateUtc="2025-06-04T19:14:00Z"/>
  <w16cex:commentExtensible w16cex:durableId="7B89EC4E" w16cex:dateUtc="2024-10-11T20:44:00Z"/>
  <w16cex:commentExtensible w16cex:durableId="2C23D4A6" w16cex:dateUtc="2025-07-18T02:59:00Z"/>
  <w16cex:commentExtensible w16cex:durableId="4A7ADCEA" w16cex:dateUtc="2024-10-11T20:38:00Z"/>
  <w16cex:commentExtensible w16cex:durableId="447552F2" w16cex:dateUtc="2025-06-04T19:03:00Z"/>
  <w16cex:commentExtensible w16cex:durableId="4C736DC0" w16cex:dateUtc="2025-06-04T02:25:00Z"/>
  <w16cex:commentExtensible w16cex:durableId="5603BA10" w16cex:dateUtc="2025-06-04T02:28: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68F21DB" w16cex:dateUtc="2025-06-04T19:17: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F5E6268"/>
  <w16cid:commentId w16cid:paraId="00000002" w16cid:durableId="1D1054A9"/>
  <w16cid:commentId w16cid:paraId="00000003" w16cid:durableId="0DCD761C"/>
  <w16cid:commentId w16cid:paraId="00000004" w16cid:durableId="2AC39399"/>
  <w16cid:commentId w16cid:paraId="00000005" w16cid:durableId="650F250C"/>
  <w16cid:commentId w16cid:paraId="00000006" w16cid:durableId="532EB377"/>
  <w16cid:commentId w16cid:paraId="00000007" w16cid:durableId="567810D9"/>
  <w16cid:commentId w16cid:paraId="00000008" w16cid:durableId="2AC394F7"/>
  <w16cid:commentId w16cid:paraId="00000009" w16cid:durableId="6FE8BC98"/>
  <w16cid:commentId w16cid:paraId="0000000A" w16cid:durableId="1C489938"/>
  <w16cid:commentId w16cid:paraId="0000000B" w16cid:durableId="2AE84C83"/>
  <w16cid:commentId w16cid:paraId="0000000C" w16cid:durableId="11C171D4"/>
  <w16cid:commentId w16cid:paraId="0000000D" w16cid:durableId="1883D20A"/>
  <w16cid:commentId w16cid:paraId="0000000E" w16cid:durableId="4B8D46D9"/>
  <w16cid:commentId w16cid:paraId="0000000F" w16cid:durableId="6A75B95D"/>
  <w16cid:commentId w16cid:paraId="00000010" w16cid:durableId="387B6874"/>
  <w16cid:commentId w16cid:paraId="00000011" w16cid:durableId="2C23AED0"/>
  <w16cid:commentId w16cid:paraId="00000012" w16cid:durableId="6370F5FC"/>
  <w16cid:commentId w16cid:paraId="00000013" w16cid:durableId="596CD9A3"/>
  <w16cid:commentId w16cid:paraId="00000014" w16cid:durableId="6874CED7"/>
  <w16cid:commentId w16cid:paraId="00000015" w16cid:durableId="2C23AD59"/>
  <w16cid:commentId w16cid:paraId="00000016" w16cid:durableId="1511FA8F"/>
  <w16cid:commentId w16cid:paraId="00000017" w16cid:durableId="4D4041E6"/>
  <w16cid:commentId w16cid:paraId="00000018" w16cid:durableId="3F7E9DF7"/>
  <w16cid:commentId w16cid:paraId="00000019" w16cid:durableId="3F867241"/>
  <w16cid:commentId w16cid:paraId="0000001A" w16cid:durableId="2AC3932C"/>
  <w16cid:commentId w16cid:paraId="0000001B" w16cid:durableId="028DDAF9"/>
  <w16cid:commentId w16cid:paraId="0000001C" w16cid:durableId="722D27B7"/>
  <w16cid:commentId w16cid:paraId="0000001D" w16cid:durableId="2C23AC5B"/>
  <w16cid:commentId w16cid:paraId="0000001E" w16cid:durableId="3A0D7958"/>
  <w16cid:commentId w16cid:paraId="0000001F" w16cid:durableId="2AC39322"/>
  <w16cid:commentId w16cid:paraId="00000020" w16cid:durableId="706E73A7"/>
  <w16cid:commentId w16cid:paraId="00000021" w16cid:durableId="094DD22C"/>
  <w16cid:commentId w16cid:paraId="00000022" w16cid:durableId="6FE7396B"/>
  <w16cid:commentId w16cid:paraId="00000023" w16cid:durableId="39241352"/>
  <w16cid:commentId w16cid:paraId="00000024" w16cid:durableId="29EEDA77"/>
  <w16cid:commentId w16cid:paraId="00000025" w16cid:durableId="0DCC3E69"/>
  <w16cid:commentId w16cid:paraId="00000026" w16cid:durableId="083E3AA3"/>
  <w16cid:commentId w16cid:paraId="00000027" w16cid:durableId="6D17D8FB"/>
  <w16cid:commentId w16cid:paraId="00000028" w16cid:durableId="222BBBC0"/>
  <w16cid:commentId w16cid:paraId="00000029" w16cid:durableId="0E09B19A"/>
  <w16cid:commentId w16cid:paraId="0000002A" w16cid:durableId="2C23AC37"/>
  <w16cid:commentId w16cid:paraId="0000002B" w16cid:durableId="39F4A599"/>
  <w16cid:commentId w16cid:paraId="0000002C" w16cid:durableId="2AC392EE"/>
  <w16cid:commentId w16cid:paraId="0000002D" w16cid:durableId="6A5D15D1"/>
  <w16cid:commentId w16cid:paraId="0000002E" w16cid:durableId="3EF6C5BD"/>
  <w16cid:commentId w16cid:paraId="0000002F" w16cid:durableId="2C2399D3"/>
  <w16cid:commentId w16cid:paraId="00000030" w16cid:durableId="1C658DD6"/>
  <w16cid:commentId w16cid:paraId="00000031" w16cid:durableId="500A823F"/>
  <w16cid:commentId w16cid:paraId="00000032" w16cid:durableId="2AC392E1"/>
  <w16cid:commentId w16cid:paraId="00000033" w16cid:durableId="5AE21A2C"/>
  <w16cid:commentId w16cid:paraId="00000034" w16cid:durableId="5C6B67DA"/>
  <w16cid:commentId w16cid:paraId="00000035" w16cid:durableId="3870985C"/>
  <w16cid:commentId w16cid:paraId="00000036" w16cid:durableId="667DF11C"/>
  <w16cid:commentId w16cid:paraId="00000037" w16cid:durableId="134BBD2B"/>
  <w16cid:commentId w16cid:paraId="00000038" w16cid:durableId="646E7B72"/>
  <w16cid:commentId w16cid:paraId="00000039" w16cid:durableId="3C3FD720"/>
  <w16cid:commentId w16cid:paraId="0000003A" w16cid:durableId="2AC392CE"/>
  <w16cid:commentId w16cid:paraId="0000003B" w16cid:durableId="5DE54D9C"/>
  <w16cid:commentId w16cid:paraId="0000003C" w16cid:durableId="53D3D8E7"/>
  <w16cid:commentId w16cid:paraId="0000003D" w16cid:durableId="2AC392AE"/>
  <w16cid:commentId w16cid:paraId="0000003E" w16cid:durableId="4AFDB9AB"/>
  <w16cid:commentId w16cid:paraId="0000003F" w16cid:durableId="43CE5ACB"/>
  <w16cid:commentId w16cid:paraId="00000040" w16cid:durableId="2AC392A4"/>
  <w16cid:commentId w16cid:paraId="00000043" w16cid:durableId="4BC85637"/>
  <w16cid:commentId w16cid:paraId="00000044" w16cid:durableId="78B91E86"/>
  <w16cid:commentId w16cid:paraId="00000045" w16cid:durableId="3A680731"/>
  <w16cid:commentId w16cid:paraId="00000046" w16cid:durableId="5A9DDF78"/>
  <w16cid:commentId w16cid:paraId="00000047" w16cid:durableId="1D04AEF8"/>
  <w16cid:commentId w16cid:paraId="00000048" w16cid:durableId="2C23AB9E"/>
  <w16cid:commentId w16cid:paraId="00000049" w16cid:durableId="2C23ADA2"/>
  <w16cid:commentId w16cid:paraId="0000004A" w16cid:durableId="3761DD08"/>
  <w16cid:commentId w16cid:paraId="0000004B" w16cid:durableId="05793147"/>
  <w16cid:commentId w16cid:paraId="0000004C" w16cid:durableId="7DE1F6DB"/>
  <w16cid:commentId w16cid:paraId="0000004D" w16cid:durableId="2C23AB37"/>
  <w16cid:commentId w16cid:paraId="0000004E" w16cid:durableId="3E682FB1"/>
  <w16cid:commentId w16cid:paraId="0000004F" w16cid:durableId="2C23AB0A"/>
  <w16cid:commentId w16cid:paraId="00000050" w16cid:durableId="2BA2579A"/>
  <w16cid:commentId w16cid:paraId="00000051" w16cid:durableId="2BA25799"/>
  <w16cid:commentId w16cid:paraId="00000052" w16cid:durableId="2BA25798"/>
  <w16cid:commentId w16cid:paraId="00000053" w16cid:durableId="2BA2579D"/>
  <w16cid:commentId w16cid:paraId="00000054" w16cid:durableId="2BA2579C"/>
  <w16cid:commentId w16cid:paraId="00000057" w16cid:durableId="2BA2579B"/>
  <w16cid:commentId w16cid:paraId="00000058" w16cid:durableId="14581128"/>
  <w16cid:commentId w16cid:paraId="00000059" w16cid:durableId="5DE9D0A2"/>
  <w16cid:commentId w16cid:paraId="0000005A" w16cid:durableId="2A1C2D73"/>
  <w16cid:commentId w16cid:paraId="0000005B" w16cid:durableId="580ECDA3"/>
  <w16cid:commentId w16cid:paraId="0000005C" w16cid:durableId="2BA2570C"/>
  <w16cid:commentId w16cid:paraId="0000005D" w16cid:durableId="7A4CC2A7"/>
  <w16cid:commentId w16cid:paraId="0000005E" w16cid:durableId="2C23A8BE"/>
  <w16cid:commentId w16cid:paraId="0000005F" w16cid:durableId="45B73F8D"/>
  <w16cid:commentId w16cid:paraId="00000060" w16cid:durableId="7ACB2203"/>
  <w16cid:commentId w16cid:paraId="00000061" w16cid:durableId="7C5307BF"/>
  <w16cid:commentId w16cid:paraId="00000062" w16cid:durableId="2AC38EE0"/>
  <w16cid:commentId w16cid:paraId="00000063" w16cid:durableId="7D806EC0"/>
  <w16cid:commentId w16cid:paraId="00000064" w16cid:durableId="267F485E"/>
  <w16cid:commentId w16cid:paraId="00000065" w16cid:durableId="2AC38ECD"/>
  <w16cid:commentId w16cid:paraId="00000066" w16cid:durableId="5C2C4D47"/>
  <w16cid:commentId w16cid:paraId="00000067" w16cid:durableId="71807F4C"/>
  <w16cid:commentId w16cid:paraId="00000068" w16cid:durableId="5A910354"/>
  <w16cid:commentId w16cid:paraId="00000069" w16cid:durableId="2C239ACC"/>
  <w16cid:commentId w16cid:paraId="0000006A" w16cid:durableId="43CADEF0"/>
  <w16cid:commentId w16cid:paraId="0000006B" w16cid:durableId="0BB94551"/>
  <w16cid:commentId w16cid:paraId="0000006C" w16cid:durableId="2BF4F3A3"/>
  <w16cid:commentId w16cid:paraId="0000006D" w16cid:durableId="38AF86AA"/>
  <w16cid:commentId w16cid:paraId="0000006E" w16cid:durableId="22F67523"/>
  <w16cid:commentId w16cid:paraId="0000006F" w16cid:durableId="2C23885D"/>
  <w16cid:commentId w16cid:paraId="00000070" w16cid:durableId="5C6E85C3"/>
  <w16cid:commentId w16cid:paraId="00000071" w16cid:durableId="2C23A889"/>
  <w16cid:commentId w16cid:paraId="00000072" w16cid:durableId="2741700C"/>
  <w16cid:commentId w16cid:paraId="00000073" w16cid:durableId="5EA13135"/>
  <w16cid:commentId w16cid:paraId="00000074" w16cid:durableId="4CF79C58"/>
  <w16cid:commentId w16cid:paraId="00000075" w16cid:durableId="2C23D52B"/>
  <w16cid:commentId w16cid:paraId="00000076" w16cid:durableId="2C238A9B"/>
  <w16cid:commentId w16cid:paraId="00000077" w16cid:durableId="36D88534"/>
  <w16cid:commentId w16cid:paraId="00000079" w16cid:durableId="2C23A0AA"/>
  <w16cid:commentId w16cid:paraId="0000007A" w16cid:durableId="17ED1E55"/>
  <w16cid:commentId w16cid:paraId="0000007B" w16cid:durableId="5E0C35F0"/>
  <w16cid:commentId w16cid:paraId="0000007E" w16cid:durableId="03C6F7FD"/>
  <w16cid:commentId w16cid:paraId="00000080" w16cid:durableId="414DB581"/>
  <w16cid:commentId w16cid:paraId="00000081" w16cid:durableId="2F055F1E"/>
  <w16cid:commentId w16cid:paraId="00000082" w16cid:durableId="647B522D"/>
  <w16cid:commentId w16cid:paraId="00000083" w16cid:durableId="7B89EC4E"/>
  <w16cid:commentId w16cid:paraId="00000084" w16cid:durableId="2C23D4A6"/>
  <w16cid:commentId w16cid:paraId="00000085" w16cid:durableId="4A7ADCEA"/>
  <w16cid:commentId w16cid:paraId="00000086" w16cid:durableId="447552F2"/>
  <w16cid:commentId w16cid:paraId="00000087" w16cid:durableId="4C736DC0"/>
  <w16cid:commentId w16cid:paraId="00000088" w16cid:durableId="5603BA10"/>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68F21D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Georgia">
    <w:panose1 w:val="02020502060505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69150821"/>
      <w:docPartObj>
        <w:docPartGallery w:val="Page Numbers (Top of Page)"/>
        <w:docPartUnique w:val="true"/>
      </w:docPartObj>
      <w:rPr/>
    </w:sdtPr>
    <w:sdtContent>
      <w:p>
        <w:pPr>
          <w:pStyle w:val="783"/>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78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lvl w:ilvl="0">
      <w:isLgl w:val="false"/>
      <w:lvlJc w:val="left"/>
      <w:lvlText w:val="-"/>
      <w:numFmt w:val="bullet"/>
      <w:pPr>
        <w:pBdr/>
        <w:spacing/>
        <w:ind w:hanging="360" w:left="720"/>
      </w:pPr>
      <w:rPr>
        <w:rFonts w:hint="default" w:ascii="Times New Roman" w:hAnsi="Times New Roman" w:cs="Times New Roman" w:eastAsiaTheme="minorEastAsia"/>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lvl w:ilvl="0">
      <w:isLgl w:val="false"/>
      <w:lvlJc w:val="left"/>
      <w:lvlText w:val=""/>
      <w:numFmt w:val="bullet"/>
      <w:pPr>
        <w:pBdr/>
        <w:spacing/>
        <w:ind w:hanging="360" w:left="720"/>
      </w:pPr>
      <w:rPr>
        <w:rFonts w:hint="default" w:ascii="Symbol" w:hAnsi="Symbol" w:cs="Times New Roman"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lvl w:ilvl="0">
      <w:isLgl w:val="false"/>
      <w:lvlJc w:val="left"/>
      <w:lvlText w:val="-"/>
      <w:numFmt w:val="bullet"/>
      <w:pPr>
        <w:pBdr/>
        <w:spacing/>
        <w:ind w:hanging="360" w:left="720"/>
      </w:pPr>
      <w:rPr>
        <w:rFonts w:hint="default" w:ascii="Times New Roman" w:hAnsi="Times New Roman" w:cs="Times New Roman"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lvl w:ilvl="0">
      <w:isLgl w:val="false"/>
      <w:lvlJc w:val="left"/>
      <w:lvlText w:val="-"/>
      <w:numFmt w:val="bullet"/>
      <w:pPr>
        <w:pBdr/>
        <w:spacing/>
        <w:ind w:hanging="360" w:left="720"/>
      </w:pPr>
      <w:rPr>
        <w:rFonts w:hint="default" w:ascii="Times New Roman" w:hAnsi="Times New Roman" w:cs="Times New Roman" w:eastAsiaTheme="minorEastAsia"/>
      </w:rPr>
      <w:start w:val="50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360" w:left="720"/>
      </w:pPr>
      <w:rPr>
        <w:rFonts w:hint="default"/>
      </w:rPr>
      <w:start w:val="3"/>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6"/>
  </w:num>
  <w:num w:numId="2">
    <w:abstractNumId w:val="0"/>
  </w:num>
  <w:num w:numId="3">
    <w:abstractNumId w:val="4"/>
  </w:num>
  <w:num w:numId="4">
    <w:abstractNumId w:val="3"/>
  </w:num>
  <w:num w:numId="5">
    <w:abstractNumId w:val="1"/>
  </w:num>
  <w:num w:numId="6">
    <w:abstractNumId w:val="12"/>
  </w:num>
  <w:num w:numId="7">
    <w:abstractNumId w:val="13"/>
  </w:num>
  <w:num w:numId="8">
    <w:abstractNumId w:val="9"/>
  </w:num>
  <w:num w:numId="9">
    <w:abstractNumId w:val="2"/>
  </w:num>
  <w:num w:numId="10">
    <w:abstractNumId w:val="7"/>
  </w:num>
  <w:num w:numId="11">
    <w:abstractNumId w:val="15"/>
  </w:num>
  <w:num w:numId="12">
    <w:abstractNumId w:val="11"/>
  </w:num>
  <w:num w:numId="13">
    <w:abstractNumId w:val="5"/>
  </w:num>
  <w:num w:numId="14">
    <w:abstractNumId w:val="8"/>
  </w:num>
  <w:num w:numId="15">
    <w:abstractNumId w:val="14"/>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ayser, Georgia">
    <w15:presenceInfo w15:providerId="AD" w15:userId="S::gkayser@health.ucsd.edu::278e8b28-a7b5-4f41-ae4d-1260bbdb73a4"/>
  </w15:person>
  <w15:person w15:author="Briana N Chronister">
    <w15:presenceInfo w15:providerId="AD" w15:userId="S::bcortez@health.ucsd.edu::57f45233-3ee9-4adb-9cd4-a733d86f5de9"/>
  </w15:person>
  <w15:person w15:author="Jasen Zhang">
    <w15:presenceInfo w15:providerId="AD" w15:userId="S::jasenzhang@PersonalMicrosoftSoftware.ucla.edu::523e05bb-596e-44d8-85cb-e66937cbe58d"/>
  </w15:person>
  <w15:person w15:author="Suarez, Jose">
    <w15:presenceInfo w15:providerId="AD" w15:userId="S::jrsuarez@health.ucsd.edu::94bb3ee5-b849-4c4f-b109-170eb7673252"/>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arez, Jose">
    <w15:presenceInfo w15:providerId="AD" w15:userId="S::jrsuarez@health.ucsd.edu::94bb3ee5-b849-4c4f-b109-170eb7673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EastAsia"/>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56"/>
    <w:next w:val="75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56"/>
    <w:next w:val="75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56"/>
    <w:next w:val="756"/>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63"/>
    <w:link w:val="757"/>
    <w:uiPriority w:val="9"/>
    <w:pPr>
      <w:pBdr/>
      <w:spacing/>
      <w:ind/>
    </w:pPr>
    <w:rPr>
      <w:rFonts w:ascii="Arial" w:hAnsi="Arial" w:eastAsia="Arial" w:cs="Arial"/>
      <w:color w:val="0f4761" w:themeColor="accent1" w:themeShade="BF"/>
      <w:sz w:val="40"/>
      <w:szCs w:val="40"/>
    </w:rPr>
  </w:style>
  <w:style w:type="character" w:styleId="150">
    <w:name w:val="Heading 2 Char"/>
    <w:basedOn w:val="763"/>
    <w:link w:val="758"/>
    <w:uiPriority w:val="9"/>
    <w:pPr>
      <w:pBdr/>
      <w:spacing/>
      <w:ind/>
    </w:pPr>
    <w:rPr>
      <w:rFonts w:ascii="Arial" w:hAnsi="Arial" w:eastAsia="Arial" w:cs="Arial"/>
      <w:color w:val="0f4761" w:themeColor="accent1" w:themeShade="BF"/>
      <w:sz w:val="32"/>
      <w:szCs w:val="32"/>
    </w:rPr>
  </w:style>
  <w:style w:type="character" w:styleId="151">
    <w:name w:val="Heading 3 Char"/>
    <w:basedOn w:val="763"/>
    <w:link w:val="759"/>
    <w:uiPriority w:val="9"/>
    <w:pPr>
      <w:pBdr/>
      <w:spacing/>
      <w:ind/>
    </w:pPr>
    <w:rPr>
      <w:rFonts w:ascii="Arial" w:hAnsi="Arial" w:eastAsia="Arial" w:cs="Arial"/>
      <w:color w:val="0f4761" w:themeColor="accent1" w:themeShade="BF"/>
      <w:sz w:val="28"/>
      <w:szCs w:val="28"/>
    </w:rPr>
  </w:style>
  <w:style w:type="character" w:styleId="152">
    <w:name w:val="Heading 4 Char"/>
    <w:basedOn w:val="763"/>
    <w:link w:val="760"/>
    <w:uiPriority w:val="9"/>
    <w:pPr>
      <w:pBdr/>
      <w:spacing/>
      <w:ind/>
    </w:pPr>
    <w:rPr>
      <w:rFonts w:ascii="Arial" w:hAnsi="Arial" w:eastAsia="Arial" w:cs="Arial"/>
      <w:i/>
      <w:iCs/>
      <w:color w:val="0f4761" w:themeColor="accent1" w:themeShade="BF"/>
    </w:rPr>
  </w:style>
  <w:style w:type="character" w:styleId="153">
    <w:name w:val="Heading 5 Char"/>
    <w:basedOn w:val="763"/>
    <w:link w:val="761"/>
    <w:uiPriority w:val="9"/>
    <w:pPr>
      <w:pBdr/>
      <w:spacing/>
      <w:ind/>
    </w:pPr>
    <w:rPr>
      <w:rFonts w:ascii="Arial" w:hAnsi="Arial" w:eastAsia="Arial" w:cs="Arial"/>
      <w:color w:val="0f4761" w:themeColor="accent1" w:themeShade="BF"/>
    </w:rPr>
  </w:style>
  <w:style w:type="character" w:styleId="154">
    <w:name w:val="Heading 6 Char"/>
    <w:basedOn w:val="763"/>
    <w:link w:val="762"/>
    <w:uiPriority w:val="9"/>
    <w:pPr>
      <w:pBdr/>
      <w:spacing/>
      <w:ind/>
    </w:pPr>
    <w:rPr>
      <w:rFonts w:ascii="Arial" w:hAnsi="Arial" w:eastAsia="Arial" w:cs="Arial"/>
      <w:i/>
      <w:iCs/>
      <w:color w:val="595959" w:themeColor="text1" w:themeTint="A6"/>
    </w:rPr>
  </w:style>
  <w:style w:type="character" w:styleId="155">
    <w:name w:val="Heading 7 Char"/>
    <w:basedOn w:val="763"/>
    <w:link w:val="144"/>
    <w:uiPriority w:val="9"/>
    <w:pPr>
      <w:pBdr/>
      <w:spacing/>
      <w:ind/>
    </w:pPr>
    <w:rPr>
      <w:rFonts w:ascii="Arial" w:hAnsi="Arial" w:eastAsia="Arial" w:cs="Arial"/>
      <w:color w:val="595959" w:themeColor="text1" w:themeTint="A6"/>
    </w:rPr>
  </w:style>
  <w:style w:type="character" w:styleId="156">
    <w:name w:val="Heading 8 Char"/>
    <w:basedOn w:val="763"/>
    <w:link w:val="145"/>
    <w:uiPriority w:val="9"/>
    <w:pPr>
      <w:pBdr/>
      <w:spacing/>
      <w:ind/>
    </w:pPr>
    <w:rPr>
      <w:rFonts w:ascii="Arial" w:hAnsi="Arial" w:eastAsia="Arial" w:cs="Arial"/>
      <w:i/>
      <w:iCs/>
      <w:color w:val="272727" w:themeColor="text1" w:themeTint="D8"/>
    </w:rPr>
  </w:style>
  <w:style w:type="character" w:styleId="157">
    <w:name w:val="Heading 9 Char"/>
    <w:basedOn w:val="763"/>
    <w:link w:val="146"/>
    <w:uiPriority w:val="9"/>
    <w:pPr>
      <w:pBdr/>
      <w:spacing/>
      <w:ind/>
    </w:pPr>
    <w:rPr>
      <w:rFonts w:ascii="Arial" w:hAnsi="Arial" w:eastAsia="Arial" w:cs="Arial"/>
      <w:i/>
      <w:iCs/>
      <w:color w:val="272727" w:themeColor="text1" w:themeTint="D8"/>
    </w:rPr>
  </w:style>
  <w:style w:type="character" w:styleId="159">
    <w:name w:val="Title Char"/>
    <w:basedOn w:val="763"/>
    <w:link w:val="766"/>
    <w:uiPriority w:val="10"/>
    <w:pPr>
      <w:pBdr/>
      <w:spacing/>
      <w:ind/>
    </w:pPr>
    <w:rPr>
      <w:rFonts w:ascii="Arial" w:hAnsi="Arial" w:eastAsia="Arial" w:cs="Arial"/>
      <w:spacing w:val="-10"/>
      <w:sz w:val="56"/>
      <w:szCs w:val="56"/>
    </w:rPr>
  </w:style>
  <w:style w:type="character" w:styleId="161">
    <w:name w:val="Subtitle Char"/>
    <w:basedOn w:val="763"/>
    <w:link w:val="779"/>
    <w:uiPriority w:val="11"/>
    <w:pPr>
      <w:pBdr/>
      <w:spacing/>
      <w:ind/>
    </w:pPr>
    <w:rPr>
      <w:color w:val="595959" w:themeColor="text1" w:themeTint="A6"/>
      <w:spacing w:val="15"/>
      <w:sz w:val="28"/>
      <w:szCs w:val="28"/>
    </w:rPr>
  </w:style>
  <w:style w:type="paragraph" w:styleId="162">
    <w:name w:val="Quote"/>
    <w:basedOn w:val="756"/>
    <w:next w:val="756"/>
    <w:link w:val="163"/>
    <w:uiPriority w:val="29"/>
    <w:qFormat/>
    <w:pPr>
      <w:pBdr/>
      <w:spacing w:before="160"/>
      <w:ind/>
      <w:jc w:val="center"/>
    </w:pPr>
    <w:rPr>
      <w:i/>
      <w:iCs/>
      <w:color w:val="404040" w:themeColor="text1" w:themeTint="BF"/>
    </w:rPr>
  </w:style>
  <w:style w:type="character" w:styleId="163">
    <w:name w:val="Quote Char"/>
    <w:basedOn w:val="763"/>
    <w:link w:val="162"/>
    <w:uiPriority w:val="29"/>
    <w:pPr>
      <w:pBdr/>
      <w:spacing/>
      <w:ind/>
    </w:pPr>
    <w:rPr>
      <w:i/>
      <w:iCs/>
      <w:color w:val="404040" w:themeColor="text1" w:themeTint="BF"/>
    </w:rPr>
  </w:style>
  <w:style w:type="character" w:styleId="165">
    <w:name w:val="Intense Emphasis"/>
    <w:basedOn w:val="763"/>
    <w:uiPriority w:val="21"/>
    <w:qFormat/>
    <w:pPr>
      <w:pBdr/>
      <w:spacing/>
      <w:ind/>
    </w:pPr>
    <w:rPr>
      <w:i/>
      <w:iCs/>
      <w:color w:val="0f4761" w:themeColor="accent1" w:themeShade="BF"/>
    </w:rPr>
  </w:style>
  <w:style w:type="paragraph" w:styleId="166">
    <w:name w:val="Intense Quote"/>
    <w:basedOn w:val="756"/>
    <w:next w:val="75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63"/>
    <w:link w:val="166"/>
    <w:uiPriority w:val="30"/>
    <w:pPr>
      <w:pBdr/>
      <w:spacing/>
      <w:ind/>
    </w:pPr>
    <w:rPr>
      <w:i/>
      <w:iCs/>
      <w:color w:val="0f4761" w:themeColor="accent1" w:themeShade="BF"/>
    </w:rPr>
  </w:style>
  <w:style w:type="character" w:styleId="168">
    <w:name w:val="Intense Reference"/>
    <w:basedOn w:val="763"/>
    <w:uiPriority w:val="32"/>
    <w:qFormat/>
    <w:pPr>
      <w:pBdr/>
      <w:spacing/>
      <w:ind/>
    </w:pPr>
    <w:rPr>
      <w:b/>
      <w:bCs/>
      <w:smallCaps/>
      <w:color w:val="0f4761" w:themeColor="accent1" w:themeShade="BF"/>
      <w:spacing w:val="5"/>
    </w:rPr>
  </w:style>
  <w:style w:type="paragraph" w:styleId="169">
    <w:name w:val="No Spacing"/>
    <w:basedOn w:val="756"/>
    <w:uiPriority w:val="1"/>
    <w:qFormat/>
    <w:pPr>
      <w:pBdr/>
      <w:spacing w:after="0" w:line="240" w:lineRule="auto"/>
      <w:ind/>
    </w:pPr>
  </w:style>
  <w:style w:type="character" w:styleId="170">
    <w:name w:val="Subtle Emphasis"/>
    <w:basedOn w:val="763"/>
    <w:uiPriority w:val="19"/>
    <w:qFormat/>
    <w:pPr>
      <w:pBdr/>
      <w:spacing/>
      <w:ind/>
    </w:pPr>
    <w:rPr>
      <w:i/>
      <w:iCs/>
      <w:color w:val="404040" w:themeColor="text1" w:themeTint="BF"/>
    </w:rPr>
  </w:style>
  <w:style w:type="character" w:styleId="171">
    <w:name w:val="Emphasis"/>
    <w:basedOn w:val="763"/>
    <w:uiPriority w:val="20"/>
    <w:qFormat/>
    <w:pPr>
      <w:pBdr/>
      <w:spacing/>
      <w:ind/>
    </w:pPr>
    <w:rPr>
      <w:i/>
      <w:iCs/>
    </w:rPr>
  </w:style>
  <w:style w:type="character" w:styleId="172">
    <w:name w:val="Strong"/>
    <w:basedOn w:val="763"/>
    <w:uiPriority w:val="22"/>
    <w:qFormat/>
    <w:pPr>
      <w:pBdr/>
      <w:spacing/>
      <w:ind/>
    </w:pPr>
    <w:rPr>
      <w:b/>
      <w:bCs/>
    </w:rPr>
  </w:style>
  <w:style w:type="character" w:styleId="173">
    <w:name w:val="Subtle Reference"/>
    <w:basedOn w:val="763"/>
    <w:uiPriority w:val="31"/>
    <w:qFormat/>
    <w:pPr>
      <w:pBdr/>
      <w:spacing/>
      <w:ind/>
    </w:pPr>
    <w:rPr>
      <w:smallCaps/>
      <w:color w:val="5a5a5a" w:themeColor="text1" w:themeTint="A5"/>
    </w:rPr>
  </w:style>
  <w:style w:type="character" w:styleId="174">
    <w:name w:val="Book Title"/>
    <w:basedOn w:val="763"/>
    <w:uiPriority w:val="33"/>
    <w:qFormat/>
    <w:pPr>
      <w:pBdr/>
      <w:spacing/>
      <w:ind/>
    </w:pPr>
    <w:rPr>
      <w:b/>
      <w:bCs/>
      <w:i/>
      <w:iCs/>
      <w:spacing w:val="5"/>
    </w:rPr>
  </w:style>
  <w:style w:type="paragraph" w:styleId="179">
    <w:name w:val="Caption"/>
    <w:basedOn w:val="756"/>
    <w:next w:val="756"/>
    <w:uiPriority w:val="35"/>
    <w:unhideWhenUsed/>
    <w:qFormat/>
    <w:pPr>
      <w:pBdr/>
      <w:spacing w:after="200" w:line="240" w:lineRule="auto"/>
      <w:ind/>
    </w:pPr>
    <w:rPr>
      <w:i/>
      <w:iCs/>
      <w:color w:val="0e2841" w:themeColor="text2"/>
      <w:sz w:val="18"/>
      <w:szCs w:val="18"/>
    </w:rPr>
  </w:style>
  <w:style w:type="paragraph" w:styleId="180">
    <w:name w:val="footnote text"/>
    <w:basedOn w:val="756"/>
    <w:link w:val="181"/>
    <w:uiPriority w:val="99"/>
    <w:semiHidden/>
    <w:unhideWhenUsed/>
    <w:pPr>
      <w:pBdr/>
      <w:spacing w:after="0" w:line="240" w:lineRule="auto"/>
      <w:ind/>
    </w:pPr>
    <w:rPr>
      <w:sz w:val="20"/>
      <w:szCs w:val="20"/>
    </w:rPr>
  </w:style>
  <w:style w:type="character" w:styleId="181">
    <w:name w:val="Footnote Text Char"/>
    <w:basedOn w:val="763"/>
    <w:link w:val="180"/>
    <w:uiPriority w:val="99"/>
    <w:semiHidden/>
    <w:pPr>
      <w:pBdr/>
      <w:spacing/>
      <w:ind/>
    </w:pPr>
    <w:rPr>
      <w:sz w:val="20"/>
      <w:szCs w:val="20"/>
    </w:rPr>
  </w:style>
  <w:style w:type="character" w:styleId="182">
    <w:name w:val="footnote reference"/>
    <w:basedOn w:val="763"/>
    <w:uiPriority w:val="99"/>
    <w:semiHidden/>
    <w:unhideWhenUsed/>
    <w:pPr>
      <w:pBdr/>
      <w:spacing/>
      <w:ind/>
    </w:pPr>
    <w:rPr>
      <w:vertAlign w:val="superscript"/>
    </w:rPr>
  </w:style>
  <w:style w:type="paragraph" w:styleId="183">
    <w:name w:val="endnote text"/>
    <w:basedOn w:val="756"/>
    <w:link w:val="184"/>
    <w:uiPriority w:val="99"/>
    <w:semiHidden/>
    <w:unhideWhenUsed/>
    <w:pPr>
      <w:pBdr/>
      <w:spacing w:after="0" w:line="240" w:lineRule="auto"/>
      <w:ind/>
    </w:pPr>
    <w:rPr>
      <w:sz w:val="20"/>
      <w:szCs w:val="20"/>
    </w:rPr>
  </w:style>
  <w:style w:type="character" w:styleId="184">
    <w:name w:val="Endnote Text Char"/>
    <w:basedOn w:val="763"/>
    <w:link w:val="183"/>
    <w:uiPriority w:val="99"/>
    <w:semiHidden/>
    <w:pPr>
      <w:pBdr/>
      <w:spacing/>
      <w:ind/>
    </w:pPr>
    <w:rPr>
      <w:sz w:val="20"/>
      <w:szCs w:val="20"/>
    </w:rPr>
  </w:style>
  <w:style w:type="character" w:styleId="185">
    <w:name w:val="endnote reference"/>
    <w:basedOn w:val="763"/>
    <w:uiPriority w:val="99"/>
    <w:semiHidden/>
    <w:unhideWhenUsed/>
    <w:pPr>
      <w:pBdr/>
      <w:spacing/>
      <w:ind/>
    </w:pPr>
    <w:rPr>
      <w:vertAlign w:val="superscript"/>
    </w:rPr>
  </w:style>
  <w:style w:type="paragraph" w:styleId="188">
    <w:name w:val="toc 1"/>
    <w:basedOn w:val="756"/>
    <w:next w:val="756"/>
    <w:uiPriority w:val="39"/>
    <w:unhideWhenUsed/>
    <w:pPr>
      <w:pBdr/>
      <w:spacing w:after="100"/>
      <w:ind/>
    </w:pPr>
  </w:style>
  <w:style w:type="paragraph" w:styleId="189">
    <w:name w:val="toc 2"/>
    <w:basedOn w:val="756"/>
    <w:next w:val="756"/>
    <w:uiPriority w:val="39"/>
    <w:unhideWhenUsed/>
    <w:pPr>
      <w:pBdr/>
      <w:spacing w:after="100"/>
      <w:ind w:left="220"/>
    </w:pPr>
  </w:style>
  <w:style w:type="paragraph" w:styleId="190">
    <w:name w:val="toc 3"/>
    <w:basedOn w:val="756"/>
    <w:next w:val="756"/>
    <w:uiPriority w:val="39"/>
    <w:unhideWhenUsed/>
    <w:pPr>
      <w:pBdr/>
      <w:spacing w:after="100"/>
      <w:ind w:left="440"/>
    </w:pPr>
  </w:style>
  <w:style w:type="paragraph" w:styleId="191">
    <w:name w:val="toc 4"/>
    <w:basedOn w:val="756"/>
    <w:next w:val="756"/>
    <w:uiPriority w:val="39"/>
    <w:unhideWhenUsed/>
    <w:pPr>
      <w:pBdr/>
      <w:spacing w:after="100"/>
      <w:ind w:left="660"/>
    </w:pPr>
  </w:style>
  <w:style w:type="paragraph" w:styleId="192">
    <w:name w:val="toc 5"/>
    <w:basedOn w:val="756"/>
    <w:next w:val="756"/>
    <w:uiPriority w:val="39"/>
    <w:unhideWhenUsed/>
    <w:pPr>
      <w:pBdr/>
      <w:spacing w:after="100"/>
      <w:ind w:left="880"/>
    </w:pPr>
  </w:style>
  <w:style w:type="paragraph" w:styleId="193">
    <w:name w:val="toc 6"/>
    <w:basedOn w:val="756"/>
    <w:next w:val="756"/>
    <w:uiPriority w:val="39"/>
    <w:unhideWhenUsed/>
    <w:pPr>
      <w:pBdr/>
      <w:spacing w:after="100"/>
      <w:ind w:left="1100"/>
    </w:pPr>
  </w:style>
  <w:style w:type="paragraph" w:styleId="194">
    <w:name w:val="toc 7"/>
    <w:basedOn w:val="756"/>
    <w:next w:val="756"/>
    <w:uiPriority w:val="39"/>
    <w:unhideWhenUsed/>
    <w:pPr>
      <w:pBdr/>
      <w:spacing w:after="100"/>
      <w:ind w:left="1320"/>
    </w:pPr>
  </w:style>
  <w:style w:type="paragraph" w:styleId="195">
    <w:name w:val="toc 8"/>
    <w:basedOn w:val="756"/>
    <w:next w:val="756"/>
    <w:uiPriority w:val="39"/>
    <w:unhideWhenUsed/>
    <w:pPr>
      <w:pBdr/>
      <w:spacing w:after="100"/>
      <w:ind w:left="1540"/>
    </w:pPr>
  </w:style>
  <w:style w:type="paragraph" w:styleId="196">
    <w:name w:val="toc 9"/>
    <w:basedOn w:val="756"/>
    <w:next w:val="756"/>
    <w:uiPriority w:val="39"/>
    <w:unhideWhenUsed/>
    <w:pPr>
      <w:pBdr/>
      <w:spacing w:after="100"/>
      <w:ind w:left="1760"/>
    </w:pPr>
  </w:style>
  <w:style w:type="character" w:styleId="197">
    <w:name w:val="Placeholder Text"/>
    <w:basedOn w:val="763"/>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56"/>
    <w:next w:val="756"/>
    <w:uiPriority w:val="99"/>
    <w:unhideWhenUsed/>
    <w:pPr>
      <w:pBdr/>
      <w:spacing w:after="0" w:afterAutospacing="0"/>
      <w:ind/>
    </w:pPr>
  </w:style>
  <w:style w:type="paragraph" w:styleId="756" w:default="1">
    <w:name w:val="Normal"/>
    <w:qFormat/>
    <w:pPr>
      <w:pBdr/>
      <w:spacing/>
      <w:ind/>
    </w:pPr>
  </w:style>
  <w:style w:type="paragraph" w:styleId="757">
    <w:name w:val="Heading 1"/>
    <w:basedOn w:val="756"/>
    <w:next w:val="756"/>
    <w:uiPriority w:val="9"/>
    <w:qFormat/>
    <w:pPr>
      <w:keepNext w:val="true"/>
      <w:keepLines w:val="true"/>
      <w:pBdr/>
      <w:spacing w:after="120" w:before="480"/>
      <w:ind/>
      <w:outlineLvl w:val="0"/>
    </w:pPr>
    <w:rPr>
      <w:b/>
      <w:sz w:val="48"/>
      <w:szCs w:val="48"/>
    </w:rPr>
  </w:style>
  <w:style w:type="paragraph" w:styleId="758">
    <w:name w:val="Heading 2"/>
    <w:basedOn w:val="756"/>
    <w:next w:val="756"/>
    <w:uiPriority w:val="9"/>
    <w:semiHidden/>
    <w:unhideWhenUsed/>
    <w:qFormat/>
    <w:pPr>
      <w:keepNext w:val="true"/>
      <w:keepLines w:val="true"/>
      <w:pBdr/>
      <w:spacing w:after="80" w:before="360"/>
      <w:ind/>
      <w:outlineLvl w:val="1"/>
    </w:pPr>
    <w:rPr>
      <w:b/>
      <w:sz w:val="36"/>
      <w:szCs w:val="36"/>
    </w:rPr>
  </w:style>
  <w:style w:type="paragraph" w:styleId="759">
    <w:name w:val="Heading 3"/>
    <w:basedOn w:val="756"/>
    <w:next w:val="756"/>
    <w:uiPriority w:val="9"/>
    <w:semiHidden/>
    <w:unhideWhenUsed/>
    <w:qFormat/>
    <w:pPr>
      <w:keepNext w:val="true"/>
      <w:keepLines w:val="true"/>
      <w:pBdr/>
      <w:spacing w:after="80" w:before="280"/>
      <w:ind/>
      <w:outlineLvl w:val="2"/>
    </w:pPr>
    <w:rPr>
      <w:b/>
      <w:sz w:val="28"/>
      <w:szCs w:val="28"/>
    </w:rPr>
  </w:style>
  <w:style w:type="paragraph" w:styleId="760">
    <w:name w:val="Heading 4"/>
    <w:basedOn w:val="756"/>
    <w:next w:val="756"/>
    <w:uiPriority w:val="9"/>
    <w:semiHidden/>
    <w:unhideWhenUsed/>
    <w:qFormat/>
    <w:pPr>
      <w:keepNext w:val="true"/>
      <w:keepLines w:val="true"/>
      <w:pBdr/>
      <w:spacing w:after="40" w:before="240"/>
      <w:ind/>
      <w:outlineLvl w:val="3"/>
    </w:pPr>
    <w:rPr>
      <w:b/>
    </w:rPr>
  </w:style>
  <w:style w:type="paragraph" w:styleId="761">
    <w:name w:val="Heading 5"/>
    <w:basedOn w:val="756"/>
    <w:next w:val="756"/>
    <w:uiPriority w:val="9"/>
    <w:semiHidden/>
    <w:unhideWhenUsed/>
    <w:qFormat/>
    <w:pPr>
      <w:keepNext w:val="true"/>
      <w:keepLines w:val="true"/>
      <w:pBdr/>
      <w:spacing w:after="40" w:before="220"/>
      <w:ind/>
      <w:outlineLvl w:val="4"/>
    </w:pPr>
    <w:rPr>
      <w:b/>
      <w:sz w:val="22"/>
      <w:szCs w:val="22"/>
    </w:rPr>
  </w:style>
  <w:style w:type="paragraph" w:styleId="762">
    <w:name w:val="Heading 6"/>
    <w:basedOn w:val="756"/>
    <w:next w:val="756"/>
    <w:uiPriority w:val="9"/>
    <w:semiHidden/>
    <w:unhideWhenUsed/>
    <w:qFormat/>
    <w:pPr>
      <w:keepNext w:val="true"/>
      <w:keepLines w:val="true"/>
      <w:pBdr/>
      <w:spacing w:after="40" w:before="200"/>
      <w:ind/>
      <w:outlineLvl w:val="5"/>
    </w:pPr>
    <w:rPr>
      <w:b/>
      <w:sz w:val="20"/>
      <w:szCs w:val="20"/>
    </w:rPr>
  </w:style>
  <w:style w:type="character" w:styleId="763" w:default="1">
    <w:name w:val="Default Paragraph Font"/>
    <w:uiPriority w:val="1"/>
    <w:semiHidden/>
    <w:unhideWhenUsed/>
    <w:pPr>
      <w:pBdr/>
      <w:spacing/>
      <w:ind/>
    </w:pPr>
  </w:style>
  <w:style w:type="table" w:styleId="7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5" w:default="1">
    <w:name w:val="No List"/>
    <w:uiPriority w:val="99"/>
    <w:semiHidden/>
    <w:unhideWhenUsed/>
    <w:pPr>
      <w:pBdr/>
      <w:spacing/>
      <w:ind/>
    </w:pPr>
  </w:style>
  <w:style w:type="paragraph" w:styleId="766">
    <w:name w:val="Title"/>
    <w:basedOn w:val="756"/>
    <w:next w:val="756"/>
    <w:uiPriority w:val="10"/>
    <w:qFormat/>
    <w:pPr>
      <w:keepNext w:val="true"/>
      <w:keepLines w:val="true"/>
      <w:pBdr/>
      <w:spacing w:after="120" w:before="480"/>
      <w:ind/>
    </w:pPr>
    <w:rPr>
      <w:b/>
      <w:sz w:val="72"/>
      <w:szCs w:val="72"/>
    </w:rPr>
  </w:style>
  <w:style w:type="paragraph" w:styleId="767">
    <w:name w:val="Normal (Web)"/>
    <w:basedOn w:val="756"/>
    <w:uiPriority w:val="99"/>
    <w:unhideWhenUsed/>
    <w:pPr>
      <w:pBdr/>
      <w:spacing w:after="100" w:afterAutospacing="1" w:before="100" w:beforeAutospacing="1"/>
      <w:ind/>
    </w:pPr>
  </w:style>
  <w:style w:type="character" w:styleId="768">
    <w:name w:val="annotation reference"/>
    <w:basedOn w:val="763"/>
    <w:uiPriority w:val="99"/>
    <w:semiHidden/>
    <w:unhideWhenUsed/>
    <w:pPr>
      <w:pBdr/>
      <w:spacing/>
      <w:ind/>
    </w:pPr>
    <w:rPr>
      <w:sz w:val="16"/>
      <w:szCs w:val="16"/>
    </w:rPr>
  </w:style>
  <w:style w:type="paragraph" w:styleId="769">
    <w:name w:val="annotation text"/>
    <w:basedOn w:val="756"/>
    <w:link w:val="770"/>
    <w:uiPriority w:val="99"/>
    <w:unhideWhenUsed/>
    <w:pPr>
      <w:pBdr/>
      <w:spacing/>
      <w:ind/>
    </w:pPr>
    <w:rPr>
      <w:rFonts w:asciiTheme="minorHAnsi" w:hAnsiTheme="minorHAnsi" w:cstheme="minorBidi"/>
      <w:sz w:val="20"/>
      <w:szCs w:val="20"/>
    </w:rPr>
  </w:style>
  <w:style w:type="character" w:styleId="770" w:customStyle="1">
    <w:name w:val="Comment Text Char"/>
    <w:basedOn w:val="763"/>
    <w:link w:val="769"/>
    <w:uiPriority w:val="99"/>
    <w:pPr>
      <w:pBdr/>
      <w:spacing/>
      <w:ind/>
    </w:pPr>
    <w:rPr>
      <w:sz w:val="20"/>
      <w:szCs w:val="20"/>
    </w:rPr>
  </w:style>
  <w:style w:type="paragraph" w:styleId="771">
    <w:name w:val="annotation subject"/>
    <w:basedOn w:val="769"/>
    <w:next w:val="769"/>
    <w:link w:val="772"/>
    <w:uiPriority w:val="99"/>
    <w:semiHidden/>
    <w:unhideWhenUsed/>
    <w:pPr>
      <w:pBdr/>
      <w:spacing/>
      <w:ind/>
    </w:pPr>
    <w:rPr>
      <w:b/>
      <w:bCs/>
    </w:rPr>
  </w:style>
  <w:style w:type="character" w:styleId="772" w:customStyle="1">
    <w:name w:val="Comment Subject Char"/>
    <w:basedOn w:val="770"/>
    <w:link w:val="771"/>
    <w:uiPriority w:val="99"/>
    <w:semiHidden/>
    <w:pPr>
      <w:pBdr/>
      <w:spacing/>
      <w:ind/>
    </w:pPr>
    <w:rPr>
      <w:b/>
      <w:bCs/>
      <w:sz w:val="20"/>
      <w:szCs w:val="20"/>
    </w:rPr>
  </w:style>
  <w:style w:type="paragraph" w:styleId="773" w:customStyle="1">
    <w:name w:val="EndNote Bibliography"/>
    <w:basedOn w:val="756"/>
    <w:link w:val="774"/>
    <w:pPr>
      <w:pBdr/>
      <w:spacing/>
      <w:ind/>
    </w:pPr>
    <w:rPr>
      <w:rFonts w:ascii="Calibri" w:hAnsi="Calibri" w:cs="Calibri" w:eastAsiaTheme="minorHAnsi"/>
      <w:lang w:eastAsia="en-US"/>
    </w:rPr>
  </w:style>
  <w:style w:type="character" w:styleId="774" w:customStyle="1">
    <w:name w:val="EndNote Bibliography Char"/>
    <w:basedOn w:val="763"/>
    <w:link w:val="773"/>
    <w:pPr>
      <w:pBdr/>
      <w:spacing/>
      <w:ind/>
    </w:pPr>
    <w:rPr>
      <w:rFonts w:ascii="Calibri" w:hAnsi="Calibri" w:cs="Calibri" w:eastAsiaTheme="minorHAnsi"/>
      <w:lang w:eastAsia="en-US"/>
    </w:rPr>
  </w:style>
  <w:style w:type="character" w:styleId="775">
    <w:name w:val="Hyperlink"/>
    <w:basedOn w:val="763"/>
    <w:uiPriority w:val="99"/>
    <w:unhideWhenUsed/>
    <w:pPr>
      <w:pBdr/>
      <w:spacing/>
      <w:ind/>
    </w:pPr>
    <w:rPr>
      <w:color w:val="0563c1" w:themeColor="hyperlink"/>
      <w:u w:val="single"/>
    </w:rPr>
  </w:style>
  <w:style w:type="character" w:styleId="776">
    <w:name w:val="Unresolved Mention"/>
    <w:basedOn w:val="763"/>
    <w:uiPriority w:val="99"/>
    <w:semiHidden/>
    <w:unhideWhenUsed/>
    <w:pPr>
      <w:pBdr/>
      <w:spacing/>
      <w:ind/>
    </w:pPr>
    <w:rPr>
      <w:color w:val="605e5c"/>
      <w:shd w:val="clear" w:color="auto" w:fill="e1dfdd"/>
    </w:rPr>
  </w:style>
  <w:style w:type="character" w:styleId="777" w:customStyle="1">
    <w:name w:val="apple-converted-space"/>
    <w:basedOn w:val="763"/>
    <w:pPr>
      <w:pBdr/>
      <w:spacing/>
      <w:ind/>
    </w:pPr>
  </w:style>
  <w:style w:type="character" w:styleId="778">
    <w:name w:val="FollowedHyperlink"/>
    <w:basedOn w:val="763"/>
    <w:uiPriority w:val="99"/>
    <w:semiHidden/>
    <w:unhideWhenUsed/>
    <w:pPr>
      <w:pBdr/>
      <w:spacing/>
      <w:ind/>
    </w:pPr>
    <w:rPr>
      <w:color w:val="954f72" w:themeColor="followedHyperlink"/>
      <w:u w:val="single"/>
    </w:rPr>
  </w:style>
  <w:style w:type="paragraph" w:styleId="779">
    <w:name w:val="Subtitle"/>
    <w:basedOn w:val="756"/>
    <w:next w:val="756"/>
    <w:uiPriority w:val="11"/>
    <w:qFormat/>
    <w:pPr>
      <w:keepNext w:val="true"/>
      <w:keepLines w:val="true"/>
      <w:pBdr/>
      <w:spacing w:after="80" w:before="360"/>
      <w:ind/>
    </w:pPr>
    <w:rPr>
      <w:rFonts w:ascii="Georgia" w:hAnsi="Georgia" w:eastAsia="Georgia" w:cs="Georgia"/>
      <w:i/>
      <w:color w:val="666666"/>
      <w:sz w:val="48"/>
      <w:szCs w:val="48"/>
    </w:rPr>
  </w:style>
  <w:style w:type="table" w:styleId="780">
    <w:name w:val="Table Grid"/>
    <w:basedOn w:val="764"/>
    <w:uiPriority w:val="39"/>
    <w:pPr>
      <w:pBdr/>
      <w:spacing/>
      <w:ind/>
    </w:pPr>
    <w:rPr>
      <w:rFonts w:asciiTheme="minorHAnsi" w:hAnsiTheme="minorHAnsi" w:cstheme="minorBidi"/>
      <w:sz w:val="22"/>
      <w:szCs w:val="22"/>
      <w:lang w:eastAsia="ko-K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1">
    <w:name w:val="Revision"/>
    <w:hidden/>
    <w:uiPriority w:val="99"/>
    <w:semiHidden/>
    <w:pPr>
      <w:pBdr/>
      <w:spacing/>
      <w:ind/>
    </w:pPr>
  </w:style>
  <w:style w:type="paragraph" w:styleId="782">
    <w:name w:val="List Paragraph"/>
    <w:basedOn w:val="756"/>
    <w:uiPriority w:val="34"/>
    <w:qFormat/>
    <w:pPr>
      <w:pBdr/>
      <w:spacing/>
      <w:ind w:left="720"/>
      <w:contextualSpacing w:val="true"/>
    </w:pPr>
  </w:style>
  <w:style w:type="paragraph" w:styleId="783">
    <w:name w:val="Header"/>
    <w:basedOn w:val="756"/>
    <w:link w:val="784"/>
    <w:uiPriority w:val="99"/>
    <w:unhideWhenUsed/>
    <w:pPr>
      <w:pBdr/>
      <w:tabs>
        <w:tab w:val="center" w:leader="none" w:pos="4680"/>
        <w:tab w:val="right" w:leader="none" w:pos="9360"/>
      </w:tabs>
      <w:spacing/>
      <w:ind/>
    </w:pPr>
  </w:style>
  <w:style w:type="character" w:styleId="784" w:customStyle="1">
    <w:name w:val="Header Char"/>
    <w:basedOn w:val="763"/>
    <w:link w:val="783"/>
    <w:uiPriority w:val="99"/>
    <w:pPr>
      <w:pBdr/>
      <w:spacing/>
      <w:ind/>
    </w:pPr>
  </w:style>
  <w:style w:type="paragraph" w:styleId="785">
    <w:name w:val="Footer"/>
    <w:basedOn w:val="756"/>
    <w:link w:val="786"/>
    <w:uiPriority w:val="99"/>
    <w:unhideWhenUsed/>
    <w:pPr>
      <w:pBdr/>
      <w:tabs>
        <w:tab w:val="center" w:leader="none" w:pos="4680"/>
        <w:tab w:val="right" w:leader="none" w:pos="9360"/>
      </w:tabs>
      <w:spacing/>
      <w:ind/>
    </w:pPr>
  </w:style>
  <w:style w:type="character" w:styleId="786" w:customStyle="1">
    <w:name w:val="Footer Char"/>
    <w:basedOn w:val="763"/>
    <w:link w:val="785"/>
    <w:uiPriority w:val="99"/>
    <w:pPr>
      <w:pBdr/>
      <w:spacing/>
      <w:ind/>
    </w:pPr>
  </w:style>
  <w:style w:type="character" w:styleId="787">
    <w:name w:val="line number"/>
    <w:basedOn w:val="763"/>
    <w:uiPriority w:val="99"/>
    <w:semiHidden/>
    <w:unhideWhenUsed/>
    <w:pPr>
      <w:pBdr/>
      <w:spacing/>
      <w:ind/>
    </w:pPr>
  </w:style>
  <w:style w:type="paragraph" w:styleId="788">
    <w:name w:val="Bibliography"/>
    <w:basedOn w:val="756"/>
    <w:next w:val="756"/>
    <w:uiPriority w:val="37"/>
    <w:unhideWhenUsed/>
    <w:pPr>
      <w:pBdr/>
      <w:spacing w:line="480" w:lineRule="auto"/>
      <w:ind w:hanging="720"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comments" Target="comments.xml" /><Relationship Id="rId20" Type="http://schemas.microsoft.com/office/2011/relationships/commentsExtended" Target="commentsExtended.xml" /><Relationship Id="rId21" Type="http://schemas.microsoft.com/office/2018/08/relationships/commentsExtensible" Target="commentsExtensible.xml" /><Relationship Id="rId22" Type="http://schemas.microsoft.com/office/2016/09/relationships/commentsIds" Target="commentsIds.xml" /><Relationship Id="rId23" Type="http://schemas.microsoft.com/office/2011/relationships/people" Target="people.xml" /><Relationship Id="rId24" Type="http://schemas.onlyoffice.com/commentsDocument" Target="commentsDocument.xml" /><Relationship Id="rId25" Type="http://schemas.onlyoffice.com/commentsExtendedDocument" Target="commentsExtendedDocument.xml" /><Relationship Id="rId26" Type="http://schemas.onlyoffice.com/commentsExtensibleDocument" Target="commentsExtensibleDocument.xml" /><Relationship Id="rId27" Type="http://schemas.onlyoffice.com/commentsIdsDocument" Target="commentsIdsDocument.xml" /><Relationship Id="rId28"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cp:keywords/>
  <dc:description/>
  <cp:revision>6</cp:revision>
  <dcterms:created xsi:type="dcterms:W3CDTF">2025-07-17T22:47:00Z</dcterms:created>
  <dcterms:modified xsi:type="dcterms:W3CDTF">2025-08-10T01:30:44Z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