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0EAE2" w14:textId="31BF7A82" w:rsidR="00D16ABC" w:rsidRPr="00F57AA3" w:rsidRDefault="00E47EE8" w:rsidP="00D16ABC">
      <w:pPr>
        <w:rPr>
          <w:rFonts w:ascii="Times" w:eastAsia="Times New Roman" w:hAnsi="Times" w:cs="Times New Roman"/>
          <w:b/>
          <w:color w:val="000000" w:themeColor="text1"/>
          <w:lang w:val="en-CA"/>
        </w:rPr>
      </w:pPr>
      <w:r w:rsidRPr="00E47EE8">
        <w:rPr>
          <w:rFonts w:ascii="Times" w:hAnsi="Times" w:cs="Times New Roman"/>
          <w:b/>
          <w:color w:val="000000" w:themeColor="text1"/>
          <w:lang w:val="en-CA"/>
        </w:rPr>
        <w:t xml:space="preserve">Bioinformatics </w:t>
      </w:r>
      <w:r w:rsidRPr="00E47EE8">
        <w:rPr>
          <w:rFonts w:ascii="Times" w:eastAsia="Times New Roman" w:hAnsi="Times" w:cs="Times New Roman"/>
          <w:b/>
          <w:color w:val="000000" w:themeColor="text1"/>
          <w:lang w:val="en-CA"/>
        </w:rPr>
        <w:t>pipeline #</w:t>
      </w:r>
      <w:proofErr w:type="gramStart"/>
      <w:r w:rsidRPr="00E47EE8">
        <w:rPr>
          <w:rFonts w:ascii="Times" w:eastAsia="Times New Roman" w:hAnsi="Times" w:cs="Times New Roman"/>
          <w:b/>
          <w:color w:val="000000" w:themeColor="text1"/>
          <w:lang w:val="en-CA"/>
        </w:rPr>
        <w:t>1</w:t>
      </w:r>
      <w:r w:rsidR="00F57AA3">
        <w:rPr>
          <w:rFonts w:ascii="Times" w:eastAsia="Times New Roman" w:hAnsi="Times" w:cs="Times New Roman"/>
          <w:b/>
          <w:color w:val="000000" w:themeColor="text1"/>
          <w:lang w:val="en-CA"/>
        </w:rPr>
        <w:t xml:space="preserve"> :</w:t>
      </w:r>
      <w:proofErr w:type="gramEnd"/>
      <w:r w:rsidR="00F57AA3">
        <w:rPr>
          <w:rFonts w:ascii="Times" w:eastAsia="Times New Roman" w:hAnsi="Times" w:cs="Times New Roman"/>
          <w:b/>
          <w:color w:val="000000" w:themeColor="text1"/>
          <w:lang w:val="en-CA"/>
        </w:rPr>
        <w:t xml:space="preserve"> PDL1-</w:t>
      </w:r>
      <w:r w:rsidR="00F57AA3">
        <w:rPr>
          <w:rFonts w:ascii="Times" w:eastAsia="Times New Roman" w:hAnsi="Times" w:cs="Times New Roman"/>
          <w:b/>
          <w:i/>
          <w:color w:val="000000" w:themeColor="text1"/>
          <w:lang w:val="en-CA"/>
        </w:rPr>
        <w:t>as</w:t>
      </w:r>
      <w:r w:rsidR="00F57AA3">
        <w:rPr>
          <w:rFonts w:ascii="Times" w:eastAsia="Times New Roman" w:hAnsi="Times" w:cs="Times New Roman"/>
          <w:b/>
          <w:color w:val="000000" w:themeColor="text1"/>
          <w:lang w:val="en-CA"/>
        </w:rPr>
        <w:t xml:space="preserve"> as a prognostic marker in cancer</w:t>
      </w:r>
    </w:p>
    <w:p w14:paraId="1D29FCAE" w14:textId="79C163C0" w:rsidR="00E47EE8" w:rsidRDefault="00E47EE8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 xml:space="preserve">Does the </w:t>
      </w:r>
      <w:r w:rsidR="00010050">
        <w:rPr>
          <w:rFonts w:ascii="Times" w:eastAsia="Times New Roman" w:hAnsi="Times" w:cs="Times New Roman"/>
          <w:color w:val="000000" w:themeColor="text1"/>
          <w:lang w:val="en-CA"/>
        </w:rPr>
        <w:t xml:space="preserve">presence of </w:t>
      </w:r>
      <w:r>
        <w:rPr>
          <w:rFonts w:ascii="Times" w:eastAsia="Times New Roman" w:hAnsi="Times" w:cs="Times New Roman"/>
          <w:color w:val="000000" w:themeColor="text1"/>
          <w:lang w:val="en-CA"/>
        </w:rPr>
        <w:t>alternative splicing in PDL1 (PDL1-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) correlate with improved </w:t>
      </w:r>
      <w:r w:rsidR="00F57AA3">
        <w:rPr>
          <w:rFonts w:ascii="Times" w:eastAsia="Times New Roman" w:hAnsi="Times" w:cs="Times New Roman"/>
          <w:color w:val="000000" w:themeColor="text1"/>
          <w:lang w:val="en-CA"/>
        </w:rPr>
        <w:t>prognosis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in cancer patients? In the null model for this hypothesis, it is expected that the survival rate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positive cancer patients will not be statistically significantly different from the survival rate of cancer patients with no observed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event. </w:t>
      </w:r>
      <w:r w:rsidR="00FE0821">
        <w:rPr>
          <w:rFonts w:ascii="Times" w:eastAsia="Times New Roman" w:hAnsi="Times" w:cs="Times New Roman"/>
          <w:color w:val="000000" w:themeColor="text1"/>
          <w:lang w:val="en-CA"/>
        </w:rPr>
        <w:t xml:space="preserve"> Survival is being defined as Progression Free Survival (PFS) in this model. </w:t>
      </w:r>
    </w:p>
    <w:p w14:paraId="19643D01" w14:textId="071455C4" w:rsidR="00E47EE8" w:rsidRPr="00010050" w:rsidRDefault="00FE0821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Data source: </w:t>
      </w:r>
      <w:r>
        <w:rPr>
          <w:rFonts w:ascii="Times" w:eastAsia="Times New Roman" w:hAnsi="Times" w:cs="Times New Roman"/>
          <w:color w:val="000000" w:themeColor="text1"/>
          <w:lang w:val="en-CA"/>
        </w:rPr>
        <w:t>We need survival data, including progression/disease free survival (PFS, DFS), time from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primary diagnosis to death (OS</w:t>
      </w:r>
      <w:r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CB34BD" w:rsidRPr="00FE0821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 xml:space="preserve"> </w:t>
      </w:r>
      <w:r w:rsidRPr="00FE0821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1</w:t>
      </w:r>
      <w:r>
        <w:rPr>
          <w:rFonts w:ascii="Times" w:eastAsia="Times New Roman" w:hAnsi="Times" w:cs="Times New Roman"/>
          <w:color w:val="000000" w:themeColor="text1"/>
          <w:lang w:val="en-CA"/>
        </w:rPr>
        <w:t>.  This data is publicly available for 33 cancer types from TCGA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Expression data for PDL1 and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isoform will be retrieved from the databases that have assumedly been used in the experiment outlined in the assignment (which found ~30% primary samples with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>, and that TCGA contains all these primary samples (if it does not, we expand search to ICGC)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</w:t>
      </w:r>
      <w:r w:rsidR="00010050">
        <w:rPr>
          <w:rFonts w:ascii="Times" w:eastAsia="Times New Roman" w:hAnsi="Times" w:cs="Times New Roman"/>
          <w:color w:val="000000" w:themeColor="text1"/>
          <w:lang w:val="en-CA"/>
        </w:rPr>
        <w:t xml:space="preserve"> For multivariate analysis, we will also query TCGA for gender and age at diagnosis.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>Th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e focus for this model is solely on primary </w:t>
      </w:r>
      <w:proofErr w:type="spellStart"/>
      <w:r w:rsidR="00346396">
        <w:rPr>
          <w:rFonts w:ascii="Times" w:eastAsia="Times New Roman" w:hAnsi="Times" w:cs="Times New Roman"/>
          <w:color w:val="000000" w:themeColor="text1"/>
          <w:lang w:val="en-CA"/>
        </w:rPr>
        <w:t>tumor</w:t>
      </w:r>
      <w:proofErr w:type="spellEnd"/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samples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>.</w:t>
      </w:r>
    </w:p>
    <w:p w14:paraId="18E41B1E" w14:textId="5BC5F76E" w:rsidR="00CB34BD" w:rsidRPr="00346396" w:rsidRDefault="00010050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proofErr w:type="spellStart"/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Preprocessing</w:t>
      </w:r>
      <w:proofErr w:type="spellEnd"/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 and </w:t>
      </w:r>
      <w:r w:rsidR="00CB34BD"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>Statistics</w:t>
      </w:r>
      <w:r w:rsidRPr="00B12483">
        <w:rPr>
          <w:rFonts w:ascii="Times" w:eastAsia="Times New Roman" w:hAnsi="Times" w:cs="Times New Roman"/>
          <w:i/>
          <w:color w:val="000000" w:themeColor="text1"/>
          <w:u w:val="single"/>
          <w:lang w:val="en-CA"/>
        </w:rPr>
        <w:t xml:space="preserve">: </w:t>
      </w:r>
      <w:r>
        <w:rPr>
          <w:rFonts w:ascii="Times" w:eastAsia="Times New Roman" w:hAnsi="Times" w:cs="Times New Roman"/>
          <w:color w:val="000000" w:themeColor="text1"/>
          <w:lang w:val="en-CA"/>
        </w:rPr>
        <w:t>We i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dentify the median DFS, PFS, and OS</w:t>
      </w:r>
      <w:r w:rsidR="00EC64E6">
        <w:rPr>
          <w:rFonts w:ascii="Times" w:eastAsia="Times New Roman" w:hAnsi="Times" w:cs="Times New Roman"/>
          <w:color w:val="000000" w:themeColor="text1"/>
          <w:lang w:val="en-CA"/>
        </w:rPr>
        <w:t xml:space="preserve"> (in months)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for all cancer types being studied. The median survival time is tested using a likelihood ratio test, with the non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patients as the control set in each cancer type. A </w:t>
      </w:r>
      <w:proofErr w:type="spellStart"/>
      <w:r w:rsidR="00CB34BD">
        <w:rPr>
          <w:rFonts w:ascii="Times" w:eastAsia="Times New Roman" w:hAnsi="Times" w:cs="Times New Roman"/>
          <w:color w:val="000000" w:themeColor="text1"/>
          <w:lang w:val="en-CA"/>
        </w:rPr>
        <w:t>univariate</w:t>
      </w:r>
      <w:proofErr w:type="spellEnd"/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analysis can be done by building Kaplan-Meier survival curves for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and non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 w:rsidR="003B7452" w:rsidRPr="00346396">
        <w:rPr>
          <w:rFonts w:ascii="Times" w:eastAsia="Times New Roman" w:hAnsi="Times" w:cs="Times New Roman"/>
          <w:b/>
          <w:i/>
          <w:color w:val="000000" w:themeColor="text1"/>
          <w:lang w:val="en-CA"/>
        </w:rPr>
        <w:t>*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groups, or alternatively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by </w:t>
      </w:r>
      <w:r>
        <w:rPr>
          <w:rFonts w:ascii="Times" w:eastAsia="Times New Roman" w:hAnsi="Times" w:cs="Times New Roman"/>
          <w:color w:val="000000" w:themeColor="text1"/>
          <w:lang w:val="en-CA"/>
        </w:rPr>
        <w:t>statistically testing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the difference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between these two groups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using </w:t>
      </w:r>
      <w:proofErr w:type="spellStart"/>
      <w:r w:rsidR="00CB34BD">
        <w:rPr>
          <w:rFonts w:ascii="Times" w:eastAsia="Times New Roman" w:hAnsi="Times" w:cs="Times New Roman"/>
          <w:color w:val="000000" w:themeColor="text1"/>
          <w:lang w:val="en-CA"/>
        </w:rPr>
        <w:t>logrank</w:t>
      </w:r>
      <w:proofErr w:type="spellEnd"/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test</w:t>
      </w:r>
      <w:r w:rsidR="00CB34BD" w:rsidRPr="00CB34B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2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However, to account for impact of other factors (such as gender, age, other mutation status’ of PDL1), we can also carry out a multivariate analysis. The</w:t>
      </w:r>
      <w:r w:rsidR="00B12483">
        <w:rPr>
          <w:rFonts w:ascii="Times" w:eastAsia="Times New Roman" w:hAnsi="Times" w:cs="Times New Roman"/>
          <w:color w:val="000000" w:themeColor="text1"/>
          <w:lang w:val="en-CA"/>
        </w:rPr>
        <w:t xml:space="preserve"> commonly used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Cox test </w:t>
      </w:r>
      <w:r>
        <w:rPr>
          <w:rFonts w:ascii="Times" w:eastAsia="Times New Roman" w:hAnsi="Times" w:cs="Times New Roman"/>
          <w:color w:val="000000" w:themeColor="text1"/>
          <w:lang w:val="en-CA"/>
        </w:rPr>
        <w:t>on survival tim</w:t>
      </w:r>
      <w:r w:rsidR="00B12483">
        <w:rPr>
          <w:rFonts w:ascii="Times" w:eastAsia="Times New Roman" w:hAnsi="Times" w:cs="Times New Roman"/>
          <w:color w:val="000000" w:themeColor="text1"/>
          <w:lang w:val="en-CA"/>
        </w:rPr>
        <w:t>e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can be used to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 xml:space="preserve"> identify the ‘hazard ratio’ of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positive status</w:t>
      </w:r>
      <w:r w:rsidR="00B12483" w:rsidRPr="00CB34B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2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. If PDL1-</w:t>
      </w:r>
      <w:r w:rsidR="00CB34BD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>’s hazard ratio is &lt; -1, then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positive patients likely have </w:t>
      </w:r>
      <w:r w:rsidR="00CB34BD">
        <w:rPr>
          <w:rFonts w:ascii="Times" w:eastAsia="Times New Roman" w:hAnsi="Times" w:cs="Times New Roman"/>
          <w:color w:val="000000" w:themeColor="text1"/>
          <w:lang w:val="en-CA"/>
        </w:rPr>
        <w:t>a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positive prognosis. The robustness of our belief in the prognostic value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status is evident in the rigorous testing through 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>different statistical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approaches listed here (</w:t>
      </w:r>
      <w:proofErr w:type="spellStart"/>
      <w:r>
        <w:rPr>
          <w:rFonts w:ascii="Times" w:eastAsia="Times New Roman" w:hAnsi="Times" w:cs="Times New Roman"/>
          <w:color w:val="000000" w:themeColor="text1"/>
          <w:lang w:val="en-CA"/>
        </w:rPr>
        <w:t>univariate</w:t>
      </w:r>
      <w:proofErr w:type="spellEnd"/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and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multivariate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models</w:t>
      </w:r>
      <w:r>
        <w:rPr>
          <w:rFonts w:ascii="Times" w:eastAsia="Times New Roman" w:hAnsi="Times" w:cs="Times New Roman"/>
          <w:color w:val="000000" w:themeColor="text1"/>
          <w:lang w:val="en-CA"/>
        </w:rPr>
        <w:t>).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If PDL1-</w:t>
      </w:r>
      <w:r w:rsidR="00346396"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is a </w:t>
      </w:r>
      <w:r w:rsidR="000D047D">
        <w:rPr>
          <w:rFonts w:ascii="Times" w:eastAsia="Times New Roman" w:hAnsi="Times" w:cs="Times New Roman"/>
          <w:color w:val="000000" w:themeColor="text1"/>
          <w:lang w:val="en-CA"/>
        </w:rPr>
        <w:t>significant</w:t>
      </w:r>
      <w:r w:rsidR="00346396">
        <w:rPr>
          <w:rFonts w:ascii="Times" w:eastAsia="Times New Roman" w:hAnsi="Times" w:cs="Times New Roman"/>
          <w:color w:val="000000" w:themeColor="text1"/>
          <w:lang w:val="en-CA"/>
        </w:rPr>
        <w:t xml:space="preserve"> predictor, it will be robust to addition of other explanatory covariates in our model. </w:t>
      </w:r>
    </w:p>
    <w:p w14:paraId="0C3F4EB8" w14:textId="637501C1" w:rsidR="003B7452" w:rsidRPr="00346396" w:rsidRDefault="003B7452" w:rsidP="00D16ABC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CA"/>
        </w:rPr>
      </w:pPr>
      <w:r w:rsidRPr="00346396">
        <w:rPr>
          <w:rFonts w:ascii="Times" w:eastAsia="Times New Roman" w:hAnsi="Times" w:cs="Times New Roman"/>
          <w:b/>
          <w:color w:val="000000" w:themeColor="text1"/>
          <w:sz w:val="20"/>
          <w:szCs w:val="20"/>
          <w:lang w:val="en-CA"/>
        </w:rPr>
        <w:t>*</w:t>
      </w:r>
      <w:r w:rsidRPr="00346396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 xml:space="preserve">For the sake of brevity we use a simple 2-group classification based on PDL1-as status. Ideally we should also account for other inactivating mutations in PDL1, contingent on access to patient-specific somatic mutation data from TCGA. We then combine the mutation status with the expression measurements of PDL1 (not PDL1-as) as a proxy for the functional state of PDL1 in all patients (need differential expression analysis to identify which PDL1 mutation sets have a corollary differential expression versus ‘normal, functional PDL1’ samples). In that case, we will ultimately be comparing multiple groups (PDL1-as, PDL1-mut1, PDL1-mut2 etc.), and will need to correct all results from our listed statistical results for multiple testing (ex. </w:t>
      </w:r>
      <w:proofErr w:type="spellStart"/>
      <w:r w:rsidR="00245AFB" w:rsidRPr="00346396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B</w:t>
      </w:r>
      <w:r w:rsidRPr="00346396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onferroni</w:t>
      </w:r>
      <w:proofErr w:type="spellEnd"/>
      <w:r w:rsidR="00245AFB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, if the groups are disjoint</w:t>
      </w:r>
      <w:r w:rsidRPr="00346396">
        <w:rPr>
          <w:rFonts w:ascii="Times" w:eastAsia="Times New Roman" w:hAnsi="Times" w:cs="Times New Roman"/>
          <w:i/>
          <w:color w:val="000000" w:themeColor="text1"/>
          <w:sz w:val="20"/>
          <w:szCs w:val="20"/>
          <w:lang w:val="en-CA"/>
        </w:rPr>
        <w:t>).</w:t>
      </w:r>
    </w:p>
    <w:p w14:paraId="4C8B2F9A" w14:textId="12AE09A1" w:rsidR="00E47EE8" w:rsidRDefault="00E47EE8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b/>
          <w:color w:val="000000" w:themeColor="text1"/>
          <w:lang w:val="en-CA"/>
        </w:rPr>
        <w:t>Bioinformatics pipeline #2</w:t>
      </w:r>
    </w:p>
    <w:p w14:paraId="39B4216E" w14:textId="1C946EFE" w:rsidR="00E47EE8" w:rsidRDefault="00E47EE8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color w:val="000000" w:themeColor="text1"/>
          <w:lang w:val="en-CA"/>
        </w:rPr>
        <w:t>Is there a positive selection for the PDL family in the human lineage? In the null model for this hypothesis, it is expected that the rate of accrual of non-synonymous (amino-acid-altering) base changes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 xml:space="preserve"> in gene members of PDL family is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no different from the rate of accrual of synonymous base changes </w:t>
      </w:r>
      <w:r w:rsidR="00853658">
        <w:rPr>
          <w:rFonts w:ascii="Times" w:eastAsia="Times New Roman" w:hAnsi="Times" w:cs="Times New Roman"/>
          <w:color w:val="000000" w:themeColor="text1"/>
          <w:lang w:val="en-CA"/>
        </w:rPr>
        <w:t xml:space="preserve">since divergence of modern humans from archaic humans (represented by the archaic human in this study, and sequenced Neanderthal genomes). </w:t>
      </w:r>
    </w:p>
    <w:p w14:paraId="61F83052" w14:textId="7E67CC2D" w:rsidR="00FE0821" w:rsidRDefault="00FE0821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i/>
          <w:color w:val="000000" w:themeColor="text1"/>
          <w:lang w:val="en-CA"/>
        </w:rPr>
        <w:t>Data source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: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Identify PDL1 </w:t>
      </w:r>
      <w:proofErr w:type="spellStart"/>
      <w:r w:rsidR="00245AFB">
        <w:rPr>
          <w:rFonts w:ascii="Times" w:eastAsia="Times New Roman" w:hAnsi="Times" w:cs="Times New Roman"/>
          <w:color w:val="000000" w:themeColor="text1"/>
          <w:lang w:val="en-CA"/>
        </w:rPr>
        <w:t>paralogues</w:t>
      </w:r>
      <w:proofErr w:type="spellEnd"/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 using </w:t>
      </w:r>
      <w:proofErr w:type="spellStart"/>
      <w:r w:rsidR="00245AFB">
        <w:rPr>
          <w:rFonts w:ascii="Times" w:eastAsia="Times New Roman" w:hAnsi="Times" w:cs="Times New Roman"/>
          <w:color w:val="000000" w:themeColor="text1"/>
          <w:lang w:val="en-CA"/>
        </w:rPr>
        <w:t>GenBank</w:t>
      </w:r>
      <w:proofErr w:type="spellEnd"/>
    </w:p>
    <w:p w14:paraId="5790D62E" w14:textId="77777777" w:rsidR="00B12483" w:rsidRDefault="00B12483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</w:p>
    <w:p w14:paraId="45179FF2" w14:textId="33F9095C" w:rsidR="0086099B" w:rsidRPr="0086099B" w:rsidRDefault="0086099B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i/>
          <w:color w:val="000000" w:themeColor="text1"/>
          <w:lang w:val="en-CA"/>
        </w:rPr>
        <w:t>Statistics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: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Identify orthologous sequence pairs </w:t>
      </w:r>
      <w:r w:rsidR="00BB7104">
        <w:rPr>
          <w:rFonts w:ascii="Times" w:eastAsia="Times New Roman" w:hAnsi="Times" w:cs="Times New Roman"/>
          <w:color w:val="000000" w:themeColor="text1"/>
          <w:lang w:val="en-CA"/>
        </w:rPr>
        <w:t xml:space="preserve">using McDonald </w:t>
      </w:r>
      <w:proofErr w:type="spellStart"/>
      <w:r w:rsidR="00BB7104">
        <w:rPr>
          <w:rFonts w:ascii="Times" w:eastAsia="Times New Roman" w:hAnsi="Times" w:cs="Times New Roman"/>
          <w:color w:val="000000" w:themeColor="text1"/>
          <w:lang w:val="en-CA"/>
        </w:rPr>
        <w:t>Kreitman</w:t>
      </w:r>
      <w:proofErr w:type="spellEnd"/>
      <w:r w:rsidR="00BB7104"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proofErr w:type="gramStart"/>
      <w:r w:rsidR="00BB7104">
        <w:rPr>
          <w:rFonts w:ascii="Times" w:eastAsia="Times New Roman" w:hAnsi="Times" w:cs="Times New Roman"/>
          <w:color w:val="000000" w:themeColor="text1"/>
          <w:lang w:val="en-CA"/>
        </w:rPr>
        <w:t>method</w:t>
      </w:r>
      <w:r w:rsidR="00BB7104" w:rsidRPr="00BB7104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 xml:space="preserve">4 </w:t>
      </w:r>
      <w:r w:rsidR="00BB7104">
        <w:rPr>
          <w:rFonts w:ascii="Times" w:eastAsia="Times New Roman" w:hAnsi="Times" w:cs="Times New Roman"/>
          <w:color w:val="000000" w:themeColor="text1"/>
          <w:lang w:val="en-CA"/>
        </w:rPr>
        <w:t>?</w:t>
      </w:r>
      <w:proofErr w:type="gramEnd"/>
      <w:r w:rsidR="00245AFB">
        <w:rPr>
          <w:rFonts w:ascii="Times" w:eastAsia="Times New Roman" w:hAnsi="Times" w:cs="Times New Roman"/>
          <w:color w:val="000000" w:themeColor="text1"/>
          <w:lang w:val="en-CA"/>
        </w:rPr>
        <w:t>???. Identify areas under selection pressure using Tajima’s relative rate test. Estimate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number of non-synonymous substitutions (N</w:t>
      </w:r>
      <w:r w:rsidRPr="0086099B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a</w:t>
      </w:r>
      <w:r>
        <w:rPr>
          <w:rFonts w:ascii="Times" w:eastAsia="Times New Roman" w:hAnsi="Times" w:cs="Times New Roman"/>
          <w:color w:val="000000" w:themeColor="text1"/>
          <w:lang w:val="en-CA"/>
        </w:rPr>
        <w:t>) and number of synonymous substitutions (</w:t>
      </w:r>
      <w:proofErr w:type="spellStart"/>
      <w:r>
        <w:rPr>
          <w:rFonts w:ascii="Times" w:eastAsia="Times New Roman" w:hAnsi="Times" w:cs="Times New Roman"/>
          <w:color w:val="000000" w:themeColor="text1"/>
          <w:lang w:val="en-CA"/>
        </w:rPr>
        <w:t>N</w:t>
      </w:r>
      <w:r w:rsidRPr="0086099B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b</w:t>
      </w:r>
      <w:proofErr w:type="spellEnd"/>
      <w:r>
        <w:rPr>
          <w:rFonts w:ascii="Times" w:eastAsia="Times New Roman" w:hAnsi="Times" w:cs="Times New Roman"/>
          <w:color w:val="000000" w:themeColor="text1"/>
          <w:lang w:val="en-CA"/>
        </w:rPr>
        <w:t>)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 for every sequence under consideration using the modified </w:t>
      </w:r>
      <w:proofErr w:type="spellStart"/>
      <w:r w:rsidR="00245AFB">
        <w:rPr>
          <w:rFonts w:ascii="Times" w:eastAsia="Times New Roman" w:hAnsi="Times" w:cs="Times New Roman"/>
          <w:color w:val="000000" w:themeColor="text1"/>
          <w:lang w:val="en-CA"/>
        </w:rPr>
        <w:t>Nei-Gojobori</w:t>
      </w:r>
      <w:proofErr w:type="spellEnd"/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 method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. Calculate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D (= </w:t>
      </w:r>
      <w:r>
        <w:rPr>
          <w:rFonts w:ascii="Times" w:eastAsia="Times New Roman" w:hAnsi="Times" w:cs="Times New Roman"/>
          <w:color w:val="000000" w:themeColor="text1"/>
          <w:lang w:val="en-CA"/>
        </w:rPr>
        <w:t>N</w:t>
      </w:r>
      <w:r w:rsidRPr="0086099B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a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-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N</w:t>
      </w:r>
      <w:r w:rsidRPr="0086099B">
        <w:rPr>
          <w:rFonts w:ascii="Times" w:eastAsia="Times New Roman" w:hAnsi="Times" w:cs="Times New Roman"/>
          <w:color w:val="000000" w:themeColor="text1"/>
          <w:vertAlign w:val="subscript"/>
          <w:lang w:val="en-CA"/>
        </w:rPr>
        <w:t>s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 xml:space="preserve">)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for all between-group and within-group comparisons, and use a statistical test </w:t>
      </w:r>
      <w:r w:rsidR="0036582D">
        <w:rPr>
          <w:rFonts w:ascii="Times" w:eastAsia="Times New Roman" w:hAnsi="Times" w:cs="Times New Roman"/>
          <w:color w:val="000000" w:themeColor="text1"/>
          <w:lang w:val="en-CA"/>
        </w:rPr>
        <w:t xml:space="preserve">to measure if the 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D</w:t>
      </w:r>
      <w:r w:rsidR="0036582D">
        <w:rPr>
          <w:rFonts w:ascii="Times" w:eastAsia="Times New Roman" w:hAnsi="Times" w:cs="Times New Roman"/>
          <w:color w:val="000000" w:themeColor="text1"/>
          <w:lang w:val="en-CA"/>
        </w:rPr>
        <w:t xml:space="preserve"> is </w:t>
      </w:r>
      <w:r w:rsidR="00420E8A">
        <w:rPr>
          <w:rFonts w:ascii="Times" w:eastAsia="Times New Roman" w:hAnsi="Times" w:cs="Times New Roman"/>
          <w:color w:val="000000" w:themeColor="text1"/>
          <w:lang w:val="en-CA"/>
        </w:rPr>
        <w:t>significantly different (</w:t>
      </w:r>
      <w:proofErr w:type="spellStart"/>
      <w:r w:rsidR="00420E8A">
        <w:rPr>
          <w:rFonts w:ascii="Times" w:eastAsia="Times New Roman" w:hAnsi="Times" w:cs="Times New Roman"/>
          <w:color w:val="000000" w:themeColor="text1"/>
          <w:lang w:val="en-CA"/>
        </w:rPr>
        <w:t>i</w:t>
      </w:r>
      <w:proofErr w:type="spellEnd"/>
      <w:r w:rsidR="00420E8A">
        <w:rPr>
          <w:rFonts w:ascii="Times" w:eastAsia="Times New Roman" w:hAnsi="Times" w:cs="Times New Roman"/>
          <w:color w:val="000000" w:themeColor="text1"/>
          <w:lang w:val="en-CA"/>
        </w:rPr>
        <w:t>) between the archaic and modern human samples</w:t>
      </w:r>
      <w:r w:rsidR="00420E8A">
        <w:rPr>
          <w:rFonts w:ascii="Times" w:eastAsia="Times New Roman" w:hAnsi="Times" w:cs="Times New Roman"/>
          <w:color w:val="000000" w:themeColor="text1"/>
          <w:lang w:val="en-CA"/>
        </w:rPr>
        <w:t>, and (i</w:t>
      </w:r>
      <w:r w:rsidR="008328B7">
        <w:rPr>
          <w:rFonts w:ascii="Times" w:eastAsia="Times New Roman" w:hAnsi="Times" w:cs="Times New Roman"/>
          <w:color w:val="000000" w:themeColor="text1"/>
          <w:lang w:val="en-CA"/>
        </w:rPr>
        <w:t>i</w:t>
      </w:r>
      <w:r w:rsidR="00420E8A">
        <w:rPr>
          <w:rFonts w:ascii="Times" w:eastAsia="Times New Roman" w:hAnsi="Times" w:cs="Times New Roman"/>
          <w:color w:val="000000" w:themeColor="text1"/>
          <w:lang w:val="en-CA"/>
        </w:rPr>
        <w:t>) within the respective specie-al group (archaic, modern)</w:t>
      </w:r>
      <w:r w:rsidR="00BB7104">
        <w:rPr>
          <w:rFonts w:ascii="Times" w:eastAsia="Times New Roman" w:hAnsi="Times" w:cs="Times New Roman"/>
          <w:color w:val="000000" w:themeColor="text1"/>
          <w:lang w:val="en-CA"/>
        </w:rPr>
        <w:t xml:space="preserve"> (to account for genetic drift)</w:t>
      </w:r>
      <w:r w:rsidR="00245AFB">
        <w:rPr>
          <w:rFonts w:ascii="Times" w:eastAsia="Times New Roman" w:hAnsi="Times" w:cs="Times New Roman"/>
          <w:color w:val="000000" w:themeColor="text1"/>
          <w:lang w:val="en-CA"/>
        </w:rPr>
        <w:t>. Positive selection for a loci with be indicated by a positive, high value of D, and a multiple-testing corrected p-value for statistically significance difference in D in archaic and modern humans.</w:t>
      </w:r>
      <w:r w:rsidR="0036582D">
        <w:rPr>
          <w:rFonts w:ascii="Times" w:eastAsia="Times New Roman" w:hAnsi="Times" w:cs="Times New Roman"/>
          <w:b/>
          <w:color w:val="000000" w:themeColor="text1"/>
          <w:vertAlign w:val="superscript"/>
          <w:lang w:val="en-CA"/>
        </w:rPr>
        <w:t>3</w:t>
      </w:r>
    </w:p>
    <w:p w14:paraId="38FB761A" w14:textId="77777777" w:rsidR="00B12483" w:rsidRPr="00CB34BD" w:rsidRDefault="00B12483" w:rsidP="00B12483">
      <w:pPr>
        <w:rPr>
          <w:rFonts w:ascii="Times" w:eastAsia="Times New Roman" w:hAnsi="Times" w:cs="Times New Roman"/>
          <w:color w:val="000000" w:themeColor="text1"/>
          <w:lang w:val="en-CA"/>
        </w:rPr>
      </w:pPr>
      <w:r>
        <w:rPr>
          <w:rFonts w:ascii="Times" w:eastAsia="Times New Roman" w:hAnsi="Times" w:cs="Times New Roman"/>
          <w:i/>
          <w:color w:val="000000" w:themeColor="text1"/>
          <w:lang w:val="en-CA"/>
        </w:rPr>
        <w:lastRenderedPageBreak/>
        <w:t>Future directions/wishful thinking</w:t>
      </w:r>
      <w:r>
        <w:rPr>
          <w:rFonts w:ascii="Times" w:eastAsia="Times New Roman" w:hAnsi="Times" w:cs="Times New Roman"/>
          <w:color w:val="000000" w:themeColor="text1"/>
          <w:lang w:val="en-CA"/>
        </w:rPr>
        <w:t>: Does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>have a basis in patient demographics? Is a poorer prognosis in the presence of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>as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 correlated with a more recent migration of the respective ethnic group from Africa? Is PDL1-</w:t>
      </w:r>
      <w:r>
        <w:rPr>
          <w:rFonts w:ascii="Times" w:eastAsia="Times New Roman" w:hAnsi="Times" w:cs="Times New Roman"/>
          <w:i/>
          <w:color w:val="000000" w:themeColor="text1"/>
          <w:lang w:val="en-CA"/>
        </w:rPr>
        <w:t xml:space="preserve">as </w:t>
      </w:r>
      <w:r>
        <w:rPr>
          <w:rFonts w:ascii="Times" w:eastAsia="Times New Roman" w:hAnsi="Times" w:cs="Times New Roman"/>
          <w:color w:val="000000" w:themeColor="text1"/>
          <w:lang w:val="en-CA"/>
        </w:rPr>
        <w:t xml:space="preserve">isoform also seen in </w:t>
      </w:r>
      <w:proofErr w:type="gramStart"/>
      <w:r>
        <w:rPr>
          <w:rFonts w:ascii="Times" w:eastAsia="Times New Roman" w:hAnsi="Times" w:cs="Times New Roman"/>
          <w:color w:val="000000" w:themeColor="text1"/>
          <w:lang w:val="en-CA"/>
        </w:rPr>
        <w:t>relapse</w:t>
      </w:r>
      <w:proofErr w:type="gramEnd"/>
      <w:r>
        <w:rPr>
          <w:rFonts w:ascii="Times" w:eastAsia="Times New Roman" w:hAnsi="Times" w:cs="Times New Roman"/>
          <w:color w:val="000000" w:themeColor="text1"/>
          <w:lang w:val="en-CA"/>
        </w:rPr>
        <w:t xml:space="preserve"> patients, or patients with metastatic cancer? </w:t>
      </w:r>
    </w:p>
    <w:p w14:paraId="6A7581A5" w14:textId="77777777" w:rsidR="00B12483" w:rsidRPr="00FE0821" w:rsidRDefault="00B12483" w:rsidP="00D16ABC">
      <w:pPr>
        <w:rPr>
          <w:rFonts w:ascii="Times" w:eastAsia="Times New Roman" w:hAnsi="Times" w:cs="Times New Roman"/>
          <w:color w:val="000000" w:themeColor="text1"/>
          <w:lang w:val="en-CA"/>
        </w:rPr>
      </w:pPr>
    </w:p>
    <w:p w14:paraId="3E6F929B" w14:textId="77777777" w:rsidR="00D16ABC" w:rsidRPr="00D16ABC" w:rsidRDefault="00D16ABC" w:rsidP="00D16ABC">
      <w:pPr>
        <w:rPr>
          <w:rFonts w:ascii="Times" w:hAnsi="Times" w:cs="Times New Roman"/>
          <w:color w:val="000000" w:themeColor="text1"/>
          <w:sz w:val="20"/>
          <w:szCs w:val="20"/>
          <w:lang w:val="en-CA"/>
        </w:rPr>
      </w:pPr>
      <w:r w:rsidRPr="00D16ABC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CA"/>
        </w:rPr>
        <w:t>Works Cited</w:t>
      </w:r>
    </w:p>
    <w:p w14:paraId="0F8C516C" w14:textId="33431C13" w:rsidR="00FE0821" w:rsidRDefault="00FE0821" w:rsidP="00D16ABC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hyperlink r:id="rId9" w:history="1">
        <w:r w:rsidRPr="00DA5FA5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http://www.nature.com/articles/srep02246</w:t>
        </w:r>
      </w:hyperlink>
    </w:p>
    <w:p w14:paraId="72E76B8A" w14:textId="5D9C8566" w:rsidR="00CB34BD" w:rsidRDefault="00CB34BD" w:rsidP="00D16ABC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CB34B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http://www.ncbi.nlm.nih.gov/pmc/articles/PMC2394368/</w:t>
      </w:r>
    </w:p>
    <w:p w14:paraId="4876EFB1" w14:textId="5141D00C" w:rsidR="00DB5C04" w:rsidRDefault="0036582D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hyperlink r:id="rId10" w:history="1">
        <w:r w:rsidRPr="00DA5FA5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http://www.nature.com/nature/journal/v413/n6855/full/413514a0.html</w:t>
        </w:r>
      </w:hyperlink>
    </w:p>
    <w:p w14:paraId="0310211D" w14:textId="49DDFB9B" w:rsidR="0036582D" w:rsidRPr="00AF50D0" w:rsidRDefault="00BB7104" w:rsidP="00AF50D0">
      <w:pPr>
        <w:numPr>
          <w:ilvl w:val="0"/>
          <w:numId w:val="1"/>
        </w:numPr>
        <w:ind w:left="360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BB7104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http://genome.cshlp.org/content/24/6/885.full</w:t>
      </w:r>
      <w:bookmarkStart w:id="0" w:name="_GoBack"/>
      <w:bookmarkEnd w:id="0"/>
    </w:p>
    <w:sectPr w:rsidR="0036582D" w:rsidRPr="00AF50D0" w:rsidSect="00AF50D0">
      <w:headerReference w:type="default" r:id="rId11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D829E" w14:textId="77777777" w:rsidR="0086099B" w:rsidRDefault="0086099B" w:rsidP="00D16ABC">
      <w:r>
        <w:separator/>
      </w:r>
    </w:p>
  </w:endnote>
  <w:endnote w:type="continuationSeparator" w:id="0">
    <w:p w14:paraId="49DD392B" w14:textId="77777777" w:rsidR="0086099B" w:rsidRDefault="0086099B" w:rsidP="00D1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62C8D" w14:textId="77777777" w:rsidR="0086099B" w:rsidRDefault="0086099B" w:rsidP="00D16ABC">
      <w:r>
        <w:separator/>
      </w:r>
    </w:p>
  </w:footnote>
  <w:footnote w:type="continuationSeparator" w:id="0">
    <w:p w14:paraId="126BE1C4" w14:textId="77777777" w:rsidR="0086099B" w:rsidRDefault="0086099B" w:rsidP="00D16A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C4FDC" w14:textId="08826D93" w:rsidR="0086099B" w:rsidRDefault="0086099B">
    <w:pPr>
      <w:pStyle w:val="Header"/>
    </w:pPr>
    <w:r>
      <w:t>Jasleen Grewal (89985155)</w:t>
    </w:r>
    <w:r>
      <w:tab/>
      <w:t xml:space="preserve">                </w:t>
    </w:r>
    <w:r>
      <w:rPr>
        <w:b/>
      </w:rPr>
      <w:t>BIOF 520 Assignment 3</w:t>
    </w:r>
    <w:r>
      <w:rPr>
        <w:b/>
      </w:rPr>
      <w:tab/>
    </w:r>
    <w:r w:rsidRPr="00D16ABC">
      <w:t>03/</w:t>
    </w:r>
    <w:r>
      <w:t>16</w:t>
    </w:r>
    <w:r w:rsidRPr="00D16ABC"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163"/>
    <w:multiLevelType w:val="multilevel"/>
    <w:tmpl w:val="644C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C"/>
    <w:rsid w:val="00010050"/>
    <w:rsid w:val="000D047D"/>
    <w:rsid w:val="00245AFB"/>
    <w:rsid w:val="00346396"/>
    <w:rsid w:val="0036582D"/>
    <w:rsid w:val="003B7452"/>
    <w:rsid w:val="00420E8A"/>
    <w:rsid w:val="0048682D"/>
    <w:rsid w:val="00801F5E"/>
    <w:rsid w:val="008328B7"/>
    <w:rsid w:val="008467EC"/>
    <w:rsid w:val="00853658"/>
    <w:rsid w:val="0086099B"/>
    <w:rsid w:val="009C37C0"/>
    <w:rsid w:val="00AF50D0"/>
    <w:rsid w:val="00B12483"/>
    <w:rsid w:val="00BB7104"/>
    <w:rsid w:val="00C605EC"/>
    <w:rsid w:val="00CB34BD"/>
    <w:rsid w:val="00D16ABC"/>
    <w:rsid w:val="00DB5C04"/>
    <w:rsid w:val="00E47EE8"/>
    <w:rsid w:val="00EC64E6"/>
    <w:rsid w:val="00F57AA3"/>
    <w:rsid w:val="00FE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9C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BC"/>
  </w:style>
  <w:style w:type="paragraph" w:styleId="Footer">
    <w:name w:val="footer"/>
    <w:basedOn w:val="Normal"/>
    <w:link w:val="Foot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BC"/>
  </w:style>
  <w:style w:type="character" w:styleId="Hyperlink">
    <w:name w:val="Hyperlink"/>
    <w:basedOn w:val="DefaultParagraphFont"/>
    <w:uiPriority w:val="99"/>
    <w:unhideWhenUsed/>
    <w:rsid w:val="00FE0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BC"/>
  </w:style>
  <w:style w:type="paragraph" w:styleId="Footer">
    <w:name w:val="footer"/>
    <w:basedOn w:val="Normal"/>
    <w:link w:val="FooterChar"/>
    <w:uiPriority w:val="99"/>
    <w:unhideWhenUsed/>
    <w:rsid w:val="00D16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BC"/>
  </w:style>
  <w:style w:type="character" w:styleId="Hyperlink">
    <w:name w:val="Hyperlink"/>
    <w:basedOn w:val="DefaultParagraphFont"/>
    <w:uiPriority w:val="99"/>
    <w:unhideWhenUsed/>
    <w:rsid w:val="00FE0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ature.com/articles/srep02246" TargetMode="External"/><Relationship Id="rId10" Type="http://schemas.openxmlformats.org/officeDocument/2006/relationships/hyperlink" Target="http://www.nature.com/nature/journal/v413/n6855/full/413514a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41697-E870-FD4C-8C10-E9001AD6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761</Words>
  <Characters>4339</Characters>
  <Application>Microsoft Macintosh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20</cp:revision>
  <dcterms:created xsi:type="dcterms:W3CDTF">2016-02-04T06:20:00Z</dcterms:created>
  <dcterms:modified xsi:type="dcterms:W3CDTF">2016-03-16T10:34:00Z</dcterms:modified>
</cp:coreProperties>
</file>